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440" w:lineRule="exact"/>
        <w:jc w:val="center"/>
        <w:rPr>
          <w:rFonts w:ascii="仿宋_GB2312" w:hAnsi="宋体" w:eastAsia="仿宋_GB2312" w:cs="宋体"/>
          <w:b/>
          <w:bCs/>
          <w:color w:val="000000"/>
          <w:kern w:val="0"/>
          <w:sz w:val="28"/>
          <w:szCs w:val="28"/>
        </w:rPr>
      </w:pPr>
      <w:r>
        <w:rPr>
          <w:rFonts w:hint="eastAsia" w:ascii="仿宋_GB2312" w:hAnsi="宋体" w:eastAsia="仿宋_GB2312" w:cs="宋体"/>
          <w:b/>
          <w:bCs/>
          <w:color w:val="000000"/>
          <w:kern w:val="0"/>
          <w:sz w:val="28"/>
          <w:szCs w:val="28"/>
        </w:rPr>
        <w:t>乐山市市中区生态环境局</w:t>
      </w:r>
      <w:bookmarkStart w:id="172" w:name="_GoBack"/>
      <w:r>
        <w:rPr>
          <w:rFonts w:hint="eastAsia" w:ascii="仿宋_GB2312" w:hAnsi="宋体" w:eastAsia="仿宋_GB2312" w:cs="宋体"/>
          <w:b/>
          <w:bCs/>
          <w:color w:val="000000"/>
          <w:kern w:val="0"/>
          <w:sz w:val="28"/>
          <w:szCs w:val="28"/>
        </w:rPr>
        <w:t>关于建设项目环境影响评价文件受理情况的公示</w:t>
      </w:r>
      <w:bookmarkEnd w:id="172"/>
      <w:r>
        <w:rPr>
          <w:rFonts w:hint="eastAsia" w:ascii="仿宋_GB2312" w:hAnsi="宋体" w:eastAsia="仿宋_GB2312" w:cs="宋体"/>
          <w:b/>
          <w:bCs/>
          <w:color w:val="000000"/>
          <w:kern w:val="0"/>
          <w:sz w:val="28"/>
          <w:szCs w:val="28"/>
        </w:rPr>
        <w:t xml:space="preserve"> </w:t>
      </w:r>
    </w:p>
    <w:p>
      <w:pPr>
        <w:widowControl/>
        <w:jc w:val="center"/>
        <w:rPr>
          <w:rFonts w:hint="default" w:ascii="宋体" w:hAnsi="宋体" w:eastAsia="宋体" w:cs="宋体"/>
          <w:color w:val="000000"/>
          <w:kern w:val="0"/>
          <w:sz w:val="24"/>
          <w:lang w:val="en-US" w:eastAsia="zh-CN"/>
        </w:rPr>
      </w:pPr>
      <w:r>
        <w:rPr>
          <w:rFonts w:hint="eastAsia" w:ascii="宋体" w:hAnsi="宋体" w:cs="宋体"/>
          <w:color w:val="000000"/>
          <w:kern w:val="0"/>
          <w:sz w:val="24"/>
        </w:rPr>
        <w:t>20</w:t>
      </w:r>
      <w:r>
        <w:rPr>
          <w:rFonts w:hint="eastAsia" w:ascii="宋体" w:hAnsi="宋体" w:cs="宋体"/>
          <w:color w:val="000000"/>
          <w:kern w:val="0"/>
          <w:sz w:val="24"/>
          <w:lang w:val="en-US" w:eastAsia="zh-CN"/>
        </w:rPr>
        <w:t>23</w:t>
      </w:r>
      <w:r>
        <w:rPr>
          <w:rFonts w:hint="eastAsia" w:ascii="宋体" w:hAnsi="宋体" w:cs="宋体"/>
          <w:color w:val="000000"/>
          <w:kern w:val="0"/>
          <w:sz w:val="24"/>
        </w:rPr>
        <w:t>-</w:t>
      </w:r>
      <w:r>
        <w:rPr>
          <w:rFonts w:hint="eastAsia" w:ascii="宋体" w:hAnsi="宋体" w:cs="宋体"/>
          <w:color w:val="000000"/>
          <w:kern w:val="0"/>
          <w:sz w:val="24"/>
          <w:lang w:val="en-US" w:eastAsia="zh-CN"/>
        </w:rPr>
        <w:t>４</w:t>
      </w:r>
      <w:r>
        <w:rPr>
          <w:rFonts w:hint="eastAsia" w:ascii="宋体" w:hAnsi="宋体" w:cs="宋体"/>
          <w:color w:val="000000"/>
          <w:kern w:val="0"/>
          <w:sz w:val="24"/>
        </w:rPr>
        <w:t>-</w:t>
      </w:r>
      <w:r>
        <w:rPr>
          <w:rFonts w:hint="eastAsia" w:ascii="宋体" w:hAnsi="宋体" w:cs="宋体"/>
          <w:color w:val="000000"/>
          <w:kern w:val="0"/>
          <w:sz w:val="24"/>
          <w:lang w:val="en-US" w:eastAsia="zh-CN"/>
        </w:rPr>
        <w:t>１０</w:t>
      </w:r>
    </w:p>
    <w:p>
      <w:pPr>
        <w:widowControl/>
        <w:ind w:firstLine="420"/>
        <w:jc w:val="left"/>
        <w:rPr>
          <w:rFonts w:ascii="宋体" w:hAnsi="宋体" w:cs="宋体"/>
          <w:color w:val="000000"/>
          <w:kern w:val="0"/>
          <w:sz w:val="24"/>
        </w:rPr>
      </w:pPr>
      <w:r>
        <w:rPr>
          <w:rFonts w:hint="eastAsia" w:ascii="宋体" w:hAnsi="宋体" w:cs="宋体"/>
          <w:color w:val="000000"/>
          <w:kern w:val="0"/>
          <w:sz w:val="24"/>
        </w:rPr>
        <w:t>根据建设项目环境影响评价审批程序的有关规定，20</w:t>
      </w:r>
      <w:r>
        <w:rPr>
          <w:rFonts w:hint="eastAsia" w:ascii="宋体" w:hAnsi="宋体" w:cs="宋体"/>
          <w:color w:val="000000"/>
          <w:kern w:val="0"/>
          <w:sz w:val="24"/>
          <w:lang w:val="en-US" w:eastAsia="zh-CN"/>
        </w:rPr>
        <w:t>23</w:t>
      </w:r>
      <w:r>
        <w:rPr>
          <w:rFonts w:hint="eastAsia" w:ascii="宋体" w:hAnsi="宋体" w:cs="宋体"/>
          <w:color w:val="000000"/>
          <w:kern w:val="0"/>
          <w:sz w:val="24"/>
        </w:rPr>
        <w:t>年</w:t>
      </w:r>
      <w:r>
        <w:rPr>
          <w:rFonts w:hint="eastAsia" w:ascii="宋体" w:hAnsi="宋体" w:cs="宋体"/>
          <w:color w:val="000000"/>
          <w:kern w:val="0"/>
          <w:sz w:val="24"/>
          <w:lang w:val="en-US" w:eastAsia="zh-CN"/>
        </w:rPr>
        <w:t>４</w:t>
      </w:r>
      <w:r>
        <w:rPr>
          <w:rFonts w:hint="eastAsia" w:ascii="宋体" w:hAnsi="宋体" w:cs="宋体"/>
          <w:color w:val="000000"/>
          <w:kern w:val="0"/>
          <w:sz w:val="24"/>
        </w:rPr>
        <w:t>月</w:t>
      </w:r>
      <w:r>
        <w:rPr>
          <w:rFonts w:hint="eastAsia" w:ascii="宋体" w:hAnsi="宋体" w:cs="宋体"/>
          <w:color w:val="000000"/>
          <w:kern w:val="0"/>
          <w:sz w:val="24"/>
          <w:lang w:val="en-US" w:eastAsia="zh-CN"/>
        </w:rPr>
        <w:t>１０</w:t>
      </w:r>
      <w:r>
        <w:rPr>
          <w:rFonts w:hint="eastAsia" w:ascii="宋体" w:hAnsi="宋体" w:cs="宋体"/>
          <w:color w:val="000000"/>
          <w:kern w:val="0"/>
          <w:sz w:val="24"/>
        </w:rPr>
        <w:t>日我局受理</w:t>
      </w:r>
      <w:r>
        <w:rPr>
          <w:rFonts w:hint="eastAsia" w:ascii="宋体" w:hAnsi="宋体" w:cs="宋体"/>
          <w:color w:val="000000"/>
          <w:kern w:val="0"/>
          <w:sz w:val="24"/>
          <w:lang w:val="en-US" w:eastAsia="zh-CN"/>
        </w:rPr>
        <w:t>1</w:t>
      </w:r>
      <w:r>
        <w:rPr>
          <w:rFonts w:hint="eastAsia" w:ascii="宋体" w:hAnsi="宋体" w:cs="宋体"/>
          <w:color w:val="000000"/>
          <w:kern w:val="0"/>
          <w:sz w:val="24"/>
        </w:rPr>
        <w:t>个建设项目环境影响评价文件。现将受理情况予以公示，公示期为20</w:t>
      </w:r>
      <w:r>
        <w:rPr>
          <w:rFonts w:hint="eastAsia" w:ascii="宋体" w:hAnsi="宋体" w:cs="宋体"/>
          <w:color w:val="000000"/>
          <w:kern w:val="0"/>
          <w:sz w:val="24"/>
          <w:lang w:val="en-US" w:eastAsia="zh-CN"/>
        </w:rPr>
        <w:t>23</w:t>
      </w:r>
      <w:r>
        <w:rPr>
          <w:rFonts w:hint="eastAsia" w:ascii="宋体" w:hAnsi="宋体" w:cs="宋体"/>
          <w:color w:val="000000"/>
          <w:kern w:val="0"/>
          <w:sz w:val="24"/>
        </w:rPr>
        <w:t>年</w:t>
      </w:r>
      <w:r>
        <w:rPr>
          <w:rFonts w:hint="eastAsia" w:ascii="宋体" w:hAnsi="宋体" w:cs="宋体"/>
          <w:color w:val="000000"/>
          <w:kern w:val="0"/>
          <w:sz w:val="24"/>
          <w:lang w:val="en-US" w:eastAsia="zh-CN"/>
        </w:rPr>
        <w:t>４</w:t>
      </w:r>
      <w:r>
        <w:rPr>
          <w:rFonts w:hint="eastAsia" w:ascii="宋体" w:hAnsi="宋体" w:cs="宋体"/>
          <w:color w:val="000000"/>
          <w:kern w:val="0"/>
          <w:sz w:val="24"/>
        </w:rPr>
        <w:t>月</w:t>
      </w:r>
      <w:r>
        <w:rPr>
          <w:rFonts w:hint="eastAsia" w:ascii="宋体" w:hAnsi="宋体" w:cs="宋体"/>
          <w:color w:val="000000"/>
          <w:kern w:val="0"/>
          <w:sz w:val="24"/>
          <w:lang w:val="en-US" w:eastAsia="zh-CN"/>
        </w:rPr>
        <w:t>１０</w:t>
      </w:r>
      <w:r>
        <w:rPr>
          <w:rFonts w:hint="eastAsia" w:ascii="宋体" w:hAnsi="宋体" w:cs="宋体"/>
          <w:color w:val="000000"/>
          <w:kern w:val="0"/>
          <w:sz w:val="24"/>
        </w:rPr>
        <w:t>日－20</w:t>
      </w:r>
      <w:r>
        <w:rPr>
          <w:rFonts w:hint="eastAsia" w:ascii="宋体" w:hAnsi="宋体" w:cs="宋体"/>
          <w:color w:val="000000"/>
          <w:kern w:val="0"/>
          <w:sz w:val="24"/>
          <w:lang w:val="en-US" w:eastAsia="zh-CN"/>
        </w:rPr>
        <w:t>23</w:t>
      </w:r>
      <w:r>
        <w:rPr>
          <w:rFonts w:hint="eastAsia" w:ascii="宋体" w:hAnsi="宋体" w:cs="宋体"/>
          <w:color w:val="000000"/>
          <w:kern w:val="0"/>
          <w:sz w:val="24"/>
        </w:rPr>
        <w:t>年</w:t>
      </w:r>
      <w:r>
        <w:rPr>
          <w:rFonts w:hint="eastAsia" w:ascii="宋体" w:hAnsi="宋体" w:cs="宋体"/>
          <w:color w:val="000000"/>
          <w:kern w:val="0"/>
          <w:sz w:val="24"/>
          <w:lang w:val="en-US" w:eastAsia="zh-CN"/>
        </w:rPr>
        <w:t>4</w:t>
      </w:r>
      <w:r>
        <w:rPr>
          <w:rFonts w:hint="eastAsia" w:ascii="宋体" w:hAnsi="宋体" w:cs="宋体"/>
          <w:color w:val="000000"/>
          <w:kern w:val="0"/>
          <w:sz w:val="24"/>
        </w:rPr>
        <w:t>月</w:t>
      </w:r>
      <w:r>
        <w:rPr>
          <w:rFonts w:hint="eastAsia" w:ascii="宋体" w:hAnsi="宋体" w:cs="宋体"/>
          <w:color w:val="000000"/>
          <w:kern w:val="0"/>
          <w:sz w:val="24"/>
          <w:lang w:val="en-US" w:eastAsia="zh-CN"/>
        </w:rPr>
        <w:t>14</w:t>
      </w:r>
      <w:r>
        <w:rPr>
          <w:rFonts w:hint="eastAsia" w:ascii="宋体" w:hAnsi="宋体" w:cs="宋体"/>
          <w:color w:val="000000"/>
          <w:kern w:val="0"/>
          <w:sz w:val="24"/>
        </w:rPr>
        <w:t>日（</w:t>
      </w:r>
      <w:r>
        <w:rPr>
          <w:rFonts w:hint="eastAsia" w:ascii="宋体" w:hAnsi="宋体" w:cs="宋体"/>
          <w:color w:val="000000"/>
          <w:kern w:val="0"/>
          <w:sz w:val="24"/>
          <w:lang w:val="en-US" w:eastAsia="zh-CN"/>
        </w:rPr>
        <w:t>5</w:t>
      </w:r>
      <w:r>
        <w:rPr>
          <w:rFonts w:hint="eastAsia" w:ascii="宋体" w:hAnsi="宋体" w:cs="宋体"/>
          <w:color w:val="000000"/>
          <w:kern w:val="0"/>
          <w:sz w:val="24"/>
        </w:rPr>
        <w:t>个工作日）。</w:t>
      </w:r>
    </w:p>
    <w:p>
      <w:pPr>
        <w:widowControl/>
        <w:ind w:firstLine="420"/>
        <w:jc w:val="left"/>
        <w:rPr>
          <w:rFonts w:ascii="宋体" w:hAnsi="宋体" w:cs="宋体"/>
          <w:color w:val="000000"/>
          <w:kern w:val="0"/>
          <w:sz w:val="24"/>
        </w:rPr>
      </w:pPr>
      <w:r>
        <w:rPr>
          <w:rFonts w:hint="eastAsia" w:ascii="宋体" w:hAnsi="宋体" w:cs="宋体"/>
          <w:color w:val="000000"/>
          <w:kern w:val="0"/>
          <w:sz w:val="24"/>
        </w:rPr>
        <w:t>　　联系电话：0833－2103779</w:t>
      </w:r>
    </w:p>
    <w:p>
      <w:pPr>
        <w:widowControl/>
        <w:ind w:firstLine="420"/>
        <w:jc w:val="left"/>
        <w:rPr>
          <w:rFonts w:ascii="宋体" w:hAnsi="宋体" w:cs="宋体"/>
          <w:color w:val="000000"/>
          <w:kern w:val="0"/>
          <w:sz w:val="24"/>
        </w:rPr>
      </w:pPr>
      <w:r>
        <w:rPr>
          <w:rFonts w:hint="eastAsia" w:ascii="宋体" w:hAnsi="宋体" w:cs="宋体"/>
          <w:color w:val="000000"/>
          <w:kern w:val="0"/>
          <w:sz w:val="24"/>
        </w:rPr>
        <w:t>　　传 　 真：0833-2133332</w:t>
      </w:r>
    </w:p>
    <w:p>
      <w:pPr>
        <w:widowControl/>
        <w:ind w:firstLine="420"/>
        <w:jc w:val="left"/>
        <w:rPr>
          <w:rFonts w:ascii="宋体" w:hAnsi="宋体" w:cs="宋体"/>
          <w:color w:val="000000"/>
          <w:kern w:val="0"/>
          <w:sz w:val="24"/>
        </w:rPr>
      </w:pPr>
      <w:r>
        <w:rPr>
          <w:rFonts w:hint="eastAsia" w:ascii="宋体" w:hAnsi="宋体" w:cs="宋体"/>
          <w:color w:val="000000"/>
          <w:kern w:val="0"/>
          <w:sz w:val="24"/>
        </w:rPr>
        <w:t>　　通讯地址：乐山市市中区白燕路830号</w:t>
      </w:r>
    </w:p>
    <w:p>
      <w:pPr>
        <w:widowControl/>
        <w:ind w:firstLine="900" w:firstLineChars="375"/>
        <w:jc w:val="left"/>
        <w:rPr>
          <w:rFonts w:ascii="宋体" w:hAnsi="宋体" w:cs="宋体"/>
          <w:color w:val="000000"/>
          <w:kern w:val="0"/>
          <w:sz w:val="24"/>
        </w:rPr>
      </w:pPr>
      <w:r>
        <w:rPr>
          <w:rFonts w:hint="eastAsia" w:ascii="宋体" w:hAnsi="宋体" w:cs="宋体"/>
          <w:color w:val="000000"/>
          <w:kern w:val="0"/>
          <w:sz w:val="24"/>
        </w:rPr>
        <w:t>邮政编码：614000</w:t>
      </w:r>
    </w:p>
    <w:tbl>
      <w:tblPr>
        <w:tblStyle w:val="42"/>
        <w:tblW w:w="15344" w:type="dxa"/>
        <w:jc w:val="center"/>
        <w:tblLayout w:type="fixed"/>
        <w:tblCellMar>
          <w:top w:w="0" w:type="dxa"/>
          <w:left w:w="0" w:type="dxa"/>
          <w:bottom w:w="0" w:type="dxa"/>
          <w:right w:w="0" w:type="dxa"/>
        </w:tblCellMar>
      </w:tblPr>
      <w:tblGrid>
        <w:gridCol w:w="722"/>
        <w:gridCol w:w="2806"/>
        <w:gridCol w:w="3245"/>
        <w:gridCol w:w="2976"/>
        <w:gridCol w:w="4218"/>
        <w:gridCol w:w="1377"/>
      </w:tblGrid>
      <w:tr>
        <w:tblPrEx>
          <w:tblCellMar>
            <w:top w:w="0" w:type="dxa"/>
            <w:left w:w="0" w:type="dxa"/>
            <w:bottom w:w="0" w:type="dxa"/>
            <w:right w:w="0" w:type="dxa"/>
          </w:tblCellMar>
        </w:tblPrEx>
        <w:trPr>
          <w:cantSplit/>
          <w:trHeight w:val="803" w:hRule="atLeast"/>
          <w:tblHeader/>
          <w:jc w:val="center"/>
        </w:trPr>
        <w:tc>
          <w:tcPr>
            <w:tcW w:w="722" w:type="dxa"/>
            <w:tcBorders>
              <w:top w:val="single" w:color="auto" w:sz="8" w:space="0"/>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line="360" w:lineRule="atLeast"/>
              <w:jc w:val="center"/>
              <w:rPr>
                <w:rFonts w:ascii="宋体" w:hAnsi="宋体" w:cs="宋体"/>
                <w:color w:val="000000"/>
                <w:kern w:val="0"/>
                <w:sz w:val="24"/>
              </w:rPr>
            </w:pPr>
            <w:r>
              <w:rPr>
                <w:rFonts w:hint="eastAsia" w:ascii="宋体" w:hAnsi="宋体" w:cs="宋体"/>
                <w:b/>
                <w:bCs/>
                <w:color w:val="000000"/>
                <w:kern w:val="0"/>
              </w:rPr>
              <w:t>序号</w:t>
            </w:r>
          </w:p>
        </w:tc>
        <w:tc>
          <w:tcPr>
            <w:tcW w:w="2806"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line="360" w:lineRule="atLeast"/>
              <w:jc w:val="center"/>
              <w:rPr>
                <w:rFonts w:ascii="宋体" w:hAnsi="宋体" w:cs="宋体"/>
                <w:color w:val="000000"/>
                <w:kern w:val="0"/>
                <w:sz w:val="24"/>
              </w:rPr>
            </w:pPr>
            <w:r>
              <w:rPr>
                <w:rFonts w:hint="eastAsia" w:ascii="宋体" w:hAnsi="宋体" w:cs="宋体"/>
                <w:b/>
                <w:bCs/>
                <w:color w:val="000000"/>
                <w:kern w:val="0"/>
              </w:rPr>
              <w:t>项目名称</w:t>
            </w:r>
          </w:p>
        </w:tc>
        <w:tc>
          <w:tcPr>
            <w:tcW w:w="3245"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line="360" w:lineRule="atLeast"/>
              <w:jc w:val="center"/>
              <w:rPr>
                <w:rFonts w:ascii="宋体" w:hAnsi="宋体" w:cs="宋体"/>
                <w:color w:val="000000"/>
                <w:kern w:val="0"/>
                <w:sz w:val="24"/>
              </w:rPr>
            </w:pPr>
            <w:r>
              <w:rPr>
                <w:rFonts w:hint="eastAsia" w:ascii="宋体" w:hAnsi="宋体" w:cs="宋体"/>
                <w:b/>
                <w:bCs/>
                <w:color w:val="000000"/>
                <w:kern w:val="0"/>
              </w:rPr>
              <w:t>建设地点</w:t>
            </w:r>
          </w:p>
        </w:tc>
        <w:tc>
          <w:tcPr>
            <w:tcW w:w="2976"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line="360" w:lineRule="atLeast"/>
              <w:jc w:val="center"/>
              <w:rPr>
                <w:rFonts w:ascii="宋体" w:hAnsi="宋体" w:cs="宋体"/>
                <w:color w:val="000000"/>
                <w:kern w:val="0"/>
                <w:sz w:val="24"/>
              </w:rPr>
            </w:pPr>
            <w:r>
              <w:rPr>
                <w:rFonts w:hint="eastAsia" w:ascii="宋体" w:hAnsi="宋体" w:cs="宋体"/>
                <w:b/>
                <w:bCs/>
                <w:color w:val="000000"/>
                <w:kern w:val="0"/>
              </w:rPr>
              <w:t>建设单位</w:t>
            </w:r>
          </w:p>
        </w:tc>
        <w:tc>
          <w:tcPr>
            <w:tcW w:w="4218"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line="360" w:lineRule="atLeast"/>
              <w:jc w:val="center"/>
              <w:rPr>
                <w:rFonts w:ascii="宋体" w:hAnsi="宋体" w:cs="宋体"/>
                <w:color w:val="000000"/>
                <w:kern w:val="0"/>
                <w:sz w:val="24"/>
              </w:rPr>
            </w:pPr>
            <w:r>
              <w:rPr>
                <w:rFonts w:hint="eastAsia" w:ascii="宋体" w:hAnsi="宋体" w:cs="宋体"/>
                <w:b/>
                <w:bCs/>
                <w:color w:val="000000"/>
                <w:kern w:val="0"/>
              </w:rPr>
              <w:t>环境影响评价机构</w:t>
            </w:r>
          </w:p>
        </w:tc>
        <w:tc>
          <w:tcPr>
            <w:tcW w:w="1377"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line="360" w:lineRule="atLeast"/>
              <w:jc w:val="center"/>
              <w:rPr>
                <w:rFonts w:ascii="宋体" w:hAnsi="宋体" w:cs="宋体"/>
                <w:color w:val="000000"/>
                <w:kern w:val="0"/>
                <w:sz w:val="24"/>
              </w:rPr>
            </w:pPr>
            <w:r>
              <w:rPr>
                <w:rFonts w:hint="eastAsia" w:ascii="宋体" w:hAnsi="宋体" w:cs="宋体"/>
                <w:b/>
                <w:bCs/>
                <w:color w:val="000000"/>
                <w:kern w:val="0"/>
              </w:rPr>
              <w:t>受理日期</w:t>
            </w:r>
          </w:p>
        </w:tc>
      </w:tr>
      <w:tr>
        <w:tblPrEx>
          <w:tblCellMar>
            <w:top w:w="0" w:type="dxa"/>
            <w:left w:w="0" w:type="dxa"/>
            <w:bottom w:w="0" w:type="dxa"/>
            <w:right w:w="0" w:type="dxa"/>
          </w:tblCellMar>
        </w:tblPrEx>
        <w:trPr>
          <w:cantSplit/>
          <w:trHeight w:val="925" w:hRule="atLeast"/>
          <w:tblHeader/>
          <w:jc w:val="center"/>
        </w:trPr>
        <w:tc>
          <w:tcPr>
            <w:tcW w:w="722" w:type="dxa"/>
            <w:tcBorders>
              <w:top w:val="single" w:color="auto" w:sz="8" w:space="0"/>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spacing w:line="360" w:lineRule="auto"/>
              <w:jc w:val="center"/>
              <w:rPr>
                <w:bCs/>
                <w:color w:val="000000"/>
                <w:sz w:val="18"/>
                <w:szCs w:val="18"/>
              </w:rPr>
            </w:pPr>
            <w:r>
              <w:rPr>
                <w:rFonts w:hint="eastAsia"/>
                <w:bCs/>
                <w:color w:val="000000"/>
                <w:sz w:val="18"/>
                <w:szCs w:val="18"/>
              </w:rPr>
              <w:t>1</w:t>
            </w:r>
          </w:p>
        </w:tc>
        <w:tc>
          <w:tcPr>
            <w:tcW w:w="2806"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rPr>
                <w:rFonts w:hint="default" w:ascii="Times New Roman" w:hAnsi="Times New Roman" w:cs="Times New Roman"/>
                <w:lang w:val="en-US"/>
              </w:rPr>
            </w:pPr>
            <w:r>
              <w:rPr>
                <w:rFonts w:hint="default" w:ascii="Times New Roman" w:hAnsi="Times New Roman" w:cs="Times New Roman"/>
                <w:lang w:val="en-US" w:eastAsia="zh-CN"/>
              </w:rPr>
              <w:t>博物馆展柜玻璃加工项目</w:t>
            </w:r>
          </w:p>
        </w:tc>
        <w:tc>
          <w:tcPr>
            <w:tcW w:w="3245"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rPr>
                <w:rFonts w:hint="eastAsia" w:ascii="Times New Roman" w:hAnsi="Times New Roman" w:eastAsia="宋体" w:cs="Times New Roman"/>
                <w:lang w:val="en-US" w:eastAsia="zh-CN"/>
              </w:rPr>
            </w:pPr>
            <w:r>
              <w:rPr>
                <w:rFonts w:hint="eastAsia" w:ascii="Times New Roman" w:hAnsi="Times New Roman" w:cs="Times New Roman"/>
                <w:color w:val="auto"/>
                <w:szCs w:val="21"/>
                <w:highlight w:val="none"/>
                <w:lang w:val="en-US" w:eastAsia="zh-CN"/>
              </w:rPr>
              <w:t>嘉州工业园水口园区</w:t>
            </w:r>
          </w:p>
        </w:tc>
        <w:tc>
          <w:tcPr>
            <w:tcW w:w="2976"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rPr>
                <w:rFonts w:hint="eastAsia" w:ascii="Times New Roman" w:hAnsi="Times New Roman" w:cs="Times New Roman"/>
              </w:rPr>
            </w:pPr>
            <w:r>
              <w:rPr>
                <w:rFonts w:hint="eastAsia" w:ascii="Times New Roman" w:hAnsi="Times New Roman" w:cs="Times New Roman"/>
                <w:lang w:eastAsia="zh-CN"/>
              </w:rPr>
              <w:t>四川珑博新材料有限公司</w:t>
            </w:r>
          </w:p>
          <w:p>
            <w:pPr>
              <w:rPr>
                <w:rFonts w:hint="eastAsia" w:ascii="Times New Roman" w:hAnsi="Times New Roman" w:cs="Times New Roman"/>
              </w:rPr>
            </w:pPr>
          </w:p>
        </w:tc>
        <w:tc>
          <w:tcPr>
            <w:tcW w:w="4218"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四川乐水清山环保技术咨询有限公司</w:t>
            </w:r>
          </w:p>
        </w:tc>
        <w:tc>
          <w:tcPr>
            <w:tcW w:w="1377"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rPr>
                <w:rFonts w:hint="default" w:ascii="Times New Roman" w:hAnsi="Times New Roman" w:eastAsia="宋体" w:cs="Times New Roman"/>
                <w:lang w:val="en-US" w:eastAsia="zh-CN"/>
              </w:rPr>
            </w:pPr>
            <w:r>
              <w:rPr>
                <w:rFonts w:hint="eastAsia" w:ascii="Times New Roman" w:hAnsi="Times New Roman" w:cs="Times New Roman"/>
              </w:rPr>
              <w:t>20</w:t>
            </w:r>
            <w:r>
              <w:rPr>
                <w:rFonts w:hint="eastAsia" w:ascii="Times New Roman" w:hAnsi="Times New Roman" w:cs="Times New Roman"/>
                <w:lang w:val="en-US" w:eastAsia="zh-CN"/>
              </w:rPr>
              <w:t>2</w:t>
            </w:r>
            <w:r>
              <w:rPr>
                <w:rFonts w:hint="eastAsia" w:cs="Times New Roman"/>
                <w:lang w:val="en-US" w:eastAsia="zh-CN"/>
              </w:rPr>
              <w:t>3</w:t>
            </w:r>
            <w:r>
              <w:rPr>
                <w:rFonts w:hint="eastAsia" w:ascii="Times New Roman" w:hAnsi="Times New Roman" w:cs="Times New Roman"/>
              </w:rPr>
              <w:t>-</w:t>
            </w:r>
            <w:r>
              <w:rPr>
                <w:rFonts w:hint="eastAsia" w:cs="Times New Roman"/>
                <w:lang w:val="en-US" w:eastAsia="zh-CN"/>
              </w:rPr>
              <w:t>4</w:t>
            </w:r>
            <w:r>
              <w:rPr>
                <w:rFonts w:hint="eastAsia" w:ascii="Times New Roman" w:hAnsi="Times New Roman" w:cs="Times New Roman"/>
              </w:rPr>
              <w:t>-</w:t>
            </w:r>
            <w:r>
              <w:rPr>
                <w:rFonts w:hint="eastAsia" w:cs="Times New Roman"/>
                <w:lang w:val="en-US" w:eastAsia="zh-CN"/>
              </w:rPr>
              <w:t>10</w:t>
            </w:r>
          </w:p>
        </w:tc>
      </w:tr>
    </w:tbl>
    <w:p>
      <w:pPr>
        <w:spacing w:line="360" w:lineRule="auto"/>
        <w:rPr>
          <w:color w:val="000000"/>
          <w:sz w:val="72"/>
          <w:szCs w:val="72"/>
        </w:rPr>
        <w:sectPr>
          <w:endnotePr>
            <w:numFmt w:val="decimal"/>
          </w:endnotePr>
          <w:pgSz w:w="16838" w:h="11906" w:orient="landscape"/>
          <w:pgMar w:top="1800" w:right="1440" w:bottom="1800" w:left="1440" w:header="851" w:footer="992" w:gutter="0"/>
          <w:pgNumType w:fmt="numberInDash" w:start="1"/>
          <w:cols w:space="720" w:num="1"/>
          <w:docGrid w:type="lines" w:linePitch="312" w:charSpace="0"/>
        </w:sectPr>
      </w:pPr>
      <w:r>
        <w:rPr>
          <w:rFonts w:hint="eastAsia" w:ascii="宋体" w:hAnsi="宋体" w:cs="宋体"/>
          <w:color w:val="000000"/>
          <w:kern w:val="0"/>
          <w:szCs w:val="21"/>
        </w:rPr>
        <w:t>注：根据《建设项目环境影响评价政府信息公开指南（试行）》的有关规定，上述环境影响报告书、表不含涉及国家秘密、商业秘密、个人隐私以及涉及国家安全、公共安全、经济安全和社会稳定的内容。</w:t>
      </w:r>
    </w:p>
    <w:p>
      <w:pPr>
        <w:rPr>
          <w:rFonts w:hint="eastAsia" w:ascii="仿宋_GB2312" w:hAnsi="仿宋_GB2312" w:eastAsia="仿宋_GB2312" w:cs="仿宋_GB2312"/>
          <w:sz w:val="36"/>
          <w:szCs w:val="36"/>
        </w:rPr>
      </w:pPr>
    </w:p>
    <w:p>
      <w:pPr>
        <w:rPr>
          <w:rFonts w:hint="default" w:ascii="Times New Roman" w:hAnsi="Times New Roman" w:eastAsia="仿宋_GB2312" w:cs="Times New Roman"/>
          <w:color w:val="auto"/>
          <w:sz w:val="36"/>
          <w:szCs w:val="36"/>
          <w:highlight w:val="none"/>
        </w:rPr>
      </w:pPr>
    </w:p>
    <w:p>
      <w:pPr>
        <w:rPr>
          <w:rFonts w:hint="default" w:ascii="Times New Roman" w:hAnsi="Times New Roman" w:eastAsia="仿宋_GB2312" w:cs="Times New Roman"/>
          <w:color w:val="auto"/>
          <w:sz w:val="36"/>
          <w:szCs w:val="36"/>
          <w:highlight w:val="none"/>
        </w:rPr>
      </w:pPr>
    </w:p>
    <w:p>
      <w:pPr>
        <w:rPr>
          <w:rFonts w:hint="default" w:ascii="Times New Roman" w:hAnsi="Times New Roman" w:eastAsia="仿宋_GB2312" w:cs="Times New Roman"/>
          <w:color w:val="auto"/>
          <w:sz w:val="36"/>
          <w:szCs w:val="36"/>
          <w:highlight w:val="none"/>
        </w:rPr>
      </w:pPr>
    </w:p>
    <w:p>
      <w:pPr>
        <w:rPr>
          <w:rFonts w:hint="default" w:ascii="Times New Roman" w:hAnsi="Times New Roman" w:eastAsia="仿宋_GB2312" w:cs="Times New Roman"/>
          <w:color w:val="auto"/>
          <w:sz w:val="36"/>
          <w:szCs w:val="36"/>
          <w:highlight w:val="none"/>
        </w:rPr>
      </w:pPr>
    </w:p>
    <w:p>
      <w:pPr>
        <w:rPr>
          <w:rFonts w:hint="default" w:ascii="Times New Roman" w:hAnsi="Times New Roman" w:eastAsia="仿宋_GB2312" w:cs="Times New Roman"/>
          <w:color w:val="auto"/>
          <w:sz w:val="36"/>
          <w:szCs w:val="36"/>
          <w:highlight w:val="none"/>
        </w:rPr>
      </w:pPr>
    </w:p>
    <w:p>
      <w:pPr>
        <w:rPr>
          <w:rFonts w:hint="default" w:ascii="Times New Roman" w:hAnsi="Times New Roman" w:eastAsia="仿宋_GB2312" w:cs="Times New Roman"/>
          <w:color w:val="auto"/>
          <w:sz w:val="36"/>
          <w:szCs w:val="36"/>
          <w:highlight w:val="none"/>
        </w:rPr>
      </w:pPr>
    </w:p>
    <w:p>
      <w:pPr>
        <w:adjustRightInd w:val="0"/>
        <w:snapToGrid w:val="0"/>
        <w:jc w:val="center"/>
        <w:outlineLvl w:val="0"/>
        <w:rPr>
          <w:rFonts w:hint="default" w:ascii="Times New Roman" w:hAnsi="Times New Roman" w:eastAsia="方正小标宋_GBK" w:cs="Times New Roman"/>
          <w:bCs/>
          <w:color w:val="auto"/>
          <w:sz w:val="72"/>
          <w:szCs w:val="72"/>
          <w:highlight w:val="none"/>
        </w:rPr>
      </w:pPr>
      <w:r>
        <w:rPr>
          <w:rFonts w:hint="default" w:ascii="Times New Roman" w:hAnsi="Times New Roman" w:eastAsia="方正小标宋_GBK" w:cs="Times New Roman"/>
          <w:bCs/>
          <w:color w:val="auto"/>
          <w:sz w:val="72"/>
          <w:szCs w:val="72"/>
          <w:highlight w:val="none"/>
        </w:rPr>
        <w:t>建设项目环境影响报告表</w:t>
      </w:r>
    </w:p>
    <w:p>
      <w:pPr>
        <w:adjustRightInd w:val="0"/>
        <w:snapToGrid w:val="0"/>
        <w:spacing w:before="192" w:beforeLines="80"/>
        <w:jc w:val="center"/>
        <w:rPr>
          <w:rFonts w:hint="default" w:ascii="Times New Roman" w:hAnsi="Times New Roman" w:eastAsia="楷体_GB2312" w:cs="Times New Roman"/>
          <w:bCs/>
          <w:color w:val="auto"/>
          <w:sz w:val="48"/>
          <w:szCs w:val="48"/>
          <w:highlight w:val="none"/>
        </w:rPr>
      </w:pPr>
      <w:r>
        <w:rPr>
          <w:rFonts w:hint="default" w:ascii="Times New Roman" w:hAnsi="Times New Roman" w:eastAsia="楷体_GB2312" w:cs="Times New Roman"/>
          <w:bCs/>
          <w:color w:val="auto"/>
          <w:sz w:val="48"/>
          <w:szCs w:val="48"/>
          <w:highlight w:val="none"/>
        </w:rPr>
        <w:t>（</w:t>
      </w:r>
      <w:r>
        <w:rPr>
          <w:rFonts w:hint="default" w:ascii="Times New Roman" w:hAnsi="Times New Roman" w:eastAsia="楷体_GB2312" w:cs="Times New Roman"/>
          <w:bCs/>
          <w:color w:val="auto"/>
          <w:sz w:val="48"/>
          <w:szCs w:val="48"/>
          <w:highlight w:val="none"/>
          <w:lang w:eastAsia="zh-CN"/>
        </w:rPr>
        <w:t>污染影响类</w:t>
      </w:r>
      <w:r>
        <w:rPr>
          <w:rFonts w:hint="default" w:ascii="Times New Roman" w:hAnsi="Times New Roman" w:eastAsia="楷体_GB2312" w:cs="Times New Roman"/>
          <w:bCs/>
          <w:color w:val="auto"/>
          <w:sz w:val="48"/>
          <w:szCs w:val="48"/>
          <w:highlight w:val="none"/>
        </w:rPr>
        <w:t>）</w:t>
      </w:r>
    </w:p>
    <w:p>
      <w:pPr>
        <w:adjustRightInd w:val="0"/>
        <w:snapToGrid w:val="0"/>
        <w:spacing w:line="288" w:lineRule="auto"/>
        <w:jc w:val="center"/>
        <w:outlineLvl w:val="0"/>
        <w:rPr>
          <w:rFonts w:hint="default" w:ascii="Times New Roman" w:hAnsi="Times New Roman" w:eastAsia="华文仿宋" w:cs="Times New Roman"/>
          <w:color w:val="auto"/>
          <w:kern w:val="44"/>
          <w:sz w:val="44"/>
          <w:szCs w:val="44"/>
          <w:highlight w:val="none"/>
        </w:rPr>
      </w:pPr>
    </w:p>
    <w:p>
      <w:pPr>
        <w:jc w:val="center"/>
        <w:rPr>
          <w:rFonts w:hint="default" w:ascii="Times New Roman" w:hAnsi="Times New Roman" w:eastAsia="仿宋" w:cs="Times New Roman"/>
          <w:color w:val="auto"/>
          <w:sz w:val="52"/>
          <w:szCs w:val="52"/>
          <w:highlight w:val="none"/>
        </w:rPr>
      </w:pPr>
    </w:p>
    <w:p>
      <w:pPr>
        <w:ind w:firstLine="1040"/>
        <w:rPr>
          <w:rFonts w:hint="default" w:ascii="Times New Roman" w:hAnsi="Times New Roman" w:eastAsia="仿宋" w:cs="Times New Roman"/>
          <w:color w:val="auto"/>
          <w:sz w:val="44"/>
          <w:szCs w:val="44"/>
          <w:highlight w:val="none"/>
        </w:rPr>
      </w:pPr>
    </w:p>
    <w:p>
      <w:pPr>
        <w:ind w:firstLine="1040"/>
        <w:rPr>
          <w:rFonts w:hint="eastAsia" w:ascii="Times New Roman" w:hAnsi="Times New Roman" w:eastAsia="仿宋" w:cs="Times New Roman"/>
          <w:color w:val="auto"/>
          <w:sz w:val="44"/>
          <w:szCs w:val="44"/>
          <w:highlight w:val="none"/>
          <w:lang w:val="en-US" w:eastAsia="zh-CN"/>
        </w:rPr>
      </w:pPr>
    </w:p>
    <w:p>
      <w:pPr>
        <w:ind w:firstLine="1040"/>
        <w:rPr>
          <w:rFonts w:hint="eastAsia" w:ascii="Times New Roman" w:hAnsi="Times New Roman" w:eastAsia="仿宋" w:cs="Times New Roman"/>
          <w:color w:val="auto"/>
          <w:sz w:val="44"/>
          <w:szCs w:val="44"/>
          <w:highlight w:val="none"/>
          <w:lang w:val="en-US" w:eastAsia="zh-CN"/>
        </w:rPr>
      </w:pPr>
    </w:p>
    <w:p>
      <w:pPr>
        <w:ind w:firstLine="1040"/>
        <w:rPr>
          <w:rFonts w:hint="eastAsia" w:ascii="Times New Roman" w:hAnsi="Times New Roman" w:eastAsia="仿宋" w:cs="Times New Roman"/>
          <w:color w:val="auto"/>
          <w:sz w:val="44"/>
          <w:szCs w:val="44"/>
          <w:highlight w:val="none"/>
          <w:lang w:val="en-US" w:eastAsia="zh-CN"/>
        </w:rPr>
      </w:pPr>
    </w:p>
    <w:p>
      <w:pPr>
        <w:ind w:firstLine="1040"/>
        <w:rPr>
          <w:rFonts w:hint="default" w:ascii="Times New Roman" w:hAnsi="Times New Roman" w:eastAsia="仿宋" w:cs="Times New Roman"/>
          <w:color w:val="auto"/>
          <w:sz w:val="44"/>
          <w:szCs w:val="44"/>
          <w:highlight w:val="none"/>
        </w:rPr>
      </w:pPr>
    </w:p>
    <w:p>
      <w:pPr>
        <w:ind w:firstLine="1040"/>
        <w:rPr>
          <w:rFonts w:hint="default" w:ascii="Times New Roman" w:hAnsi="Times New Roman" w:eastAsia="仿宋" w:cs="Times New Roman"/>
          <w:color w:val="auto"/>
          <w:sz w:val="44"/>
          <w:szCs w:val="44"/>
          <w:highlight w:val="none"/>
        </w:rPr>
      </w:pPr>
    </w:p>
    <w:p>
      <w:pPr>
        <w:adjustRightInd w:val="0"/>
        <w:snapToGrid w:val="0"/>
        <w:spacing w:line="288" w:lineRule="auto"/>
        <w:ind w:firstLine="1040"/>
        <w:rPr>
          <w:rFonts w:hint="default" w:ascii="Times New Roman" w:hAnsi="Times New Roman" w:eastAsia="仿宋_GB2312" w:cs="Times New Roman"/>
          <w:color w:val="auto"/>
          <w:sz w:val="36"/>
          <w:szCs w:val="36"/>
          <w:highlight w:val="none"/>
        </w:rPr>
      </w:pPr>
      <w:bookmarkStart w:id="0" w:name="_Hlk57884087"/>
    </w:p>
    <w:p>
      <w:pPr>
        <w:adjustRightInd w:val="0"/>
        <w:snapToGrid w:val="0"/>
        <w:spacing w:line="288" w:lineRule="auto"/>
        <w:ind w:firstLine="1040"/>
        <w:rPr>
          <w:rFonts w:hint="default" w:ascii="Times New Roman" w:hAnsi="Times New Roman" w:eastAsia="仿宋_GB2312" w:cs="Times New Roman"/>
          <w:color w:val="auto"/>
          <w:sz w:val="36"/>
          <w:szCs w:val="36"/>
          <w:highlight w:val="none"/>
          <w:u w:val="single"/>
          <w:lang w:val="en-US" w:eastAsia="zh-CN"/>
        </w:rPr>
      </w:pPr>
      <w:r>
        <w:rPr>
          <w:rFonts w:hint="default" w:ascii="Times New Roman" w:hAnsi="Times New Roman" w:eastAsia="仿宋_GB2312" w:cs="Times New Roman"/>
          <w:color w:val="auto"/>
          <w:sz w:val="36"/>
          <w:szCs w:val="36"/>
          <w:highlight w:val="none"/>
        </w:rPr>
        <w:t>项目名称：</w:t>
      </w:r>
      <w:r>
        <w:rPr>
          <w:rFonts w:hint="eastAsia" w:ascii="Times New Roman" w:hAnsi="Times New Roman" w:eastAsia="仿宋_GB2312" w:cs="Times New Roman"/>
          <w:color w:val="auto"/>
          <w:sz w:val="36"/>
          <w:szCs w:val="36"/>
          <w:highlight w:val="none"/>
          <w:u w:val="single"/>
          <w:lang w:val="en-US" w:eastAsia="zh-CN"/>
        </w:rPr>
        <w:t>博物馆展柜玻璃加工</w:t>
      </w:r>
    </w:p>
    <w:p>
      <w:pPr>
        <w:adjustRightInd w:val="0"/>
        <w:snapToGrid w:val="0"/>
        <w:spacing w:line="288" w:lineRule="auto"/>
        <w:ind w:firstLine="1040"/>
        <w:rPr>
          <w:rFonts w:hint="default" w:ascii="Times New Roman" w:hAnsi="Times New Roman" w:eastAsia="仿宋_GB2312" w:cs="Times New Roman"/>
          <w:color w:val="auto"/>
          <w:sz w:val="36"/>
          <w:szCs w:val="36"/>
          <w:highlight w:val="none"/>
          <w:u w:val="single"/>
        </w:rPr>
      </w:pPr>
      <w:r>
        <w:rPr>
          <w:rFonts w:hint="default" w:ascii="Times New Roman" w:hAnsi="Times New Roman" w:eastAsia="仿宋_GB2312" w:cs="Times New Roman"/>
          <w:color w:val="auto"/>
          <w:sz w:val="36"/>
          <w:szCs w:val="36"/>
          <w:highlight w:val="none"/>
        </w:rPr>
        <w:t>建设单位：</w:t>
      </w:r>
      <w:r>
        <w:rPr>
          <w:rFonts w:hint="eastAsia" w:ascii="Times New Roman" w:hAnsi="Times New Roman" w:eastAsia="仿宋_GB2312" w:cs="Times New Roman"/>
          <w:color w:val="auto"/>
          <w:sz w:val="36"/>
          <w:szCs w:val="36"/>
          <w:highlight w:val="none"/>
          <w:u w:val="single"/>
          <w:lang w:eastAsia="zh-CN"/>
        </w:rPr>
        <w:t>四川珑博新材料有限公司</w:t>
      </w:r>
    </w:p>
    <w:p>
      <w:pPr>
        <w:adjustRightInd w:val="0"/>
        <w:snapToGrid w:val="0"/>
        <w:spacing w:line="288" w:lineRule="auto"/>
        <w:ind w:firstLine="1040"/>
        <w:rPr>
          <w:rFonts w:hint="default" w:ascii="Times New Roman" w:hAnsi="Times New Roman" w:eastAsia="仿宋_GB2312" w:cs="Times New Roman"/>
          <w:color w:val="auto"/>
          <w:sz w:val="36"/>
          <w:szCs w:val="36"/>
          <w:highlight w:val="none"/>
          <w:u w:val="single"/>
        </w:rPr>
      </w:pPr>
      <w:r>
        <w:rPr>
          <w:rFonts w:hint="default" w:ascii="Times New Roman" w:hAnsi="Times New Roman" w:eastAsia="仿宋_GB2312" w:cs="Times New Roman"/>
          <w:color w:val="auto"/>
          <w:sz w:val="36"/>
          <w:szCs w:val="36"/>
          <w:highlight w:val="none"/>
        </w:rPr>
        <w:t>编制日期：</w:t>
      </w:r>
      <w:r>
        <w:rPr>
          <w:rFonts w:hint="default" w:ascii="Times New Roman" w:hAnsi="Times New Roman" w:eastAsia="仿宋_GB2312" w:cs="Times New Roman"/>
          <w:color w:val="auto"/>
          <w:sz w:val="36"/>
          <w:szCs w:val="36"/>
          <w:highlight w:val="none"/>
          <w:u w:val="single"/>
          <w:lang w:val="en-US" w:eastAsia="zh-CN"/>
        </w:rPr>
        <w:t xml:space="preserve">     </w:t>
      </w:r>
      <w:r>
        <w:rPr>
          <w:rFonts w:hint="default" w:ascii="Times New Roman" w:hAnsi="Times New Roman" w:eastAsia="仿宋_GB2312" w:cs="Times New Roman"/>
          <w:color w:val="auto"/>
          <w:sz w:val="36"/>
          <w:szCs w:val="36"/>
          <w:highlight w:val="none"/>
          <w:u w:val="single"/>
          <w:lang w:eastAsia="zh-CN"/>
        </w:rPr>
        <w:t>二〇二</w:t>
      </w:r>
      <w:r>
        <w:rPr>
          <w:rFonts w:hint="eastAsia" w:ascii="Times New Roman" w:hAnsi="Times New Roman" w:eastAsia="仿宋_GB2312" w:cs="Times New Roman"/>
          <w:color w:val="auto"/>
          <w:sz w:val="36"/>
          <w:szCs w:val="36"/>
          <w:highlight w:val="none"/>
          <w:u w:val="single"/>
          <w:lang w:val="en-US" w:eastAsia="zh-CN"/>
        </w:rPr>
        <w:t>三</w:t>
      </w:r>
      <w:r>
        <w:rPr>
          <w:rFonts w:hint="default" w:ascii="Times New Roman" w:hAnsi="Times New Roman" w:eastAsia="仿宋_GB2312" w:cs="Times New Roman"/>
          <w:color w:val="auto"/>
          <w:sz w:val="36"/>
          <w:szCs w:val="36"/>
          <w:highlight w:val="none"/>
          <w:u w:val="single"/>
          <w:lang w:eastAsia="zh-CN"/>
        </w:rPr>
        <w:t>年</w:t>
      </w:r>
      <w:r>
        <w:rPr>
          <w:rFonts w:hint="eastAsia" w:ascii="Times New Roman" w:hAnsi="Times New Roman" w:eastAsia="仿宋_GB2312" w:cs="Times New Roman"/>
          <w:color w:val="auto"/>
          <w:sz w:val="36"/>
          <w:szCs w:val="36"/>
          <w:highlight w:val="none"/>
          <w:u w:val="single"/>
          <w:lang w:val="en-US" w:eastAsia="zh-CN"/>
        </w:rPr>
        <w:t>三</w:t>
      </w:r>
      <w:r>
        <w:rPr>
          <w:rFonts w:hint="default" w:ascii="Times New Roman" w:hAnsi="Times New Roman" w:eastAsia="仿宋_GB2312" w:cs="Times New Roman"/>
          <w:color w:val="auto"/>
          <w:sz w:val="36"/>
          <w:szCs w:val="36"/>
          <w:highlight w:val="none"/>
          <w:u w:val="single"/>
          <w:lang w:eastAsia="zh-CN"/>
        </w:rPr>
        <w:t>月</w:t>
      </w:r>
      <w:r>
        <w:rPr>
          <w:rFonts w:hint="default" w:ascii="Times New Roman" w:hAnsi="Times New Roman" w:eastAsia="仿宋_GB2312" w:cs="Times New Roman"/>
          <w:color w:val="auto"/>
          <w:sz w:val="36"/>
          <w:szCs w:val="36"/>
          <w:highlight w:val="none"/>
          <w:u w:val="single"/>
        </w:rPr>
        <w:t xml:space="preserve"> </w:t>
      </w:r>
      <w:r>
        <w:rPr>
          <w:rFonts w:hint="default" w:ascii="Times New Roman" w:hAnsi="Times New Roman" w:eastAsia="仿宋_GB2312" w:cs="Times New Roman"/>
          <w:color w:val="auto"/>
          <w:sz w:val="36"/>
          <w:szCs w:val="36"/>
          <w:highlight w:val="none"/>
          <w:u w:val="single"/>
          <w:lang w:val="en-US" w:eastAsia="zh-CN"/>
        </w:rPr>
        <w:t xml:space="preserve">   </w:t>
      </w:r>
      <w:r>
        <w:rPr>
          <w:rFonts w:hint="default" w:ascii="Times New Roman" w:hAnsi="Times New Roman" w:eastAsia="仿宋_GB2312" w:cs="Times New Roman"/>
          <w:color w:val="auto"/>
          <w:sz w:val="36"/>
          <w:szCs w:val="36"/>
          <w:highlight w:val="none"/>
          <w:u w:val="single"/>
        </w:rPr>
        <w:t xml:space="preserve"> </w:t>
      </w:r>
    </w:p>
    <w:p>
      <w:pPr>
        <w:adjustRightInd w:val="0"/>
        <w:snapToGrid w:val="0"/>
        <w:spacing w:line="288" w:lineRule="auto"/>
        <w:ind w:firstLine="1040"/>
        <w:rPr>
          <w:rFonts w:hint="default" w:ascii="Times New Roman" w:hAnsi="Times New Roman" w:eastAsia="仿宋_GB2312" w:cs="Times New Roman"/>
          <w:color w:val="auto"/>
          <w:sz w:val="36"/>
          <w:szCs w:val="36"/>
          <w:highlight w:val="none"/>
        </w:rPr>
      </w:pPr>
    </w:p>
    <w:p>
      <w:pPr>
        <w:adjustRightInd w:val="0"/>
        <w:snapToGrid w:val="0"/>
        <w:spacing w:line="288" w:lineRule="auto"/>
        <w:rPr>
          <w:rFonts w:hint="default" w:ascii="Times New Roman" w:hAnsi="Times New Roman" w:eastAsia="仿宋_GB2312" w:cs="Times New Roman"/>
          <w:color w:val="auto"/>
          <w:sz w:val="36"/>
          <w:szCs w:val="36"/>
          <w:highlight w:val="none"/>
        </w:rPr>
      </w:pPr>
    </w:p>
    <w:p>
      <w:pPr>
        <w:adjustRightInd w:val="0"/>
        <w:snapToGrid w:val="0"/>
        <w:spacing w:line="288" w:lineRule="auto"/>
        <w:ind w:firstLine="1040"/>
        <w:rPr>
          <w:rFonts w:hint="default" w:ascii="Times New Roman" w:hAnsi="Times New Roman" w:eastAsia="仿宋_GB2312" w:cs="Times New Roman"/>
          <w:color w:val="auto"/>
          <w:sz w:val="36"/>
          <w:szCs w:val="36"/>
          <w:highlight w:val="none"/>
        </w:rPr>
      </w:pPr>
    </w:p>
    <w:bookmarkEnd w:id="0"/>
    <w:p>
      <w:pPr>
        <w:keepNext w:val="0"/>
        <w:keepLines w:val="0"/>
        <w:pageBreakBefore w:val="0"/>
        <w:widowControl w:val="0"/>
        <w:kinsoku/>
        <w:wordWrap/>
        <w:overflowPunct/>
        <w:topLinePunct w:val="0"/>
        <w:autoSpaceDE/>
        <w:autoSpaceDN/>
        <w:bidi w:val="0"/>
        <w:adjustRightInd w:val="0"/>
        <w:snapToGrid w:val="0"/>
        <w:spacing w:line="288" w:lineRule="auto"/>
        <w:ind w:firstLine="0"/>
        <w:jc w:val="center"/>
        <w:textAlignment w:val="auto"/>
        <w:outlineLvl w:val="9"/>
        <w:rPr>
          <w:rFonts w:hint="default" w:ascii="Times New Roman" w:hAnsi="Times New Roman" w:eastAsia="楷体_GB2312" w:cs="Times New Roman"/>
          <w:color w:val="auto"/>
          <w:sz w:val="36"/>
          <w:szCs w:val="36"/>
          <w:highlight w:val="none"/>
        </w:rPr>
      </w:pPr>
      <w:r>
        <w:rPr>
          <w:rFonts w:eastAsia="楷体_GB2312"/>
          <w:color w:val="auto"/>
          <w:sz w:val="36"/>
          <w:szCs w:val="36"/>
          <w:highlight w:val="none"/>
        </w:rPr>
        <w:t>中华人民共和国生态环境部制</w:t>
      </w:r>
    </w:p>
    <w:p>
      <w:pPr>
        <w:keepNext w:val="0"/>
        <w:keepLines w:val="0"/>
        <w:pageBreakBefore w:val="0"/>
        <w:widowControl w:val="0"/>
        <w:kinsoku/>
        <w:wordWrap/>
        <w:overflowPunct/>
        <w:topLinePunct w:val="0"/>
        <w:autoSpaceDE/>
        <w:autoSpaceDN/>
        <w:bidi w:val="0"/>
        <w:adjustRightInd w:val="0"/>
        <w:snapToGrid w:val="0"/>
        <w:spacing w:line="288" w:lineRule="auto"/>
        <w:ind w:firstLine="0"/>
        <w:jc w:val="center"/>
        <w:textAlignment w:val="auto"/>
        <w:outlineLvl w:val="9"/>
        <w:rPr>
          <w:rFonts w:hint="default" w:ascii="Times New Roman" w:hAnsi="Times New Roman" w:eastAsia="仿宋_GB2312" w:cs="Times New Roman"/>
          <w:color w:val="auto"/>
          <w:sz w:val="36"/>
          <w:szCs w:val="36"/>
          <w:highlight w:val="none"/>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r>
        <w:rPr>
          <w:rFonts w:hint="default" w:ascii="Times New Roman" w:hAnsi="Times New Roman" w:eastAsia="楷体_GB2312" w:cs="Times New Roman"/>
          <w:color w:val="auto"/>
          <w:sz w:val="36"/>
          <w:szCs w:val="36"/>
          <w:highlight w:val="none"/>
        </w:rPr>
        <w:br w:type="page"/>
      </w:r>
    </w:p>
    <w:p>
      <w:pPr>
        <w:pStyle w:val="37"/>
        <w:jc w:val="center"/>
        <w:outlineLvl w:val="0"/>
        <w:rPr>
          <w:rFonts w:hint="default" w:ascii="Times New Roman" w:hAnsi="Times New Roman" w:eastAsia="黑体" w:cs="Times New Roman"/>
          <w:snapToGrid w:val="0"/>
          <w:color w:val="auto"/>
          <w:sz w:val="30"/>
          <w:szCs w:val="30"/>
          <w:highlight w:val="none"/>
        </w:rPr>
      </w:pPr>
      <w:r>
        <w:rPr>
          <w:rFonts w:hint="default" w:ascii="Times New Roman" w:hAnsi="Times New Roman" w:eastAsia="黑体" w:cs="Times New Roman"/>
          <w:snapToGrid w:val="0"/>
          <w:color w:val="auto"/>
          <w:sz w:val="30"/>
          <w:szCs w:val="30"/>
          <w:highlight w:val="none"/>
        </w:rPr>
        <w:t>一、建设项目基本情况</w:t>
      </w:r>
    </w:p>
    <w:tbl>
      <w:tblPr>
        <w:tblStyle w:val="4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894"/>
        <w:gridCol w:w="2125"/>
        <w:gridCol w:w="1892"/>
        <w:gridCol w:w="295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9" w:hRule="atLeast"/>
          <w:jc w:val="center"/>
        </w:trPr>
        <w:tc>
          <w:tcPr>
            <w:tcW w:w="1894"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建设项目名称</w:t>
            </w:r>
          </w:p>
        </w:tc>
        <w:tc>
          <w:tcPr>
            <w:tcW w:w="6976" w:type="dxa"/>
            <w:gridSpan w:val="3"/>
            <w:noWrap w:val="0"/>
            <w:vAlign w:val="center"/>
          </w:tcPr>
          <w:p>
            <w:pPr>
              <w:adjustRightInd w:val="0"/>
              <w:snapToGrid w:val="0"/>
              <w:jc w:val="center"/>
              <w:rPr>
                <w:rFonts w:hint="eastAsia" w:ascii="Times New Roman" w:hAnsi="Times New Roman" w:eastAsia="宋体" w:cs="Times New Roman"/>
                <w:color w:val="auto"/>
                <w:szCs w:val="21"/>
                <w:highlight w:val="none"/>
                <w:lang w:eastAsia="zh-CN"/>
              </w:rPr>
            </w:pPr>
            <w:r>
              <w:rPr>
                <w:rFonts w:hint="eastAsia" w:ascii="Times New Roman" w:hAnsi="Times New Roman" w:cs="Times New Roman"/>
                <w:color w:val="auto"/>
                <w:szCs w:val="21"/>
                <w:highlight w:val="none"/>
                <w:lang w:eastAsia="zh-CN"/>
              </w:rPr>
              <w:t>博物馆展柜玻璃加工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70" w:hRule="atLeast"/>
          <w:jc w:val="center"/>
        </w:trPr>
        <w:tc>
          <w:tcPr>
            <w:tcW w:w="1894"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项目代码</w:t>
            </w:r>
          </w:p>
        </w:tc>
        <w:tc>
          <w:tcPr>
            <w:tcW w:w="6976" w:type="dxa"/>
            <w:gridSpan w:val="3"/>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2302-511102-04-01-531656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894"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建设单位联系人</w:t>
            </w:r>
          </w:p>
        </w:tc>
        <w:tc>
          <w:tcPr>
            <w:tcW w:w="2125"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何艳梅</w:t>
            </w:r>
          </w:p>
        </w:tc>
        <w:tc>
          <w:tcPr>
            <w:tcW w:w="1892" w:type="dxa"/>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联系方式</w:t>
            </w:r>
          </w:p>
        </w:tc>
        <w:tc>
          <w:tcPr>
            <w:tcW w:w="2959"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18608063775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27" w:hRule="atLeast"/>
          <w:jc w:val="center"/>
        </w:trPr>
        <w:tc>
          <w:tcPr>
            <w:tcW w:w="1894"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建设地点</w:t>
            </w:r>
          </w:p>
        </w:tc>
        <w:tc>
          <w:tcPr>
            <w:tcW w:w="6976" w:type="dxa"/>
            <w:gridSpan w:val="3"/>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四川省乐山市工业集中区（嘉州工业园水口园区）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01" w:hRule="atLeast"/>
          <w:jc w:val="center"/>
        </w:trPr>
        <w:tc>
          <w:tcPr>
            <w:tcW w:w="1894"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地理坐标</w:t>
            </w:r>
          </w:p>
        </w:tc>
        <w:tc>
          <w:tcPr>
            <w:tcW w:w="6976" w:type="dxa"/>
            <w:gridSpan w:val="3"/>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r>
              <w:rPr>
                <w:rFonts w:hint="eastAsia" w:ascii="Times New Roman" w:hAnsi="Times New Roman" w:cs="Times New Roman"/>
                <w:color w:val="auto"/>
                <w:szCs w:val="21"/>
                <w:highlight w:val="none"/>
                <w:lang w:val="en-US" w:eastAsia="zh-CN"/>
              </w:rPr>
              <w:t>东经</w:t>
            </w:r>
            <w:r>
              <w:rPr>
                <w:rFonts w:hint="default" w:ascii="Times New Roman" w:hAnsi="Times New Roman" w:cs="Times New Roman"/>
                <w:color w:val="auto"/>
                <w:szCs w:val="21"/>
                <w:highlight w:val="none"/>
                <w:u w:val="single"/>
                <w:lang w:val="en-US" w:eastAsia="zh-CN"/>
              </w:rPr>
              <w:t>10</w:t>
            </w:r>
            <w:r>
              <w:rPr>
                <w:rFonts w:hint="eastAsia" w:ascii="Times New Roman" w:hAnsi="Times New Roman" w:cs="Times New Roman"/>
                <w:color w:val="auto"/>
                <w:szCs w:val="21"/>
                <w:highlight w:val="none"/>
                <w:u w:val="single"/>
                <w:lang w:val="en-US" w:eastAsia="zh-CN"/>
              </w:rPr>
              <w:t>3</w:t>
            </w:r>
            <w:r>
              <w:rPr>
                <w:rFonts w:hint="default" w:ascii="Times New Roman" w:hAnsi="Times New Roman" w:cs="Times New Roman"/>
                <w:color w:val="auto"/>
                <w:szCs w:val="21"/>
                <w:highlight w:val="none"/>
              </w:rPr>
              <w:t>度</w:t>
            </w:r>
            <w:r>
              <w:rPr>
                <w:rFonts w:hint="eastAsia" w:ascii="Times New Roman" w:hAnsi="Times New Roman" w:cs="Times New Roman"/>
                <w:color w:val="auto"/>
                <w:szCs w:val="21"/>
                <w:highlight w:val="none"/>
                <w:u w:val="single"/>
                <w:lang w:val="en-US" w:eastAsia="zh-CN"/>
              </w:rPr>
              <w:t>39</w:t>
            </w:r>
            <w:r>
              <w:rPr>
                <w:rFonts w:hint="default" w:ascii="Times New Roman" w:hAnsi="Times New Roman" w:cs="Times New Roman"/>
                <w:color w:val="auto"/>
                <w:szCs w:val="21"/>
                <w:highlight w:val="none"/>
              </w:rPr>
              <w:t>分</w:t>
            </w:r>
            <w:r>
              <w:rPr>
                <w:rFonts w:hint="eastAsia" w:ascii="Times New Roman" w:hAnsi="Times New Roman" w:cs="Times New Roman"/>
                <w:color w:val="auto"/>
                <w:szCs w:val="21"/>
                <w:highlight w:val="none"/>
                <w:u w:val="single"/>
                <w:lang w:val="en-US" w:eastAsia="zh-CN"/>
              </w:rPr>
              <w:t>2.160</w:t>
            </w:r>
            <w:r>
              <w:rPr>
                <w:rFonts w:hint="default" w:ascii="Times New Roman" w:hAnsi="Times New Roman" w:cs="Times New Roman"/>
                <w:color w:val="auto"/>
                <w:szCs w:val="21"/>
                <w:highlight w:val="none"/>
              </w:rPr>
              <w:t>秒，</w:t>
            </w:r>
            <w:r>
              <w:rPr>
                <w:rFonts w:hint="eastAsia" w:ascii="Times New Roman" w:hAnsi="Times New Roman" w:cs="Times New Roman"/>
                <w:color w:val="auto"/>
                <w:szCs w:val="21"/>
                <w:highlight w:val="none"/>
                <w:lang w:val="en-US" w:eastAsia="zh-CN"/>
              </w:rPr>
              <w:t>北纬</w:t>
            </w:r>
            <w:r>
              <w:rPr>
                <w:rFonts w:hint="default" w:ascii="Times New Roman" w:hAnsi="Times New Roman" w:cs="Times New Roman"/>
                <w:color w:val="auto"/>
                <w:szCs w:val="21"/>
                <w:highlight w:val="none"/>
                <w:u w:val="single"/>
                <w:lang w:val="en-US" w:eastAsia="zh-CN"/>
              </w:rPr>
              <w:t>2</w:t>
            </w:r>
            <w:r>
              <w:rPr>
                <w:rFonts w:hint="eastAsia" w:ascii="Times New Roman" w:hAnsi="Times New Roman" w:cs="Times New Roman"/>
                <w:color w:val="auto"/>
                <w:szCs w:val="21"/>
                <w:highlight w:val="none"/>
                <w:u w:val="single"/>
                <w:lang w:val="en-US" w:eastAsia="zh-CN"/>
              </w:rPr>
              <w:t>9</w:t>
            </w:r>
            <w:r>
              <w:rPr>
                <w:rFonts w:hint="default" w:ascii="Times New Roman" w:hAnsi="Times New Roman" w:cs="Times New Roman"/>
                <w:color w:val="auto"/>
                <w:szCs w:val="21"/>
                <w:highlight w:val="none"/>
              </w:rPr>
              <w:t>度</w:t>
            </w:r>
            <w:r>
              <w:rPr>
                <w:rFonts w:hint="eastAsia" w:ascii="Times New Roman" w:hAnsi="Times New Roman" w:cs="Times New Roman"/>
                <w:color w:val="auto"/>
                <w:szCs w:val="21"/>
                <w:highlight w:val="none"/>
                <w:u w:val="single"/>
                <w:lang w:val="en-US" w:eastAsia="zh-CN"/>
              </w:rPr>
              <w:t>32</w:t>
            </w:r>
            <w:r>
              <w:rPr>
                <w:rFonts w:hint="default" w:ascii="Times New Roman" w:hAnsi="Times New Roman" w:cs="Times New Roman"/>
                <w:color w:val="auto"/>
                <w:szCs w:val="21"/>
                <w:highlight w:val="none"/>
              </w:rPr>
              <w:t>分</w:t>
            </w:r>
            <w:r>
              <w:rPr>
                <w:rFonts w:hint="eastAsia" w:ascii="Times New Roman" w:hAnsi="Times New Roman" w:cs="Times New Roman"/>
                <w:color w:val="auto"/>
                <w:szCs w:val="21"/>
                <w:highlight w:val="none"/>
                <w:u w:val="single"/>
                <w:lang w:val="en-US" w:eastAsia="zh-CN"/>
              </w:rPr>
              <w:t>36.240</w:t>
            </w:r>
            <w:r>
              <w:rPr>
                <w:rFonts w:hint="default" w:ascii="Times New Roman" w:hAnsi="Times New Roman" w:cs="Times New Roman"/>
                <w:color w:val="auto"/>
                <w:szCs w:val="21"/>
                <w:highlight w:val="none"/>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894"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国民经济</w:t>
            </w:r>
          </w:p>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行业类别</w:t>
            </w:r>
          </w:p>
        </w:tc>
        <w:tc>
          <w:tcPr>
            <w:tcW w:w="2125"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3042特种玻璃制造</w:t>
            </w:r>
          </w:p>
        </w:tc>
        <w:tc>
          <w:tcPr>
            <w:tcW w:w="1892" w:type="dxa"/>
            <w:noWrap w:val="0"/>
            <w:vAlign w:val="center"/>
          </w:tcPr>
          <w:p>
            <w:pPr>
              <w:adjustRightInd w:val="0"/>
              <w:snapToGrid w:val="0"/>
              <w:jc w:val="center"/>
              <w:rPr>
                <w:rFonts w:hint="default" w:ascii="Times New Roman" w:hAnsi="Times New Roman" w:cs="Times New Roman"/>
                <w:color w:val="auto"/>
                <w:szCs w:val="21"/>
                <w:highlight w:val="none"/>
              </w:rPr>
            </w:pPr>
            <w:bookmarkStart w:id="1" w:name="_Hlk49843745"/>
            <w:r>
              <w:rPr>
                <w:rFonts w:hint="default" w:ascii="Times New Roman" w:hAnsi="Times New Roman" w:cs="Times New Roman"/>
                <w:color w:val="auto"/>
                <w:szCs w:val="21"/>
                <w:highlight w:val="none"/>
              </w:rPr>
              <w:t>建设项目</w:t>
            </w:r>
          </w:p>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行业类别</w:t>
            </w:r>
            <w:bookmarkEnd w:id="1"/>
          </w:p>
        </w:tc>
        <w:tc>
          <w:tcPr>
            <w:tcW w:w="2959"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二十七、非金属矿物制品业 57 玻璃制造304 特种玻璃制造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170" w:hRule="atLeast"/>
          <w:jc w:val="center"/>
        </w:trPr>
        <w:tc>
          <w:tcPr>
            <w:tcW w:w="1894"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建设性质</w:t>
            </w:r>
          </w:p>
        </w:tc>
        <w:tc>
          <w:tcPr>
            <w:tcW w:w="2125" w:type="dxa"/>
            <w:noWrap w:val="0"/>
            <w:vAlign w:val="center"/>
          </w:tcPr>
          <w:p>
            <w:pPr>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sym w:font="Wingdings 2" w:char="0052"/>
            </w:r>
            <w:r>
              <w:rPr>
                <w:rFonts w:hint="default" w:ascii="Times New Roman" w:hAnsi="Times New Roman" w:cs="Times New Roman"/>
                <w:color w:val="auto"/>
                <w:szCs w:val="21"/>
                <w:highlight w:val="none"/>
              </w:rPr>
              <w:t>新建（迁建）</w:t>
            </w:r>
          </w:p>
          <w:p>
            <w:pPr>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sym w:font="Wingdings 2" w:char="00A3"/>
            </w:r>
            <w:r>
              <w:rPr>
                <w:rFonts w:hint="default" w:ascii="Times New Roman" w:hAnsi="Times New Roman" w:cs="Times New Roman"/>
                <w:color w:val="auto"/>
                <w:szCs w:val="21"/>
                <w:highlight w:val="none"/>
              </w:rPr>
              <w:t>改建</w:t>
            </w:r>
          </w:p>
          <w:p>
            <w:pPr>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sym w:font="Wingdings 2" w:char="00A3"/>
            </w:r>
            <w:r>
              <w:rPr>
                <w:rFonts w:hint="default" w:ascii="Times New Roman" w:hAnsi="Times New Roman" w:cs="Times New Roman"/>
                <w:color w:val="auto"/>
                <w:szCs w:val="21"/>
                <w:highlight w:val="none"/>
              </w:rPr>
              <w:t>扩建</w:t>
            </w:r>
          </w:p>
          <w:p>
            <w:pPr>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sym w:font="Wingdings 2" w:char="00A3"/>
            </w:r>
            <w:r>
              <w:rPr>
                <w:rFonts w:hint="default" w:ascii="Times New Roman" w:hAnsi="Times New Roman" w:cs="Times New Roman"/>
                <w:color w:val="auto"/>
                <w:szCs w:val="21"/>
                <w:highlight w:val="none"/>
              </w:rPr>
              <w:t>技术改造</w:t>
            </w:r>
          </w:p>
        </w:tc>
        <w:tc>
          <w:tcPr>
            <w:tcW w:w="1892" w:type="dxa"/>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建设项目</w:t>
            </w:r>
          </w:p>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申报情形</w:t>
            </w:r>
          </w:p>
        </w:tc>
        <w:tc>
          <w:tcPr>
            <w:tcW w:w="2959" w:type="dxa"/>
            <w:noWrap w:val="0"/>
            <w:vAlign w:val="center"/>
          </w:tcPr>
          <w:p>
            <w:pPr>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sym w:font="Wingdings 2" w:char="0052"/>
            </w:r>
            <w:r>
              <w:rPr>
                <w:rFonts w:hint="default" w:ascii="Times New Roman" w:hAnsi="Times New Roman" w:cs="Times New Roman"/>
                <w:color w:val="auto"/>
                <w:szCs w:val="21"/>
                <w:highlight w:val="none"/>
              </w:rPr>
              <w:t xml:space="preserve">首次申报项目             </w:t>
            </w:r>
          </w:p>
          <w:p>
            <w:pPr>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sym w:font="Wingdings 2" w:char="00A3"/>
            </w:r>
            <w:r>
              <w:rPr>
                <w:rFonts w:hint="default" w:ascii="Times New Roman" w:hAnsi="Times New Roman" w:cs="Times New Roman"/>
                <w:color w:val="auto"/>
                <w:szCs w:val="21"/>
                <w:highlight w:val="none"/>
              </w:rPr>
              <w:t>不予批准后再次申报项目</w:t>
            </w:r>
          </w:p>
          <w:p>
            <w:pPr>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sym w:font="Wingdings 2" w:char="00A3"/>
            </w:r>
            <w:r>
              <w:rPr>
                <w:rFonts w:hint="default" w:ascii="Times New Roman" w:hAnsi="Times New Roman" w:cs="Times New Roman"/>
                <w:color w:val="auto"/>
                <w:szCs w:val="21"/>
                <w:highlight w:val="none"/>
              </w:rPr>
              <w:t xml:space="preserve">超五年重新审核项目     </w:t>
            </w:r>
          </w:p>
          <w:p>
            <w:pPr>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sym w:font="Wingdings 2" w:char="00A3"/>
            </w:r>
            <w:r>
              <w:rPr>
                <w:rFonts w:hint="default" w:ascii="Times New Roman" w:hAnsi="Times New Roman" w:cs="Times New Roman"/>
                <w:color w:val="auto"/>
                <w:szCs w:val="21"/>
                <w:highlight w:val="none"/>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894"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项目审批（核准/</w:t>
            </w:r>
          </w:p>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备案）部门（选填）</w:t>
            </w:r>
          </w:p>
        </w:tc>
        <w:tc>
          <w:tcPr>
            <w:tcW w:w="2125"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eastAsia="zh-CN"/>
              </w:rPr>
              <w:t>乐山市中区发展和改革局</w:t>
            </w:r>
          </w:p>
        </w:tc>
        <w:tc>
          <w:tcPr>
            <w:tcW w:w="1892" w:type="dxa"/>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项目审批（核准/</w:t>
            </w:r>
          </w:p>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备案）文号（选填）</w:t>
            </w:r>
          </w:p>
        </w:tc>
        <w:tc>
          <w:tcPr>
            <w:tcW w:w="2959" w:type="dxa"/>
            <w:noWrap w:val="0"/>
            <w:vAlign w:val="center"/>
          </w:tcPr>
          <w:p>
            <w:pPr>
              <w:adjustRightInd w:val="0"/>
              <w:snapToGrid w:val="0"/>
              <w:jc w:val="center"/>
              <w:rPr>
                <w:rFonts w:hint="eastAsia" w:ascii="Times New Roman" w:hAnsi="Times New Roman" w:eastAsia="宋体" w:cs="Times New Roman"/>
                <w:color w:val="auto"/>
                <w:szCs w:val="21"/>
                <w:highlight w:val="none"/>
                <w:lang w:eastAsia="zh-CN"/>
              </w:rPr>
            </w:pPr>
            <w:r>
              <w:rPr>
                <w:rFonts w:hint="eastAsia" w:ascii="Times New Roman" w:hAnsi="Times New Roman" w:cs="Times New Roman"/>
                <w:color w:val="auto"/>
                <w:szCs w:val="21"/>
                <w:highlight w:val="none"/>
                <w:lang w:eastAsia="zh-CN"/>
              </w:rPr>
              <w:t>川投资备【2302-511102-04-01-531656】FGQB-0020号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94"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总投资（万元）</w:t>
            </w:r>
          </w:p>
        </w:tc>
        <w:tc>
          <w:tcPr>
            <w:tcW w:w="2125"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3000</w:t>
            </w:r>
          </w:p>
        </w:tc>
        <w:tc>
          <w:tcPr>
            <w:tcW w:w="1892"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环保投资（万元）</w:t>
            </w:r>
          </w:p>
        </w:tc>
        <w:tc>
          <w:tcPr>
            <w:tcW w:w="2959"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67.5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94"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环保投资占比（%）</w:t>
            </w:r>
          </w:p>
        </w:tc>
        <w:tc>
          <w:tcPr>
            <w:tcW w:w="2125"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2.25</w:t>
            </w:r>
          </w:p>
        </w:tc>
        <w:tc>
          <w:tcPr>
            <w:tcW w:w="1892"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施工工期</w:t>
            </w:r>
          </w:p>
        </w:tc>
        <w:tc>
          <w:tcPr>
            <w:tcW w:w="2959"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8个月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94"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是否开工建设</w:t>
            </w:r>
          </w:p>
        </w:tc>
        <w:tc>
          <w:tcPr>
            <w:tcW w:w="2125" w:type="dxa"/>
            <w:noWrap w:val="0"/>
            <w:vAlign w:val="center"/>
          </w:tcPr>
          <w:p>
            <w:pPr>
              <w:adjustRightInd w:val="0"/>
              <w:snapToGrid w:val="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sym w:font="Wingdings 2" w:char="0052"/>
            </w:r>
            <w:r>
              <w:rPr>
                <w:rFonts w:hint="default" w:ascii="Times New Roman" w:hAnsi="Times New Roman" w:cs="Times New Roman"/>
                <w:color w:val="auto"/>
                <w:szCs w:val="21"/>
                <w:highlight w:val="none"/>
              </w:rPr>
              <w:t>否</w:t>
            </w:r>
          </w:p>
          <w:p>
            <w:pPr>
              <w:adjustRightInd w:val="0"/>
              <w:snapToGrid w:val="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sym w:font="Wingdings 2" w:char="00A3"/>
            </w:r>
            <w:r>
              <w:rPr>
                <w:rFonts w:hint="default" w:ascii="Times New Roman" w:hAnsi="Times New Roman" w:cs="Times New Roman"/>
                <w:color w:val="auto"/>
                <w:szCs w:val="21"/>
                <w:highlight w:val="none"/>
              </w:rPr>
              <w:t>是：</w:t>
            </w:r>
            <w:r>
              <w:rPr>
                <w:rFonts w:hint="default" w:ascii="Times New Roman" w:hAnsi="Times New Roman" w:cs="Times New Roman"/>
                <w:color w:val="auto"/>
                <w:szCs w:val="21"/>
                <w:highlight w:val="none"/>
                <w:u w:val="single"/>
              </w:rPr>
              <w:t xml:space="preserve">             </w:t>
            </w:r>
          </w:p>
        </w:tc>
        <w:tc>
          <w:tcPr>
            <w:tcW w:w="1892"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pacing w:val="-6"/>
                <w:szCs w:val="21"/>
                <w:highlight w:val="none"/>
              </w:rPr>
            </w:pPr>
            <w:r>
              <w:rPr>
                <w:rFonts w:hint="default" w:ascii="Times New Roman" w:hAnsi="Times New Roman" w:cs="Times New Roman"/>
                <w:color w:val="auto"/>
                <w:spacing w:val="-6"/>
                <w:szCs w:val="21"/>
                <w:highlight w:val="none"/>
              </w:rPr>
              <w:t>用地（用海）</w:t>
            </w:r>
          </w:p>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pacing w:val="-6"/>
                <w:szCs w:val="21"/>
                <w:highlight w:val="none"/>
              </w:rPr>
              <w:t>面积（m</w:t>
            </w:r>
            <w:r>
              <w:rPr>
                <w:rFonts w:hint="default" w:ascii="Times New Roman" w:hAnsi="Times New Roman" w:cs="Times New Roman"/>
                <w:color w:val="auto"/>
                <w:spacing w:val="-6"/>
                <w:szCs w:val="21"/>
                <w:highlight w:val="none"/>
                <w:vertAlign w:val="superscript"/>
              </w:rPr>
              <w:t>2</w:t>
            </w:r>
            <w:r>
              <w:rPr>
                <w:rFonts w:hint="default" w:ascii="Times New Roman" w:hAnsi="Times New Roman" w:cs="Times New Roman"/>
                <w:color w:val="auto"/>
                <w:spacing w:val="-6"/>
                <w:szCs w:val="21"/>
                <w:highlight w:val="none"/>
              </w:rPr>
              <w:t>）</w:t>
            </w:r>
          </w:p>
        </w:tc>
        <w:tc>
          <w:tcPr>
            <w:tcW w:w="2959"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13333.33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05" w:hRule="atLeast"/>
          <w:jc w:val="center"/>
        </w:trPr>
        <w:tc>
          <w:tcPr>
            <w:tcW w:w="1894" w:type="dxa"/>
            <w:noWrap w:val="0"/>
            <w:vAlign w:val="center"/>
          </w:tcPr>
          <w:p>
            <w:pPr>
              <w:autoSpaceDE w:val="0"/>
              <w:autoSpaceDN w:val="0"/>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专项评价设置情况</w:t>
            </w:r>
          </w:p>
        </w:tc>
        <w:tc>
          <w:tcPr>
            <w:tcW w:w="6976" w:type="dxa"/>
            <w:gridSpan w:val="3"/>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uto"/>
              <w:ind w:firstLine="440" w:firstLineChars="200"/>
              <w:jc w:val="left"/>
              <w:textAlignment w:val="auto"/>
              <w:outlineLvl w:val="9"/>
              <w:rPr>
                <w:rFonts w:hint="default" w:ascii="Times New Roman" w:hAnsi="Times New Roman" w:cs="Times New Roman"/>
                <w:color w:val="auto"/>
                <w:kern w:val="0"/>
                <w:sz w:val="22"/>
                <w:szCs w:val="22"/>
                <w:highlight w:val="none"/>
                <w:lang w:eastAsia="zh-CN"/>
              </w:rPr>
            </w:pPr>
            <w:r>
              <w:rPr>
                <w:rFonts w:hint="default" w:ascii="Times New Roman" w:hAnsi="Times New Roman" w:cs="Times New Roman"/>
                <w:color w:val="auto"/>
                <w:kern w:val="0"/>
                <w:sz w:val="22"/>
                <w:szCs w:val="22"/>
                <w:highlight w:val="none"/>
                <w:lang w:eastAsia="zh-CN"/>
              </w:rPr>
              <w:t>依据《建设项目环境影响报告表编制技术指南-污染影响类》专项评价设置原则表，项目无需进行专项评价</w:t>
            </w:r>
          </w:p>
          <w:tbl>
            <w:tblPr>
              <w:tblStyle w:val="42"/>
              <w:tblW w:w="0" w:type="auto"/>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929"/>
              <w:gridCol w:w="4050"/>
              <w:gridCol w:w="1746"/>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93" w:hRule="atLeast"/>
                <w:jc w:val="center"/>
              </w:trPr>
              <w:tc>
                <w:tcPr>
                  <w:tcW w:w="929" w:type="dxa"/>
                  <w:noWrap w:val="0"/>
                  <w:vAlign w:val="center"/>
                </w:tcPr>
                <w:p>
                  <w:pPr>
                    <w:autoSpaceDN w:val="0"/>
                    <w:adjustRightInd w:val="0"/>
                    <w:snapToGrid w:val="0"/>
                    <w:jc w:val="center"/>
                    <w:rPr>
                      <w:rFonts w:hint="default" w:ascii="Times New Roman" w:hAnsi="Times New Roman" w:eastAsia="仿宋体" w:cs="Times New Roman"/>
                      <w:bCs/>
                      <w:szCs w:val="21"/>
                    </w:rPr>
                  </w:pPr>
                  <w:r>
                    <w:rPr>
                      <w:rFonts w:hint="default" w:ascii="Times New Roman" w:hAnsi="Times New Roman" w:eastAsia="仿宋体" w:cs="Times New Roman"/>
                      <w:bCs/>
                      <w:szCs w:val="21"/>
                    </w:rPr>
                    <w:t>专项评价类别</w:t>
                  </w:r>
                </w:p>
              </w:tc>
              <w:tc>
                <w:tcPr>
                  <w:tcW w:w="4050" w:type="dxa"/>
                  <w:noWrap w:val="0"/>
                  <w:vAlign w:val="center"/>
                </w:tcPr>
                <w:p>
                  <w:pPr>
                    <w:autoSpaceDN w:val="0"/>
                    <w:adjustRightInd w:val="0"/>
                    <w:snapToGrid w:val="0"/>
                    <w:jc w:val="center"/>
                    <w:rPr>
                      <w:rFonts w:hint="default" w:ascii="Times New Roman" w:hAnsi="Times New Roman" w:eastAsia="仿宋体" w:cs="Times New Roman"/>
                      <w:bCs/>
                      <w:szCs w:val="21"/>
                    </w:rPr>
                  </w:pPr>
                  <w:r>
                    <w:rPr>
                      <w:rFonts w:hint="default" w:ascii="Times New Roman" w:hAnsi="Times New Roman" w:eastAsia="仿宋体" w:cs="Times New Roman"/>
                      <w:bCs/>
                      <w:szCs w:val="21"/>
                    </w:rPr>
                    <w:t>设置原则</w:t>
                  </w:r>
                </w:p>
              </w:tc>
              <w:tc>
                <w:tcPr>
                  <w:tcW w:w="1746" w:type="dxa"/>
                  <w:noWrap w:val="0"/>
                  <w:vAlign w:val="center"/>
                </w:tcPr>
                <w:p>
                  <w:pPr>
                    <w:autoSpaceDN w:val="0"/>
                    <w:snapToGrid w:val="0"/>
                    <w:jc w:val="center"/>
                    <w:rPr>
                      <w:rFonts w:hint="default" w:ascii="Times New Roman" w:hAnsi="Times New Roman" w:eastAsia="仿宋体" w:cs="Times New Roman"/>
                      <w:bCs/>
                      <w:szCs w:val="21"/>
                    </w:rPr>
                  </w:pPr>
                  <w:r>
                    <w:rPr>
                      <w:rFonts w:hint="default" w:ascii="Times New Roman" w:hAnsi="Times New Roman" w:eastAsia="仿宋体" w:cs="Times New Roman"/>
                      <w:bCs/>
                      <w:szCs w:val="21"/>
                    </w:rPr>
                    <w:t>结论</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21" w:hRule="atLeast"/>
                <w:jc w:val="center"/>
              </w:trPr>
              <w:tc>
                <w:tcPr>
                  <w:tcW w:w="929" w:type="dxa"/>
                  <w:noWrap w:val="0"/>
                  <w:vAlign w:val="center"/>
                </w:tcPr>
                <w:p>
                  <w:pPr>
                    <w:autoSpaceDN w:val="0"/>
                    <w:adjustRightInd w:val="0"/>
                    <w:snapToGrid w:val="0"/>
                    <w:jc w:val="center"/>
                    <w:rPr>
                      <w:rFonts w:hint="default" w:ascii="Times New Roman" w:hAnsi="Times New Roman" w:eastAsia="仿宋体" w:cs="Times New Roman"/>
                      <w:bCs/>
                      <w:szCs w:val="21"/>
                    </w:rPr>
                  </w:pPr>
                  <w:r>
                    <w:rPr>
                      <w:rFonts w:hint="default" w:ascii="Times New Roman" w:hAnsi="Times New Roman" w:eastAsia="仿宋体" w:cs="Times New Roman"/>
                      <w:bCs/>
                      <w:szCs w:val="21"/>
                    </w:rPr>
                    <w:t>大气</w:t>
                  </w:r>
                </w:p>
              </w:tc>
              <w:tc>
                <w:tcPr>
                  <w:tcW w:w="4050" w:type="dxa"/>
                  <w:noWrap w:val="0"/>
                  <w:vAlign w:val="center"/>
                </w:tcPr>
                <w:p>
                  <w:pPr>
                    <w:autoSpaceDN w:val="0"/>
                    <w:adjustRightInd w:val="0"/>
                    <w:snapToGrid w:val="0"/>
                    <w:jc w:val="center"/>
                    <w:rPr>
                      <w:rFonts w:hint="default" w:ascii="Times New Roman" w:hAnsi="Times New Roman" w:eastAsia="仿宋体" w:cs="Times New Roman"/>
                      <w:bCs/>
                      <w:szCs w:val="21"/>
                    </w:rPr>
                  </w:pPr>
                  <w:r>
                    <w:rPr>
                      <w:rFonts w:hint="default" w:ascii="Times New Roman" w:hAnsi="Times New Roman" w:eastAsia="仿宋体" w:cs="Times New Roman"/>
                      <w:bCs/>
                      <w:szCs w:val="21"/>
                    </w:rPr>
                    <w:t>排放废气含有毒有害污染物</w:t>
                  </w:r>
                  <w:r>
                    <w:rPr>
                      <w:rFonts w:hint="default" w:ascii="Times New Roman" w:hAnsi="Times New Roman" w:eastAsia="仿宋体" w:cs="Times New Roman"/>
                      <w:bCs/>
                      <w:szCs w:val="21"/>
                      <w:vertAlign w:val="superscript"/>
                    </w:rPr>
                    <w:t>1</w:t>
                  </w:r>
                  <w:r>
                    <w:rPr>
                      <w:rFonts w:hint="default" w:ascii="Times New Roman" w:hAnsi="Times New Roman" w:eastAsia="仿宋体" w:cs="Times New Roman"/>
                      <w:bCs/>
                      <w:szCs w:val="21"/>
                    </w:rPr>
                    <w:t>、二噁英、苯并[a]芘、氰化物、氯气且厂界外500米范围内有环境空气保护目标</w:t>
                  </w:r>
                  <w:r>
                    <w:rPr>
                      <w:rFonts w:hint="default" w:ascii="Times New Roman" w:hAnsi="Times New Roman" w:eastAsia="仿宋体" w:cs="Times New Roman"/>
                      <w:bCs/>
                      <w:szCs w:val="21"/>
                      <w:vertAlign w:val="superscript"/>
                    </w:rPr>
                    <w:t>2</w:t>
                  </w:r>
                  <w:r>
                    <w:rPr>
                      <w:rFonts w:hint="default" w:ascii="Times New Roman" w:hAnsi="Times New Roman" w:eastAsia="仿宋体" w:cs="Times New Roman"/>
                      <w:bCs/>
                      <w:szCs w:val="21"/>
                    </w:rPr>
                    <w:t>的建设项目</w:t>
                  </w:r>
                </w:p>
              </w:tc>
              <w:tc>
                <w:tcPr>
                  <w:tcW w:w="1746" w:type="dxa"/>
                  <w:noWrap w:val="0"/>
                  <w:vAlign w:val="center"/>
                </w:tcPr>
                <w:p>
                  <w:pPr>
                    <w:autoSpaceDN w:val="0"/>
                    <w:adjustRightInd w:val="0"/>
                    <w:snapToGrid w:val="0"/>
                    <w:jc w:val="center"/>
                    <w:rPr>
                      <w:rFonts w:hint="default" w:ascii="Times New Roman" w:hAnsi="Times New Roman" w:eastAsia="仿宋体" w:cs="Times New Roman"/>
                      <w:bCs/>
                      <w:szCs w:val="21"/>
                    </w:rPr>
                  </w:pPr>
                  <w:r>
                    <w:rPr>
                      <w:rFonts w:hint="default" w:ascii="Times New Roman" w:hAnsi="Times New Roman" w:eastAsia="仿宋体" w:cs="Times New Roman"/>
                      <w:bCs/>
                      <w:color w:val="auto"/>
                      <w:szCs w:val="21"/>
                    </w:rPr>
                    <w:t>不涉及</w:t>
                  </w:r>
                  <w:r>
                    <w:rPr>
                      <w:rFonts w:hint="default" w:ascii="Times New Roman" w:hAnsi="Times New Roman" w:eastAsia="仿宋体" w:cs="Times New Roman"/>
                      <w:bCs/>
                      <w:color w:val="auto"/>
                      <w:szCs w:val="21"/>
                      <w:lang w:eastAsia="zh-CN"/>
                    </w:rPr>
                    <w:t>其</w:t>
                  </w:r>
                  <w:r>
                    <w:rPr>
                      <w:rFonts w:hint="default" w:ascii="Times New Roman" w:hAnsi="Times New Roman" w:eastAsia="仿宋体" w:cs="Times New Roman"/>
                      <w:bCs/>
                      <w:color w:val="auto"/>
                      <w:szCs w:val="21"/>
                    </w:rPr>
                    <w:t>中有害物质，无需设置</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21" w:hRule="atLeast"/>
                <w:jc w:val="center"/>
              </w:trPr>
              <w:tc>
                <w:tcPr>
                  <w:tcW w:w="929" w:type="dxa"/>
                  <w:noWrap w:val="0"/>
                  <w:vAlign w:val="center"/>
                </w:tcPr>
                <w:p>
                  <w:pPr>
                    <w:autoSpaceDN w:val="0"/>
                    <w:adjustRightInd w:val="0"/>
                    <w:snapToGrid w:val="0"/>
                    <w:jc w:val="center"/>
                    <w:rPr>
                      <w:rFonts w:hint="default" w:ascii="Times New Roman" w:hAnsi="Times New Roman" w:eastAsia="仿宋体" w:cs="Times New Roman"/>
                      <w:bCs/>
                      <w:szCs w:val="21"/>
                    </w:rPr>
                  </w:pPr>
                  <w:r>
                    <w:rPr>
                      <w:rFonts w:hint="default" w:ascii="Times New Roman" w:hAnsi="Times New Roman" w:eastAsia="仿宋体" w:cs="Times New Roman"/>
                      <w:bCs/>
                      <w:szCs w:val="21"/>
                    </w:rPr>
                    <w:t>地表水</w:t>
                  </w:r>
                </w:p>
              </w:tc>
              <w:tc>
                <w:tcPr>
                  <w:tcW w:w="4050" w:type="dxa"/>
                  <w:noWrap w:val="0"/>
                  <w:vAlign w:val="center"/>
                </w:tcPr>
                <w:p>
                  <w:pPr>
                    <w:autoSpaceDN w:val="0"/>
                    <w:adjustRightInd w:val="0"/>
                    <w:snapToGrid w:val="0"/>
                    <w:jc w:val="center"/>
                    <w:rPr>
                      <w:rFonts w:hint="default" w:ascii="Times New Roman" w:hAnsi="Times New Roman" w:eastAsia="仿宋体" w:cs="Times New Roman"/>
                      <w:bCs/>
                      <w:szCs w:val="21"/>
                    </w:rPr>
                  </w:pPr>
                  <w:r>
                    <w:rPr>
                      <w:rFonts w:hint="default" w:ascii="Times New Roman" w:hAnsi="Times New Roman" w:eastAsia="仿宋体" w:cs="Times New Roman"/>
                      <w:bCs/>
                      <w:szCs w:val="21"/>
                    </w:rPr>
                    <w:t>新增工业废水直排建设项目（槽罐车外送污水处理厂的除外）；新增废水直排污水集中处理厂</w:t>
                  </w:r>
                </w:p>
              </w:tc>
              <w:tc>
                <w:tcPr>
                  <w:tcW w:w="1746" w:type="dxa"/>
                  <w:noWrap w:val="0"/>
                  <w:vAlign w:val="center"/>
                </w:tcPr>
                <w:p>
                  <w:pPr>
                    <w:autoSpaceDN w:val="0"/>
                    <w:adjustRightInd w:val="0"/>
                    <w:snapToGrid w:val="0"/>
                    <w:jc w:val="center"/>
                    <w:rPr>
                      <w:rFonts w:hint="default" w:ascii="Times New Roman" w:hAnsi="Times New Roman" w:eastAsia="仿宋体" w:cs="Times New Roman"/>
                      <w:bCs/>
                      <w:szCs w:val="21"/>
                    </w:rPr>
                  </w:pPr>
                  <w:r>
                    <w:rPr>
                      <w:rFonts w:hint="default" w:ascii="Times New Roman" w:hAnsi="Times New Roman" w:eastAsia="仿宋体" w:cs="Times New Roman"/>
                      <w:bCs/>
                      <w:color w:val="auto"/>
                      <w:szCs w:val="21"/>
                      <w:highlight w:val="none"/>
                      <w:lang w:val="en-US" w:eastAsia="zh-CN"/>
                    </w:rPr>
                    <w:t>项目</w:t>
                  </w:r>
                  <w:r>
                    <w:rPr>
                      <w:rFonts w:hint="eastAsia" w:ascii="Times New Roman" w:hAnsi="Times New Roman" w:eastAsia="仿宋体" w:cs="Times New Roman"/>
                      <w:bCs/>
                      <w:color w:val="auto"/>
                      <w:szCs w:val="21"/>
                      <w:highlight w:val="none"/>
                      <w:lang w:val="en-US" w:eastAsia="zh-CN"/>
                    </w:rPr>
                    <w:t>生产废</w:t>
                  </w:r>
                  <w:r>
                    <w:rPr>
                      <w:rFonts w:hint="default" w:ascii="Times New Roman" w:hAnsi="Times New Roman" w:eastAsia="仿宋体" w:cs="Times New Roman"/>
                      <w:bCs/>
                      <w:color w:val="auto"/>
                      <w:szCs w:val="21"/>
                      <w:highlight w:val="none"/>
                      <w:lang w:val="en-US" w:eastAsia="zh-CN"/>
                    </w:rPr>
                    <w:t>水循环，</w:t>
                  </w:r>
                  <w:r>
                    <w:rPr>
                      <w:rFonts w:hint="default" w:ascii="Times New Roman" w:hAnsi="Times New Roman" w:eastAsia="仿宋体" w:cs="Times New Roman"/>
                      <w:bCs/>
                      <w:color w:val="auto"/>
                      <w:szCs w:val="21"/>
                      <w:highlight w:val="none"/>
                    </w:rPr>
                    <w:t>无需设置</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53" w:hRule="atLeast"/>
                <w:jc w:val="center"/>
              </w:trPr>
              <w:tc>
                <w:tcPr>
                  <w:tcW w:w="929" w:type="dxa"/>
                  <w:noWrap w:val="0"/>
                  <w:vAlign w:val="center"/>
                </w:tcPr>
                <w:p>
                  <w:pPr>
                    <w:autoSpaceDN w:val="0"/>
                    <w:adjustRightInd w:val="0"/>
                    <w:snapToGrid w:val="0"/>
                    <w:jc w:val="center"/>
                    <w:rPr>
                      <w:rFonts w:hint="default" w:ascii="Times New Roman" w:hAnsi="Times New Roman" w:eastAsia="仿宋体" w:cs="Times New Roman"/>
                      <w:bCs/>
                      <w:szCs w:val="21"/>
                    </w:rPr>
                  </w:pPr>
                  <w:r>
                    <w:rPr>
                      <w:rFonts w:hint="default" w:ascii="Times New Roman" w:hAnsi="Times New Roman" w:eastAsia="仿宋体" w:cs="Times New Roman"/>
                      <w:bCs/>
                      <w:szCs w:val="21"/>
                    </w:rPr>
                    <w:t>环境</w:t>
                  </w:r>
                </w:p>
                <w:p>
                  <w:pPr>
                    <w:autoSpaceDN w:val="0"/>
                    <w:adjustRightInd w:val="0"/>
                    <w:snapToGrid w:val="0"/>
                    <w:jc w:val="center"/>
                    <w:rPr>
                      <w:rFonts w:hint="default" w:ascii="Times New Roman" w:hAnsi="Times New Roman" w:eastAsia="仿宋体" w:cs="Times New Roman"/>
                      <w:bCs/>
                      <w:szCs w:val="21"/>
                    </w:rPr>
                  </w:pPr>
                  <w:r>
                    <w:rPr>
                      <w:rFonts w:hint="default" w:ascii="Times New Roman" w:hAnsi="Times New Roman" w:eastAsia="仿宋体" w:cs="Times New Roman"/>
                      <w:bCs/>
                      <w:szCs w:val="21"/>
                    </w:rPr>
                    <w:t>风险</w:t>
                  </w:r>
                </w:p>
              </w:tc>
              <w:tc>
                <w:tcPr>
                  <w:tcW w:w="4050" w:type="dxa"/>
                  <w:noWrap w:val="0"/>
                  <w:vAlign w:val="center"/>
                </w:tcPr>
                <w:p>
                  <w:pPr>
                    <w:autoSpaceDN w:val="0"/>
                    <w:adjustRightInd w:val="0"/>
                    <w:snapToGrid w:val="0"/>
                    <w:jc w:val="center"/>
                    <w:rPr>
                      <w:rFonts w:hint="default" w:ascii="Times New Roman" w:hAnsi="Times New Roman" w:eastAsia="仿宋体" w:cs="Times New Roman"/>
                      <w:bCs/>
                      <w:szCs w:val="21"/>
                    </w:rPr>
                  </w:pPr>
                  <w:r>
                    <w:rPr>
                      <w:rFonts w:hint="default" w:ascii="Times New Roman" w:hAnsi="Times New Roman" w:eastAsia="仿宋体" w:cs="Times New Roman"/>
                      <w:bCs/>
                      <w:szCs w:val="21"/>
                    </w:rPr>
                    <w:t>有毒有害和易燃易爆危险物质存储量</w:t>
                  </w:r>
                </w:p>
                <w:p>
                  <w:pPr>
                    <w:autoSpaceDN w:val="0"/>
                    <w:adjustRightInd w:val="0"/>
                    <w:snapToGrid w:val="0"/>
                    <w:jc w:val="center"/>
                    <w:rPr>
                      <w:rFonts w:hint="default" w:ascii="Times New Roman" w:hAnsi="Times New Roman" w:eastAsia="仿宋体" w:cs="Times New Roman"/>
                      <w:bCs/>
                      <w:szCs w:val="21"/>
                    </w:rPr>
                  </w:pPr>
                  <w:r>
                    <w:rPr>
                      <w:rFonts w:hint="default" w:ascii="Times New Roman" w:hAnsi="Times New Roman" w:eastAsia="仿宋体" w:cs="Times New Roman"/>
                      <w:bCs/>
                      <w:szCs w:val="21"/>
                    </w:rPr>
                    <w:t>超过临界量</w:t>
                  </w:r>
                  <w:r>
                    <w:rPr>
                      <w:rFonts w:hint="default" w:ascii="Times New Roman" w:hAnsi="Times New Roman" w:eastAsia="仿宋体" w:cs="Times New Roman"/>
                      <w:bCs/>
                      <w:szCs w:val="21"/>
                      <w:vertAlign w:val="superscript"/>
                    </w:rPr>
                    <w:t>3</w:t>
                  </w:r>
                  <w:r>
                    <w:rPr>
                      <w:rFonts w:hint="default" w:ascii="Times New Roman" w:hAnsi="Times New Roman" w:eastAsia="仿宋体" w:cs="Times New Roman"/>
                      <w:bCs/>
                      <w:szCs w:val="21"/>
                    </w:rPr>
                    <w:t>的建设项目</w:t>
                  </w:r>
                </w:p>
              </w:tc>
              <w:tc>
                <w:tcPr>
                  <w:tcW w:w="1746" w:type="dxa"/>
                  <w:noWrap w:val="0"/>
                  <w:vAlign w:val="center"/>
                </w:tcPr>
                <w:p>
                  <w:pPr>
                    <w:autoSpaceDN w:val="0"/>
                    <w:adjustRightInd w:val="0"/>
                    <w:snapToGrid w:val="0"/>
                    <w:jc w:val="center"/>
                    <w:rPr>
                      <w:rFonts w:hint="default" w:ascii="Times New Roman" w:hAnsi="Times New Roman" w:eastAsia="仿宋体" w:cs="Times New Roman"/>
                      <w:bCs/>
                      <w:color w:val="auto"/>
                      <w:szCs w:val="21"/>
                    </w:rPr>
                  </w:pPr>
                  <w:r>
                    <w:rPr>
                      <w:rFonts w:hint="default" w:ascii="Times New Roman" w:hAnsi="Times New Roman" w:eastAsia="仿宋体" w:cs="Times New Roman"/>
                      <w:bCs/>
                      <w:color w:val="auto"/>
                      <w:szCs w:val="21"/>
                    </w:rPr>
                    <w:t>未达到临界量，</w:t>
                  </w:r>
                </w:p>
                <w:p>
                  <w:pPr>
                    <w:autoSpaceDN w:val="0"/>
                    <w:adjustRightInd w:val="0"/>
                    <w:snapToGrid w:val="0"/>
                    <w:jc w:val="center"/>
                    <w:rPr>
                      <w:rFonts w:hint="default" w:ascii="Times New Roman" w:hAnsi="Times New Roman" w:eastAsia="仿宋体" w:cs="Times New Roman"/>
                      <w:bCs/>
                      <w:szCs w:val="21"/>
                    </w:rPr>
                  </w:pPr>
                  <w:r>
                    <w:rPr>
                      <w:rFonts w:hint="default" w:ascii="Times New Roman" w:hAnsi="Times New Roman" w:eastAsia="仿宋体" w:cs="Times New Roman"/>
                      <w:bCs/>
                      <w:color w:val="auto"/>
                      <w:szCs w:val="21"/>
                    </w:rPr>
                    <w:t>无需设置</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21" w:hRule="atLeast"/>
                <w:jc w:val="center"/>
              </w:trPr>
              <w:tc>
                <w:tcPr>
                  <w:tcW w:w="929" w:type="dxa"/>
                  <w:noWrap w:val="0"/>
                  <w:vAlign w:val="center"/>
                </w:tcPr>
                <w:p>
                  <w:pPr>
                    <w:autoSpaceDN w:val="0"/>
                    <w:adjustRightInd w:val="0"/>
                    <w:snapToGrid w:val="0"/>
                    <w:jc w:val="center"/>
                    <w:rPr>
                      <w:rFonts w:hint="default" w:ascii="Times New Roman" w:hAnsi="Times New Roman" w:eastAsia="仿宋体" w:cs="Times New Roman"/>
                      <w:bCs/>
                      <w:szCs w:val="21"/>
                    </w:rPr>
                  </w:pPr>
                  <w:r>
                    <w:rPr>
                      <w:rFonts w:hint="default" w:ascii="Times New Roman" w:hAnsi="Times New Roman" w:eastAsia="仿宋体" w:cs="Times New Roman"/>
                      <w:bCs/>
                      <w:szCs w:val="21"/>
                    </w:rPr>
                    <w:t>地表水</w:t>
                  </w:r>
                </w:p>
              </w:tc>
              <w:tc>
                <w:tcPr>
                  <w:tcW w:w="4050" w:type="dxa"/>
                  <w:noWrap w:val="0"/>
                  <w:vAlign w:val="center"/>
                </w:tcPr>
                <w:p>
                  <w:pPr>
                    <w:autoSpaceDN w:val="0"/>
                    <w:adjustRightInd w:val="0"/>
                    <w:snapToGrid w:val="0"/>
                    <w:jc w:val="center"/>
                    <w:rPr>
                      <w:rFonts w:hint="default" w:ascii="Times New Roman" w:hAnsi="Times New Roman" w:eastAsia="仿宋体" w:cs="Times New Roman"/>
                      <w:bCs/>
                      <w:szCs w:val="21"/>
                    </w:rPr>
                  </w:pPr>
                  <w:r>
                    <w:rPr>
                      <w:rFonts w:hint="default" w:ascii="Times New Roman" w:hAnsi="Times New Roman" w:eastAsia="仿宋体" w:cs="Times New Roman"/>
                      <w:bCs/>
                      <w:szCs w:val="21"/>
                    </w:rPr>
                    <w:t>取水口下游500米范围内有重要水生生物的自然产卵场、索饵场、越冬场和洄游通道的新增河道取水的污染类建设项目</w:t>
                  </w:r>
                </w:p>
              </w:tc>
              <w:tc>
                <w:tcPr>
                  <w:tcW w:w="1746" w:type="dxa"/>
                  <w:noWrap w:val="0"/>
                  <w:vAlign w:val="center"/>
                </w:tcPr>
                <w:p>
                  <w:pPr>
                    <w:autoSpaceDN w:val="0"/>
                    <w:adjustRightInd w:val="0"/>
                    <w:snapToGrid w:val="0"/>
                    <w:jc w:val="center"/>
                    <w:rPr>
                      <w:rFonts w:hint="default" w:ascii="Times New Roman" w:hAnsi="Times New Roman" w:eastAsia="仿宋体" w:cs="Times New Roman"/>
                      <w:bCs/>
                      <w:szCs w:val="21"/>
                    </w:rPr>
                  </w:pPr>
                  <w:r>
                    <w:rPr>
                      <w:rFonts w:hint="default" w:ascii="Times New Roman" w:hAnsi="Times New Roman" w:eastAsia="仿宋体" w:cs="Times New Roman"/>
                      <w:bCs/>
                      <w:color w:val="auto"/>
                      <w:szCs w:val="21"/>
                    </w:rPr>
                    <w:t>不涉及，无需设置</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58" w:hRule="atLeast"/>
                <w:jc w:val="center"/>
              </w:trPr>
              <w:tc>
                <w:tcPr>
                  <w:tcW w:w="929" w:type="dxa"/>
                  <w:noWrap w:val="0"/>
                  <w:vAlign w:val="center"/>
                </w:tcPr>
                <w:p>
                  <w:pPr>
                    <w:autoSpaceDN w:val="0"/>
                    <w:adjustRightInd w:val="0"/>
                    <w:snapToGrid w:val="0"/>
                    <w:jc w:val="center"/>
                    <w:rPr>
                      <w:rFonts w:hint="default" w:ascii="Times New Roman" w:hAnsi="Times New Roman" w:eastAsia="仿宋体" w:cs="Times New Roman"/>
                      <w:bCs/>
                      <w:szCs w:val="21"/>
                    </w:rPr>
                  </w:pPr>
                  <w:r>
                    <w:rPr>
                      <w:rFonts w:hint="default" w:ascii="Times New Roman" w:hAnsi="Times New Roman" w:eastAsia="仿宋体" w:cs="Times New Roman"/>
                      <w:bCs/>
                      <w:szCs w:val="21"/>
                    </w:rPr>
                    <w:t>海洋</w:t>
                  </w:r>
                </w:p>
              </w:tc>
              <w:tc>
                <w:tcPr>
                  <w:tcW w:w="4050" w:type="dxa"/>
                  <w:noWrap w:val="0"/>
                  <w:vAlign w:val="center"/>
                </w:tcPr>
                <w:p>
                  <w:pPr>
                    <w:autoSpaceDN w:val="0"/>
                    <w:adjustRightInd w:val="0"/>
                    <w:snapToGrid w:val="0"/>
                    <w:jc w:val="center"/>
                    <w:rPr>
                      <w:rFonts w:hint="default" w:ascii="Times New Roman" w:hAnsi="Times New Roman" w:eastAsia="仿宋体" w:cs="Times New Roman"/>
                      <w:bCs/>
                      <w:szCs w:val="21"/>
                    </w:rPr>
                  </w:pPr>
                  <w:r>
                    <w:rPr>
                      <w:rFonts w:hint="default" w:ascii="Times New Roman" w:hAnsi="Times New Roman" w:eastAsia="仿宋体" w:cs="Times New Roman"/>
                      <w:bCs/>
                      <w:szCs w:val="21"/>
                    </w:rPr>
                    <w:t>直接向海排放污染物的海洋工程建设项目</w:t>
                  </w:r>
                </w:p>
              </w:tc>
              <w:tc>
                <w:tcPr>
                  <w:tcW w:w="1746" w:type="dxa"/>
                  <w:noWrap w:val="0"/>
                  <w:vAlign w:val="center"/>
                </w:tcPr>
                <w:p>
                  <w:pPr>
                    <w:autoSpaceDN w:val="0"/>
                    <w:adjustRightInd w:val="0"/>
                    <w:snapToGrid w:val="0"/>
                    <w:jc w:val="center"/>
                    <w:rPr>
                      <w:rFonts w:hint="default" w:ascii="Times New Roman" w:hAnsi="Times New Roman" w:eastAsia="仿宋体" w:cs="Times New Roman"/>
                      <w:bCs/>
                      <w:szCs w:val="21"/>
                    </w:rPr>
                  </w:pPr>
                  <w:r>
                    <w:rPr>
                      <w:rFonts w:hint="default" w:ascii="Times New Roman" w:hAnsi="Times New Roman" w:eastAsia="仿宋体" w:cs="Times New Roman"/>
                      <w:bCs/>
                      <w:color w:val="auto"/>
                      <w:szCs w:val="21"/>
                    </w:rPr>
                    <w:t>不涉及</w:t>
                  </w:r>
                  <w:r>
                    <w:rPr>
                      <w:rFonts w:hint="default" w:ascii="Times New Roman" w:hAnsi="Times New Roman" w:eastAsia="仿宋体" w:cs="Times New Roman"/>
                      <w:bCs/>
                      <w:color w:val="auto"/>
                      <w:szCs w:val="21"/>
                      <w:lang w:eastAsia="zh-CN"/>
                    </w:rPr>
                    <w:t>，</w:t>
                  </w:r>
                  <w:r>
                    <w:rPr>
                      <w:rFonts w:hint="default" w:ascii="Times New Roman" w:hAnsi="Times New Roman" w:eastAsia="仿宋体" w:cs="Times New Roman"/>
                      <w:bCs/>
                      <w:color w:val="auto"/>
                      <w:szCs w:val="21"/>
                    </w:rPr>
                    <w:t>无需设置</w:t>
                  </w:r>
                </w:p>
              </w:tc>
            </w:tr>
          </w:tbl>
          <w:p>
            <w:pPr>
              <w:autoSpaceDE w:val="0"/>
              <w:autoSpaceDN w:val="0"/>
              <w:adjustRightInd w:val="0"/>
              <w:snapToGrid w:val="0"/>
              <w:jc w:val="left"/>
              <w:rPr>
                <w:rFonts w:hint="default" w:ascii="Times New Roman" w:hAnsi="Times New Roman" w:eastAsia="宋体" w:cs="Times New Roman"/>
                <w:color w:val="auto"/>
                <w:kern w:val="0"/>
                <w:szCs w:val="21"/>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1894" w:type="dxa"/>
            <w:noWrap w:val="0"/>
            <w:vAlign w:val="center"/>
          </w:tcPr>
          <w:p>
            <w:pPr>
              <w:autoSpaceDE w:val="0"/>
              <w:autoSpaceDN w:val="0"/>
              <w:adjustRightInd w:val="0"/>
              <w:snapToGrid w:val="0"/>
              <w:jc w:val="center"/>
              <w:rPr>
                <w:rFonts w:hint="default" w:ascii="Times New Roman" w:hAnsi="Times New Roman" w:cs="Times New Roman"/>
                <w:color w:val="auto"/>
                <w:kern w:val="0"/>
                <w:sz w:val="22"/>
                <w:szCs w:val="22"/>
                <w:highlight w:val="none"/>
              </w:rPr>
            </w:pPr>
            <w:r>
              <w:rPr>
                <w:rFonts w:hint="default" w:ascii="Times New Roman" w:hAnsi="Times New Roman" w:cs="Times New Roman"/>
                <w:color w:val="auto"/>
                <w:sz w:val="22"/>
                <w:szCs w:val="22"/>
                <w:highlight w:val="none"/>
              </w:rPr>
              <w:t>规划情况</w:t>
            </w:r>
          </w:p>
        </w:tc>
        <w:tc>
          <w:tcPr>
            <w:tcW w:w="6976" w:type="dxa"/>
            <w:gridSpan w:val="3"/>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uto"/>
              <w:ind w:firstLine="440" w:firstLineChars="200"/>
              <w:jc w:val="left"/>
              <w:textAlignment w:val="auto"/>
              <w:outlineLvl w:val="9"/>
              <w:rPr>
                <w:rFonts w:hint="eastAsia" w:ascii="Times New Roman" w:hAnsi="Times New Roman" w:cs="Times New Roman"/>
                <w:color w:val="auto"/>
                <w:kern w:val="0"/>
                <w:sz w:val="22"/>
                <w:szCs w:val="22"/>
                <w:highlight w:val="none"/>
                <w:lang w:val="en-US" w:eastAsia="zh-CN"/>
              </w:rPr>
            </w:pPr>
            <w:r>
              <w:rPr>
                <w:rFonts w:hint="eastAsia" w:ascii="Times New Roman" w:hAnsi="Times New Roman" w:cs="Times New Roman"/>
                <w:color w:val="auto"/>
                <w:kern w:val="0"/>
                <w:sz w:val="22"/>
                <w:szCs w:val="22"/>
                <w:highlight w:val="none"/>
                <w:lang w:val="en-US" w:eastAsia="zh-CN"/>
              </w:rPr>
              <w:t>（1）项目所依据的行业：</w:t>
            </w:r>
            <w:r>
              <w:rPr>
                <w:rFonts w:hint="eastAsia" w:ascii="Times New Roman" w:hAnsi="Times New Roman" w:eastAsia="宋体" w:cs="Times New Roman"/>
                <w:color w:val="auto"/>
                <w:kern w:val="0"/>
                <w:sz w:val="22"/>
                <w:szCs w:val="22"/>
                <w:highlight w:val="none"/>
                <w:lang w:val="en-US" w:eastAsia="zh-CN"/>
              </w:rPr>
              <w:t>3042特种玻璃制造</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40" w:firstLineChars="200"/>
              <w:jc w:val="left"/>
              <w:textAlignment w:val="auto"/>
              <w:outlineLvl w:val="9"/>
              <w:rPr>
                <w:rFonts w:hint="eastAsia" w:ascii="Times New Roman" w:hAnsi="Times New Roman" w:cs="Times New Roman"/>
                <w:color w:val="auto"/>
                <w:kern w:val="0"/>
                <w:sz w:val="22"/>
                <w:szCs w:val="22"/>
                <w:highlight w:val="none"/>
                <w:lang w:val="en-US" w:eastAsia="zh-CN"/>
              </w:rPr>
            </w:pPr>
            <w:r>
              <w:rPr>
                <w:rFonts w:hint="eastAsia" w:ascii="Times New Roman" w:hAnsi="Times New Roman" w:cs="Times New Roman"/>
                <w:color w:val="auto"/>
                <w:kern w:val="0"/>
                <w:sz w:val="22"/>
                <w:szCs w:val="22"/>
                <w:highlight w:val="none"/>
                <w:lang w:val="en-US" w:eastAsia="zh-CN"/>
              </w:rPr>
              <w:t>（2）产业园区规划名称：乐山市工业集中区水口-罗汉工业园区扩区规划</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40" w:firstLineChars="200"/>
              <w:jc w:val="left"/>
              <w:textAlignment w:val="auto"/>
              <w:outlineLvl w:val="9"/>
              <w:rPr>
                <w:rFonts w:hint="default" w:ascii="Times New Roman" w:hAnsi="Times New Roman" w:cs="Times New Roman"/>
                <w:color w:val="auto"/>
                <w:kern w:val="0"/>
                <w:sz w:val="22"/>
                <w:szCs w:val="22"/>
                <w:highlight w:val="none"/>
                <w:lang w:val="en-US" w:eastAsia="zh-CN"/>
              </w:rPr>
            </w:pPr>
            <w:r>
              <w:rPr>
                <w:rFonts w:hint="eastAsia" w:ascii="Times New Roman" w:hAnsi="Times New Roman" w:cs="Times New Roman"/>
                <w:color w:val="auto"/>
                <w:kern w:val="0"/>
                <w:sz w:val="22"/>
                <w:szCs w:val="22"/>
                <w:highlight w:val="none"/>
                <w:lang w:val="en-US" w:eastAsia="zh-CN"/>
              </w:rPr>
              <w:t>（3）审批机关：四川省生态环境厅（原四川省环境保护厅）</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40" w:firstLineChars="200"/>
              <w:jc w:val="left"/>
              <w:textAlignment w:val="auto"/>
              <w:outlineLvl w:val="9"/>
              <w:rPr>
                <w:rFonts w:hint="default" w:ascii="Times New Roman" w:hAnsi="Times New Roman" w:eastAsia="宋体" w:cs="Times New Roman"/>
                <w:color w:val="auto"/>
                <w:kern w:val="0"/>
                <w:sz w:val="22"/>
                <w:szCs w:val="22"/>
                <w:highlight w:val="none"/>
                <w:lang w:val="en-US" w:eastAsia="zh-CN"/>
              </w:rPr>
            </w:pPr>
            <w:r>
              <w:rPr>
                <w:rFonts w:hint="eastAsia" w:ascii="Times New Roman" w:hAnsi="Times New Roman" w:cs="Times New Roman"/>
                <w:color w:val="auto"/>
                <w:kern w:val="0"/>
                <w:sz w:val="22"/>
                <w:szCs w:val="22"/>
                <w:highlight w:val="none"/>
                <w:lang w:val="en-US" w:eastAsia="zh-CN"/>
              </w:rPr>
              <w:t>（4）审批文件</w:t>
            </w:r>
            <w:r>
              <w:rPr>
                <w:rFonts w:hint="eastAsia" w:ascii="Times New Roman" w:hAnsi="Times New Roman" w:eastAsia="宋体" w:cs="Times New Roman"/>
                <w:color w:val="auto"/>
                <w:kern w:val="0"/>
                <w:sz w:val="22"/>
                <w:szCs w:val="22"/>
                <w:highlight w:val="none"/>
                <w:lang w:val="en-US" w:eastAsia="zh-CN"/>
              </w:rPr>
              <w:t>名称</w:t>
            </w:r>
            <w:r>
              <w:rPr>
                <w:rFonts w:hint="eastAsia" w:ascii="Times New Roman" w:hAnsi="Times New Roman" w:cs="Times New Roman"/>
                <w:color w:val="auto"/>
                <w:kern w:val="0"/>
                <w:sz w:val="22"/>
                <w:szCs w:val="22"/>
                <w:highlight w:val="none"/>
                <w:lang w:val="en-US" w:eastAsia="zh-CN"/>
              </w:rPr>
              <w:t>及文号：关于印发《乐山市工业集中区水口-罗汉工业园区扩区规划环境影响报告书》审查意见的函（川环建函[2013]240号）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894" w:type="dxa"/>
            <w:noWrap w:val="0"/>
            <w:vAlign w:val="center"/>
          </w:tcPr>
          <w:p>
            <w:pPr>
              <w:adjustRightInd w:val="0"/>
              <w:snapToGrid w:val="0"/>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规划环境影响</w:t>
            </w:r>
          </w:p>
          <w:p>
            <w:pPr>
              <w:adjustRightInd w:val="0"/>
              <w:snapToGrid w:val="0"/>
              <w:jc w:val="center"/>
              <w:rPr>
                <w:rFonts w:hint="default" w:ascii="Times New Roman" w:hAnsi="Times New Roman" w:cs="Times New Roman"/>
                <w:color w:val="auto"/>
                <w:kern w:val="0"/>
                <w:sz w:val="22"/>
                <w:szCs w:val="22"/>
                <w:highlight w:val="none"/>
              </w:rPr>
            </w:pPr>
            <w:r>
              <w:rPr>
                <w:rFonts w:hint="default" w:ascii="Times New Roman" w:hAnsi="Times New Roman" w:cs="Times New Roman"/>
                <w:color w:val="auto"/>
                <w:sz w:val="22"/>
                <w:szCs w:val="22"/>
                <w:highlight w:val="none"/>
              </w:rPr>
              <w:t>评价情况</w:t>
            </w:r>
          </w:p>
        </w:tc>
        <w:tc>
          <w:tcPr>
            <w:tcW w:w="6976" w:type="dxa"/>
            <w:gridSpan w:val="3"/>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uto"/>
              <w:ind w:firstLine="0" w:firstLineChars="0"/>
              <w:jc w:val="center"/>
              <w:textAlignment w:val="auto"/>
              <w:outlineLvl w:val="9"/>
              <w:rPr>
                <w:rFonts w:hint="default" w:ascii="Times New Roman" w:hAnsi="Times New Roman" w:eastAsia="宋体" w:cs="Times New Roman"/>
                <w:color w:val="auto"/>
                <w:kern w:val="0"/>
                <w:sz w:val="22"/>
                <w:szCs w:val="22"/>
                <w:highlight w:val="none"/>
                <w:lang w:val="en-US" w:eastAsia="zh-CN"/>
              </w:rPr>
            </w:pPr>
            <w:r>
              <w:rPr>
                <w:rFonts w:hint="eastAsia" w:ascii="Times New Roman" w:hAnsi="Times New Roman" w:cs="Times New Roman"/>
                <w:color w:val="auto"/>
                <w:kern w:val="0"/>
                <w:sz w:val="22"/>
                <w:szCs w:val="22"/>
                <w:highlight w:val="none"/>
                <w:lang w:val="en-US" w:eastAsia="zh-CN"/>
              </w:rPr>
              <w:t>《乐山市工业集中区水口-罗汉工业园区扩区规划环境影响跟踪评价报告书》，取得四川省生态环境厅关于乐山市工业集中区水口-罗汉工业园区扩区规划环境影响跟踪评价工作意见的函（川环建函[2020]49号）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94" w:type="dxa"/>
            <w:noWrap w:val="0"/>
            <w:vAlign w:val="center"/>
          </w:tcPr>
          <w:p>
            <w:pPr>
              <w:autoSpaceDE w:val="0"/>
              <w:autoSpaceDN w:val="0"/>
              <w:adjustRightInd w:val="0"/>
              <w:snapToGrid w:val="0"/>
              <w:jc w:val="center"/>
              <w:rPr>
                <w:rFonts w:hint="default" w:ascii="Times New Roman" w:hAnsi="Times New Roman" w:cs="Times New Roman"/>
                <w:color w:val="auto"/>
                <w:kern w:val="0"/>
                <w:sz w:val="22"/>
                <w:szCs w:val="22"/>
                <w:highlight w:val="none"/>
              </w:rPr>
            </w:pPr>
            <w:r>
              <w:rPr>
                <w:rFonts w:hint="default" w:ascii="Times New Roman" w:hAnsi="Times New Roman" w:cs="Times New Roman"/>
                <w:color w:val="auto"/>
                <w:kern w:val="0"/>
                <w:sz w:val="22"/>
                <w:szCs w:val="22"/>
                <w:highlight w:val="none"/>
              </w:rPr>
              <w:t>规划及规划环境</w:t>
            </w:r>
          </w:p>
          <w:p>
            <w:pPr>
              <w:autoSpaceDE w:val="0"/>
              <w:autoSpaceDN w:val="0"/>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 w:val="22"/>
                <w:szCs w:val="22"/>
                <w:highlight w:val="none"/>
              </w:rPr>
              <w:t>影响评价符合性分析</w:t>
            </w:r>
          </w:p>
        </w:tc>
        <w:tc>
          <w:tcPr>
            <w:tcW w:w="6976" w:type="dxa"/>
            <w:gridSpan w:val="3"/>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uto"/>
              <w:ind w:firstLine="440" w:firstLineChars="200"/>
              <w:jc w:val="left"/>
              <w:textAlignment w:val="auto"/>
              <w:outlineLvl w:val="9"/>
              <w:rPr>
                <w:rFonts w:hint="default" w:ascii="Times New Roman" w:hAnsi="Times New Roman" w:eastAsia="宋体" w:cs="Times New Roman"/>
                <w:color w:val="auto"/>
                <w:kern w:val="0"/>
                <w:sz w:val="22"/>
                <w:szCs w:val="22"/>
                <w:highlight w:val="none"/>
                <w:lang w:val="en-US" w:eastAsia="zh-CN"/>
              </w:rPr>
            </w:pPr>
            <w:r>
              <w:rPr>
                <w:rFonts w:hint="default" w:ascii="Times New Roman" w:hAnsi="Times New Roman" w:eastAsia="宋体" w:cs="Times New Roman"/>
                <w:color w:val="auto"/>
                <w:kern w:val="0"/>
                <w:sz w:val="22"/>
                <w:szCs w:val="22"/>
                <w:highlight w:val="none"/>
                <w:lang w:val="en-US" w:eastAsia="zh-CN"/>
              </w:rPr>
              <w:t>本项目位于乐山市工业集中区中的水口-罗汉工业园区内，目前该工业园区已完成了规划环境影响评价并取得四川省环境保护厅关于印发《乐山市工业集中区水口-罗汉工业园区扩区规划环境影响报告书》审查意见的函（川环建函[2013]240号），其园区规划总面积11.89km</w:t>
            </w:r>
            <w:r>
              <w:rPr>
                <w:rFonts w:hint="default" w:ascii="Times New Roman" w:hAnsi="Times New Roman" w:eastAsia="宋体" w:cs="Times New Roman"/>
                <w:color w:val="auto"/>
                <w:kern w:val="0"/>
                <w:sz w:val="22"/>
                <w:szCs w:val="22"/>
                <w:highlight w:val="none"/>
                <w:vertAlign w:val="superscript"/>
                <w:lang w:val="en-US" w:eastAsia="zh-CN"/>
              </w:rPr>
              <w:t>2</w:t>
            </w:r>
            <w:r>
              <w:rPr>
                <w:rFonts w:hint="default" w:ascii="Times New Roman" w:hAnsi="Times New Roman" w:eastAsia="宋体" w:cs="Times New Roman"/>
                <w:color w:val="auto"/>
                <w:kern w:val="0"/>
                <w:sz w:val="22"/>
                <w:szCs w:val="22"/>
                <w:highlight w:val="none"/>
                <w:lang w:val="en-US" w:eastAsia="zh-CN"/>
              </w:rPr>
              <w:t>，东至苏沙路，南至罗汉集镇与沙湾交界处，西至老鹰岩山脚，北至水口镇石羊村，主导产业为医药、新型建材、机械制造、精细化工。</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40" w:firstLineChars="200"/>
              <w:jc w:val="left"/>
              <w:textAlignment w:val="auto"/>
              <w:outlineLvl w:val="9"/>
              <w:rPr>
                <w:rFonts w:hint="default" w:ascii="Times New Roman" w:hAnsi="Times New Roman" w:eastAsia="宋体" w:cs="Times New Roman"/>
                <w:color w:val="auto"/>
                <w:kern w:val="0"/>
                <w:sz w:val="22"/>
                <w:szCs w:val="22"/>
                <w:highlight w:val="none"/>
                <w:lang w:val="en-US" w:eastAsia="zh-CN"/>
              </w:rPr>
            </w:pPr>
            <w:r>
              <w:rPr>
                <w:rFonts w:hint="default" w:ascii="Times New Roman" w:hAnsi="Times New Roman" w:eastAsia="宋体" w:cs="Times New Roman"/>
                <w:color w:val="auto"/>
                <w:kern w:val="0"/>
                <w:sz w:val="22"/>
                <w:szCs w:val="22"/>
                <w:highlight w:val="none"/>
                <w:lang w:val="en-US" w:eastAsia="zh-CN"/>
              </w:rPr>
              <w:t>2020年7月17日</w:t>
            </w:r>
            <w:r>
              <w:rPr>
                <w:rFonts w:hint="eastAsia" w:ascii="Times New Roman" w:hAnsi="Times New Roman" w:eastAsia="宋体" w:cs="Times New Roman"/>
                <w:color w:val="auto"/>
                <w:kern w:val="0"/>
                <w:sz w:val="22"/>
                <w:szCs w:val="22"/>
                <w:highlight w:val="none"/>
                <w:lang w:val="en-US" w:eastAsia="zh-CN"/>
              </w:rPr>
              <w:t>，</w:t>
            </w:r>
            <w:r>
              <w:rPr>
                <w:rFonts w:hint="default" w:ascii="Times New Roman" w:hAnsi="Times New Roman" w:eastAsia="宋体" w:cs="Times New Roman"/>
                <w:color w:val="auto"/>
                <w:kern w:val="0"/>
                <w:sz w:val="22"/>
                <w:szCs w:val="22"/>
                <w:highlight w:val="none"/>
                <w:lang w:val="en-US" w:eastAsia="zh-CN"/>
              </w:rPr>
              <w:t>四川省生态环境厅出具关于《乐山市工业集中区水口-罗汉工业园区扩区规划环境影响跟踪评价工作意见的函》（川环建函</w:t>
            </w:r>
            <w:r>
              <w:rPr>
                <w:rFonts w:hint="eastAsia" w:ascii="Times New Roman" w:hAnsi="Times New Roman" w:eastAsia="宋体" w:cs="Times New Roman"/>
                <w:color w:val="auto"/>
                <w:kern w:val="0"/>
                <w:sz w:val="22"/>
                <w:szCs w:val="22"/>
                <w:highlight w:val="none"/>
                <w:lang w:val="en-US" w:eastAsia="zh-CN"/>
              </w:rPr>
              <w:t>[</w:t>
            </w:r>
            <w:r>
              <w:rPr>
                <w:rFonts w:hint="default" w:ascii="Times New Roman" w:hAnsi="Times New Roman" w:eastAsia="宋体" w:cs="Times New Roman"/>
                <w:color w:val="auto"/>
                <w:kern w:val="0"/>
                <w:sz w:val="22"/>
                <w:szCs w:val="22"/>
                <w:highlight w:val="none"/>
                <w:lang w:val="en-US" w:eastAsia="zh-CN"/>
              </w:rPr>
              <w:t>2020</w:t>
            </w:r>
            <w:r>
              <w:rPr>
                <w:rFonts w:hint="eastAsia" w:ascii="Times New Roman" w:hAnsi="Times New Roman" w:eastAsia="宋体" w:cs="Times New Roman"/>
                <w:color w:val="auto"/>
                <w:kern w:val="0"/>
                <w:sz w:val="22"/>
                <w:szCs w:val="22"/>
                <w:highlight w:val="none"/>
                <w:lang w:val="en-US" w:eastAsia="zh-CN"/>
              </w:rPr>
              <w:t>]</w:t>
            </w:r>
            <w:r>
              <w:rPr>
                <w:rFonts w:hint="default" w:ascii="Times New Roman" w:hAnsi="Times New Roman" w:eastAsia="宋体" w:cs="Times New Roman"/>
                <w:color w:val="auto"/>
                <w:kern w:val="0"/>
                <w:sz w:val="22"/>
                <w:szCs w:val="22"/>
                <w:highlight w:val="none"/>
                <w:lang w:val="en-US" w:eastAsia="zh-CN"/>
              </w:rPr>
              <w:t>49号），其中为发挥《规划》环境影响跟踪评价的有效性，地方政府及有关部门应进一步做好以下工作：</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40" w:firstLineChars="200"/>
              <w:jc w:val="left"/>
              <w:textAlignment w:val="auto"/>
              <w:outlineLvl w:val="9"/>
              <w:rPr>
                <w:rFonts w:hint="default" w:ascii="Times New Roman" w:hAnsi="Times New Roman" w:eastAsia="宋体" w:cs="Times New Roman"/>
                <w:color w:val="auto"/>
                <w:kern w:val="0"/>
                <w:sz w:val="22"/>
                <w:szCs w:val="22"/>
                <w:highlight w:val="none"/>
                <w:lang w:val="en-US" w:eastAsia="zh-CN"/>
              </w:rPr>
            </w:pPr>
            <w:r>
              <w:rPr>
                <w:rFonts w:hint="default" w:ascii="Times New Roman" w:hAnsi="Times New Roman" w:eastAsia="宋体" w:cs="Times New Roman"/>
                <w:color w:val="auto"/>
                <w:kern w:val="0"/>
                <w:sz w:val="22"/>
                <w:szCs w:val="22"/>
                <w:highlight w:val="none"/>
                <w:lang w:val="en-US" w:eastAsia="zh-CN"/>
              </w:rPr>
              <w:t>1）建议尽快启动园区规划修编工作，规划修编前，园区不符合城市总规的区域禁止引入工业项目，园区其他区域禁止引入精细化工项目、化学合成类和发酵类医药项目（退城入园的长征制药项目除外）、专业电镀项目、含炉窑焙烧工艺的项目。</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40" w:firstLineChars="200"/>
              <w:jc w:val="left"/>
              <w:textAlignment w:val="auto"/>
              <w:outlineLvl w:val="9"/>
              <w:rPr>
                <w:rFonts w:hint="default" w:ascii="Times New Roman" w:hAnsi="Times New Roman" w:eastAsia="宋体" w:cs="Times New Roman"/>
                <w:color w:val="auto"/>
                <w:kern w:val="0"/>
                <w:sz w:val="22"/>
                <w:szCs w:val="22"/>
                <w:highlight w:val="none"/>
                <w:lang w:val="en-US" w:eastAsia="zh-CN"/>
              </w:rPr>
            </w:pPr>
            <w:r>
              <w:rPr>
                <w:rFonts w:hint="default" w:ascii="Times New Roman" w:hAnsi="Times New Roman" w:eastAsia="宋体" w:cs="Times New Roman"/>
                <w:color w:val="auto"/>
                <w:kern w:val="0"/>
                <w:sz w:val="22"/>
                <w:szCs w:val="22"/>
                <w:highlight w:val="none"/>
                <w:lang w:val="en-US" w:eastAsia="zh-CN"/>
              </w:rPr>
              <w:t>2）园区规划修编过程中，应按照长江经济带“共抓大保护，不搞大开发”的总体要求，坚持生态优先、绿色发展，严格按照“三线一单”生态环境分区管控要求，优化规划产业定位、功能布局、发展规模、积极推进产业转型升级，实现产业发展与生态环境保护、人居环境安全相协调。</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40" w:firstLineChars="200"/>
              <w:jc w:val="left"/>
              <w:textAlignment w:val="auto"/>
              <w:outlineLvl w:val="9"/>
              <w:rPr>
                <w:rFonts w:hint="default" w:ascii="Times New Roman" w:hAnsi="Times New Roman" w:eastAsia="宋体" w:cs="Times New Roman"/>
                <w:color w:val="auto"/>
                <w:kern w:val="0"/>
                <w:sz w:val="22"/>
                <w:szCs w:val="22"/>
                <w:highlight w:val="none"/>
                <w:lang w:val="en-US" w:eastAsia="zh-CN"/>
              </w:rPr>
            </w:pPr>
            <w:r>
              <w:rPr>
                <w:rFonts w:hint="default" w:ascii="Times New Roman" w:hAnsi="Times New Roman" w:eastAsia="宋体" w:cs="Times New Roman"/>
                <w:color w:val="auto"/>
                <w:kern w:val="0"/>
                <w:sz w:val="22"/>
                <w:szCs w:val="22"/>
                <w:highlight w:val="none"/>
                <w:lang w:val="en-US" w:eastAsia="zh-CN"/>
              </w:rPr>
              <w:t>本项目主要是生产</w:t>
            </w:r>
            <w:r>
              <w:rPr>
                <w:rFonts w:hint="eastAsia" w:ascii="Times New Roman" w:hAnsi="Times New Roman" w:eastAsia="宋体" w:cs="Times New Roman"/>
                <w:color w:val="auto"/>
                <w:kern w:val="0"/>
                <w:sz w:val="22"/>
                <w:szCs w:val="22"/>
                <w:highlight w:val="none"/>
                <w:lang w:val="en-US" w:eastAsia="zh-CN"/>
              </w:rPr>
              <w:t>夹层玻璃</w:t>
            </w:r>
            <w:r>
              <w:rPr>
                <w:rFonts w:hint="default" w:ascii="Times New Roman" w:hAnsi="Times New Roman" w:eastAsia="宋体" w:cs="Times New Roman"/>
                <w:color w:val="auto"/>
                <w:kern w:val="0"/>
                <w:sz w:val="22"/>
                <w:szCs w:val="22"/>
                <w:highlight w:val="none"/>
                <w:lang w:val="en-US" w:eastAsia="zh-CN"/>
              </w:rPr>
              <w:t>，</w:t>
            </w:r>
            <w:r>
              <w:rPr>
                <w:rFonts w:hint="eastAsia" w:ascii="Times New Roman" w:hAnsi="Times New Roman" w:eastAsia="宋体" w:cs="Times New Roman"/>
                <w:color w:val="auto"/>
                <w:kern w:val="0"/>
                <w:sz w:val="22"/>
                <w:szCs w:val="22"/>
                <w:highlight w:val="none"/>
                <w:lang w:val="en-US" w:eastAsia="zh-CN"/>
              </w:rPr>
              <w:t>属于新型建材的一种</w:t>
            </w:r>
            <w:r>
              <w:rPr>
                <w:rFonts w:hint="default" w:ascii="Times New Roman" w:hAnsi="Times New Roman" w:eastAsia="宋体" w:cs="Times New Roman"/>
                <w:color w:val="auto"/>
                <w:kern w:val="0"/>
                <w:sz w:val="22"/>
                <w:szCs w:val="22"/>
                <w:highlight w:val="none"/>
                <w:lang w:val="en-US" w:eastAsia="zh-CN"/>
              </w:rPr>
              <w:t>。</w:t>
            </w:r>
            <w:r>
              <w:rPr>
                <w:rFonts w:hint="eastAsia" w:ascii="Times New Roman" w:hAnsi="Times New Roman" w:eastAsia="宋体" w:cs="Times New Roman"/>
                <w:color w:val="auto"/>
                <w:kern w:val="0"/>
                <w:sz w:val="22"/>
                <w:szCs w:val="22"/>
                <w:highlight w:val="none"/>
                <w:lang w:val="en-US" w:eastAsia="zh-CN"/>
              </w:rPr>
              <w:t>根据乐山市工业集中区控制性详细规划图和乐山市中心城区水口片区控制性详细规划图，项目拟建设地块</w:t>
            </w:r>
            <w:r>
              <w:rPr>
                <w:rFonts w:hint="default" w:ascii="Times New Roman" w:hAnsi="Times New Roman" w:eastAsia="宋体" w:cs="Times New Roman"/>
                <w:color w:val="auto"/>
                <w:kern w:val="0"/>
                <w:sz w:val="22"/>
                <w:szCs w:val="22"/>
                <w:highlight w:val="none"/>
                <w:lang w:val="en-US" w:eastAsia="zh-CN"/>
              </w:rPr>
              <w:t>用地性质</w:t>
            </w:r>
            <w:r>
              <w:rPr>
                <w:rFonts w:hint="eastAsia" w:ascii="Times New Roman" w:hAnsi="Times New Roman" w:eastAsia="宋体" w:cs="Times New Roman"/>
                <w:color w:val="auto"/>
                <w:kern w:val="0"/>
                <w:sz w:val="22"/>
                <w:szCs w:val="22"/>
                <w:highlight w:val="none"/>
                <w:lang w:val="en-US" w:eastAsia="zh-CN"/>
              </w:rPr>
              <w:t>均</w:t>
            </w:r>
            <w:r>
              <w:rPr>
                <w:rFonts w:hint="default" w:ascii="Times New Roman" w:hAnsi="Times New Roman" w:eastAsia="宋体" w:cs="Times New Roman"/>
                <w:color w:val="auto"/>
                <w:kern w:val="0"/>
                <w:sz w:val="22"/>
                <w:szCs w:val="22"/>
                <w:highlight w:val="none"/>
                <w:lang w:val="en-US" w:eastAsia="zh-CN"/>
              </w:rPr>
              <w:t>为工业用地</w:t>
            </w:r>
            <w:r>
              <w:rPr>
                <w:rFonts w:hint="eastAsia" w:ascii="Times New Roman" w:hAnsi="Times New Roman" w:eastAsia="宋体" w:cs="Times New Roman"/>
                <w:color w:val="auto"/>
                <w:kern w:val="0"/>
                <w:sz w:val="22"/>
                <w:szCs w:val="22"/>
                <w:highlight w:val="none"/>
                <w:lang w:val="en-US" w:eastAsia="zh-CN"/>
              </w:rPr>
              <w:t>，符合城市总规要求，且不属于园区禁止引入类项目。2023年3月15日，乐山高新技术产业开发区嘉州工业园管理服务中心同意本项目入驻申请：项目符合园区产业发展规划。</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40" w:firstLineChars="200"/>
              <w:jc w:val="left"/>
              <w:textAlignment w:val="auto"/>
              <w:outlineLvl w:val="9"/>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 w:val="22"/>
                <w:szCs w:val="22"/>
                <w:highlight w:val="none"/>
                <w:lang w:val="en-US" w:eastAsia="zh-CN"/>
              </w:rPr>
              <w:t>综上所述，项目建设符合园区产业规划。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01" w:hRule="atLeast"/>
          <w:jc w:val="center"/>
        </w:trPr>
        <w:tc>
          <w:tcPr>
            <w:tcW w:w="1894" w:type="dxa"/>
            <w:noWrap w:val="0"/>
            <w:vAlign w:val="center"/>
          </w:tcPr>
          <w:p>
            <w:pPr>
              <w:autoSpaceDE w:val="0"/>
              <w:autoSpaceDN w:val="0"/>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 w:val="22"/>
                <w:szCs w:val="22"/>
                <w:highlight w:val="none"/>
              </w:rPr>
              <w:t>其他符合性分析</w:t>
            </w:r>
          </w:p>
        </w:tc>
        <w:tc>
          <w:tcPr>
            <w:tcW w:w="6976" w:type="dxa"/>
            <w:gridSpan w:val="3"/>
            <w:noWrap w:val="0"/>
            <w:vAlign w:val="center"/>
          </w:tcPr>
          <w:p>
            <w:pPr>
              <w:pStyle w:val="14"/>
              <w:spacing w:before="0" w:after="0" w:line="360" w:lineRule="auto"/>
              <w:ind w:right="0" w:firstLine="442" w:firstLineChars="200"/>
              <w:jc w:val="left"/>
              <w:outlineLvl w:val="0"/>
              <w:rPr>
                <w:rFonts w:hint="default" w:ascii="Times New Roman" w:hAnsi="Times New Roman" w:cs="Times New Roman"/>
                <w:b/>
                <w:color w:val="auto"/>
                <w:kern w:val="2"/>
                <w:sz w:val="22"/>
                <w:szCs w:val="22"/>
                <w:highlight w:val="none"/>
              </w:rPr>
            </w:pPr>
            <w:r>
              <w:rPr>
                <w:rFonts w:hint="default" w:ascii="Times New Roman" w:hAnsi="Times New Roman" w:cs="Times New Roman"/>
                <w:b/>
                <w:color w:val="auto"/>
                <w:kern w:val="2"/>
                <w:sz w:val="22"/>
                <w:szCs w:val="22"/>
                <w:highlight w:val="none"/>
                <w:lang w:val="en-US" w:eastAsia="zh-CN"/>
              </w:rPr>
              <w:t>1</w:t>
            </w:r>
            <w:r>
              <w:rPr>
                <w:rFonts w:hint="default" w:ascii="Times New Roman" w:hAnsi="Times New Roman" w:cs="Times New Roman"/>
                <w:b/>
                <w:color w:val="auto"/>
                <w:kern w:val="2"/>
                <w:sz w:val="22"/>
                <w:szCs w:val="22"/>
                <w:highlight w:val="none"/>
                <w:lang w:eastAsia="zh-CN"/>
              </w:rPr>
              <w:t>、</w:t>
            </w:r>
            <w:r>
              <w:rPr>
                <w:rFonts w:hint="default" w:ascii="Times New Roman" w:hAnsi="Times New Roman" w:cs="Times New Roman"/>
                <w:b/>
                <w:color w:val="auto"/>
                <w:kern w:val="2"/>
                <w:sz w:val="22"/>
                <w:szCs w:val="22"/>
                <w:highlight w:val="none"/>
              </w:rPr>
              <w:t>产业政策符合性分析</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40" w:firstLineChars="200"/>
              <w:jc w:val="left"/>
              <w:textAlignment w:val="auto"/>
              <w:outlineLvl w:val="9"/>
              <w:rPr>
                <w:rFonts w:hint="default" w:ascii="Times New Roman" w:hAnsi="Times New Roman" w:cs="Times New Roman"/>
                <w:color w:val="auto"/>
                <w:kern w:val="0"/>
                <w:sz w:val="22"/>
                <w:szCs w:val="22"/>
                <w:highlight w:val="none"/>
              </w:rPr>
            </w:pPr>
            <w:r>
              <w:rPr>
                <w:rFonts w:hint="default" w:ascii="Times New Roman" w:hAnsi="Times New Roman" w:cs="Times New Roman"/>
                <w:color w:val="auto"/>
                <w:kern w:val="0"/>
                <w:sz w:val="22"/>
                <w:szCs w:val="22"/>
                <w:highlight w:val="none"/>
              </w:rPr>
              <w:t>根据</w:t>
            </w:r>
            <w:r>
              <w:rPr>
                <w:rFonts w:hint="eastAsia" w:ascii="Times New Roman" w:hAnsi="Times New Roman" w:cs="Times New Roman"/>
                <w:color w:val="auto"/>
                <w:kern w:val="0"/>
                <w:sz w:val="22"/>
                <w:szCs w:val="22"/>
                <w:highlight w:val="none"/>
                <w:lang w:eastAsia="zh-CN"/>
              </w:rPr>
              <w:t>《产业结构调整指导目录（2019年本）》（2021年修改本）</w:t>
            </w:r>
            <w:r>
              <w:rPr>
                <w:rFonts w:hint="default" w:ascii="Times New Roman" w:hAnsi="Times New Roman" w:cs="Times New Roman"/>
                <w:color w:val="auto"/>
                <w:kern w:val="0"/>
                <w:sz w:val="22"/>
                <w:szCs w:val="22"/>
                <w:highlight w:val="none"/>
              </w:rPr>
              <w:t>要求，</w:t>
            </w:r>
            <w:r>
              <w:rPr>
                <w:rFonts w:hint="default" w:ascii="Times New Roman" w:hAnsi="Times New Roman" w:cs="Times New Roman"/>
                <w:color w:val="auto"/>
                <w:kern w:val="0"/>
                <w:sz w:val="22"/>
                <w:szCs w:val="22"/>
                <w:highlight w:val="none"/>
                <w:lang w:eastAsia="zh-CN"/>
              </w:rPr>
              <w:t>本项目不属于其中鼓励类、限制类、淘汰类，根据国务院《促进产业结构调整暂行规定》（国发[2005]40号）第十三条</w:t>
            </w:r>
            <w:r>
              <w:rPr>
                <w:rFonts w:hint="eastAsia" w:ascii="Times New Roman" w:hAnsi="Times New Roman" w:cs="Times New Roman"/>
                <w:color w:val="auto"/>
                <w:kern w:val="0"/>
                <w:sz w:val="22"/>
                <w:szCs w:val="22"/>
                <w:highlight w:val="none"/>
                <w:lang w:eastAsia="zh-CN"/>
              </w:rPr>
              <w:t>“</w:t>
            </w:r>
            <w:r>
              <w:rPr>
                <w:rFonts w:hint="default" w:ascii="Times New Roman" w:hAnsi="Times New Roman" w:cs="Times New Roman"/>
                <w:color w:val="auto"/>
                <w:kern w:val="0"/>
                <w:sz w:val="22"/>
                <w:szCs w:val="22"/>
                <w:highlight w:val="none"/>
                <w:lang w:eastAsia="zh-CN"/>
              </w:rPr>
              <w:t>不属于鼓励类、限制类和淘汰类，且符合国家有关法律、法规和政策规定，为允许类</w:t>
            </w:r>
            <w:r>
              <w:rPr>
                <w:rFonts w:hint="eastAsia" w:ascii="Times New Roman" w:hAnsi="Times New Roman" w:cs="Times New Roman"/>
                <w:color w:val="auto"/>
                <w:kern w:val="0"/>
                <w:sz w:val="22"/>
                <w:szCs w:val="22"/>
                <w:highlight w:val="none"/>
                <w:lang w:eastAsia="zh-CN"/>
              </w:rPr>
              <w:t>”，因此，本项目属于允许类</w:t>
            </w:r>
            <w:r>
              <w:rPr>
                <w:rFonts w:hint="default" w:ascii="Times New Roman" w:hAnsi="Times New Roman" w:cs="Times New Roman"/>
                <w:color w:val="auto"/>
                <w:kern w:val="0"/>
                <w:sz w:val="22"/>
                <w:szCs w:val="22"/>
                <w:highlight w:val="none"/>
                <w:lang w:eastAsia="zh-CN"/>
              </w:rPr>
              <w:t>。</w:t>
            </w:r>
            <w:r>
              <w:rPr>
                <w:rFonts w:hint="default" w:ascii="Times New Roman" w:hAnsi="Times New Roman" w:cs="Times New Roman"/>
                <w:color w:val="auto"/>
                <w:kern w:val="0"/>
                <w:sz w:val="22"/>
                <w:szCs w:val="22"/>
                <w:highlight w:val="none"/>
              </w:rPr>
              <w:t>同时本项目已通过</w:t>
            </w:r>
            <w:r>
              <w:rPr>
                <w:rFonts w:hint="eastAsia" w:ascii="Times New Roman" w:hAnsi="Times New Roman" w:cs="Times New Roman"/>
                <w:color w:val="auto"/>
                <w:kern w:val="0"/>
                <w:sz w:val="22"/>
                <w:szCs w:val="22"/>
                <w:highlight w:val="none"/>
                <w:lang w:eastAsia="zh-CN"/>
              </w:rPr>
              <w:t>乐山市中区发展和改革局</w:t>
            </w:r>
            <w:r>
              <w:rPr>
                <w:rFonts w:hint="default" w:ascii="Times New Roman" w:hAnsi="Times New Roman" w:cs="Times New Roman"/>
                <w:color w:val="auto"/>
                <w:kern w:val="0"/>
                <w:sz w:val="22"/>
                <w:szCs w:val="22"/>
                <w:highlight w:val="none"/>
              </w:rPr>
              <w:t>备案（</w:t>
            </w:r>
            <w:r>
              <w:rPr>
                <w:rFonts w:hint="eastAsia" w:ascii="Times New Roman" w:hAnsi="Times New Roman" w:cs="Times New Roman"/>
                <w:color w:val="auto"/>
                <w:kern w:val="0"/>
                <w:sz w:val="22"/>
                <w:szCs w:val="22"/>
                <w:highlight w:val="none"/>
                <w:lang w:eastAsia="zh-CN"/>
              </w:rPr>
              <w:t>川投资备【2302-511102-04-01-531656】FGQB-0020号</w:t>
            </w:r>
            <w:r>
              <w:rPr>
                <w:rFonts w:hint="default" w:ascii="Times New Roman" w:hAnsi="Times New Roman" w:cs="Times New Roman"/>
                <w:color w:val="auto"/>
                <w:kern w:val="0"/>
                <w:sz w:val="22"/>
                <w:szCs w:val="22"/>
                <w:highlight w:val="none"/>
              </w:rPr>
              <w:t>），项目建设符合国家现行相关产业政策。</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42" w:firstLineChars="200"/>
              <w:jc w:val="left"/>
              <w:textAlignment w:val="auto"/>
              <w:outlineLvl w:val="9"/>
              <w:rPr>
                <w:rFonts w:hint="default" w:ascii="Times New Roman" w:hAnsi="Times New Roman" w:cs="Times New Roman"/>
                <w:b/>
                <w:bCs/>
                <w:color w:val="auto"/>
                <w:kern w:val="0"/>
                <w:sz w:val="22"/>
                <w:szCs w:val="22"/>
                <w:highlight w:val="none"/>
                <w:lang w:val="en-US" w:eastAsia="zh-CN"/>
              </w:rPr>
            </w:pPr>
            <w:r>
              <w:rPr>
                <w:rFonts w:hint="eastAsia" w:ascii="Times New Roman" w:hAnsi="Times New Roman" w:cs="Times New Roman"/>
                <w:b/>
                <w:bCs/>
                <w:color w:val="auto"/>
                <w:kern w:val="0"/>
                <w:sz w:val="22"/>
                <w:szCs w:val="22"/>
                <w:highlight w:val="none"/>
                <w:lang w:val="en-US" w:eastAsia="zh-CN"/>
              </w:rPr>
              <w:t>2、</w:t>
            </w:r>
            <w:r>
              <w:rPr>
                <w:rFonts w:hint="default" w:ascii="Times New Roman" w:hAnsi="Times New Roman" w:cs="Times New Roman"/>
                <w:b/>
                <w:bCs/>
                <w:color w:val="auto"/>
                <w:kern w:val="0"/>
                <w:sz w:val="22"/>
                <w:szCs w:val="22"/>
                <w:highlight w:val="none"/>
                <w:lang w:val="en-US" w:eastAsia="zh-CN"/>
              </w:rPr>
              <w:t>选址</w:t>
            </w:r>
            <w:r>
              <w:rPr>
                <w:rFonts w:hint="eastAsia" w:ascii="Times New Roman" w:hAnsi="Times New Roman" w:cs="Times New Roman"/>
                <w:b/>
                <w:bCs/>
                <w:color w:val="auto"/>
                <w:kern w:val="0"/>
                <w:sz w:val="22"/>
                <w:szCs w:val="22"/>
                <w:highlight w:val="none"/>
                <w:lang w:val="en-US" w:eastAsia="zh-CN"/>
              </w:rPr>
              <w:t>合理性</w:t>
            </w:r>
            <w:r>
              <w:rPr>
                <w:rFonts w:hint="default" w:ascii="Times New Roman" w:hAnsi="Times New Roman" w:cs="Times New Roman"/>
                <w:b/>
                <w:bCs/>
                <w:color w:val="auto"/>
                <w:kern w:val="0"/>
                <w:sz w:val="22"/>
                <w:szCs w:val="22"/>
                <w:highlight w:val="none"/>
                <w:lang w:val="en-US" w:eastAsia="zh-CN"/>
              </w:rPr>
              <w:t>分析</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42" w:firstLineChars="200"/>
              <w:jc w:val="left"/>
              <w:textAlignment w:val="auto"/>
              <w:outlineLvl w:val="9"/>
              <w:rPr>
                <w:rFonts w:hint="default" w:ascii="Times New Roman" w:hAnsi="Times New Roman" w:eastAsia="宋体" w:cs="Times New Roman"/>
                <w:b/>
                <w:bCs/>
                <w:color w:val="auto"/>
                <w:kern w:val="0"/>
                <w:sz w:val="22"/>
                <w:szCs w:val="22"/>
                <w:highlight w:val="none"/>
                <w:lang w:val="en-US" w:eastAsia="zh-CN"/>
              </w:rPr>
            </w:pPr>
            <w:r>
              <w:rPr>
                <w:rFonts w:hint="eastAsia" w:ascii="Times New Roman" w:hAnsi="Times New Roman" w:cs="Times New Roman"/>
                <w:b/>
                <w:bCs/>
                <w:color w:val="auto"/>
                <w:kern w:val="0"/>
                <w:sz w:val="22"/>
                <w:szCs w:val="22"/>
                <w:highlight w:val="none"/>
                <w:lang w:val="en-US" w:eastAsia="zh-CN"/>
              </w:rPr>
              <w:t>（1）用地规划</w:t>
            </w:r>
            <w:r>
              <w:rPr>
                <w:rFonts w:hint="default" w:ascii="Times New Roman" w:hAnsi="Times New Roman" w:cs="Times New Roman"/>
                <w:b/>
                <w:bCs/>
                <w:color w:val="auto"/>
                <w:kern w:val="0"/>
                <w:sz w:val="22"/>
                <w:szCs w:val="22"/>
                <w:highlight w:val="none"/>
                <w:lang w:val="en-US" w:eastAsia="zh-CN"/>
              </w:rPr>
              <w:t>符合性</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40" w:firstLineChars="200"/>
              <w:jc w:val="left"/>
              <w:textAlignment w:val="auto"/>
              <w:outlineLvl w:val="9"/>
              <w:rPr>
                <w:rFonts w:hint="default" w:ascii="Times New Roman" w:hAnsi="Times New Roman" w:cs="Times New Roman"/>
                <w:color w:val="auto"/>
                <w:kern w:val="0"/>
                <w:sz w:val="22"/>
                <w:szCs w:val="22"/>
                <w:highlight w:val="none"/>
                <w:lang w:val="en-US" w:eastAsia="zh-CN"/>
              </w:rPr>
            </w:pPr>
            <w:r>
              <w:rPr>
                <w:rFonts w:hint="default" w:ascii="Times New Roman" w:hAnsi="Times New Roman" w:cs="Times New Roman"/>
                <w:color w:val="auto"/>
                <w:kern w:val="0"/>
                <w:sz w:val="22"/>
                <w:szCs w:val="22"/>
                <w:highlight w:val="none"/>
                <w:lang w:val="en-US" w:eastAsia="zh-CN"/>
              </w:rPr>
              <w:t>本项目</w:t>
            </w:r>
            <w:r>
              <w:rPr>
                <w:rFonts w:hint="eastAsia" w:ascii="Times New Roman" w:hAnsi="Times New Roman" w:cs="Times New Roman"/>
                <w:color w:val="auto"/>
                <w:kern w:val="0"/>
                <w:sz w:val="22"/>
                <w:szCs w:val="22"/>
                <w:highlight w:val="none"/>
                <w:lang w:val="en-US" w:eastAsia="zh-CN"/>
              </w:rPr>
              <w:t>位于</w:t>
            </w:r>
            <w:r>
              <w:rPr>
                <w:rFonts w:hint="default" w:ascii="Times New Roman" w:hAnsi="Times New Roman" w:cs="Times New Roman"/>
                <w:color w:val="auto"/>
                <w:kern w:val="0"/>
                <w:sz w:val="22"/>
                <w:szCs w:val="22"/>
                <w:highlight w:val="none"/>
                <w:lang w:val="en-US" w:eastAsia="zh-CN"/>
              </w:rPr>
              <w:t>嘉州工业园水口园区</w:t>
            </w:r>
            <w:r>
              <w:rPr>
                <w:rFonts w:hint="eastAsia" w:ascii="Times New Roman" w:hAnsi="Times New Roman" w:cs="Times New Roman"/>
                <w:color w:val="auto"/>
                <w:kern w:val="0"/>
                <w:sz w:val="22"/>
                <w:szCs w:val="22"/>
                <w:highlight w:val="none"/>
                <w:lang w:val="en-US" w:eastAsia="zh-CN"/>
              </w:rPr>
              <w:t>内</w:t>
            </w:r>
            <w:r>
              <w:rPr>
                <w:rFonts w:hint="default" w:ascii="Times New Roman" w:hAnsi="Times New Roman" w:cs="Times New Roman"/>
                <w:color w:val="auto"/>
                <w:kern w:val="0"/>
                <w:sz w:val="22"/>
                <w:szCs w:val="22"/>
                <w:highlight w:val="none"/>
                <w:lang w:val="en-US" w:eastAsia="zh-CN"/>
              </w:rPr>
              <w:t>，</w:t>
            </w:r>
            <w:r>
              <w:rPr>
                <w:rFonts w:hint="eastAsia" w:ascii="Times New Roman" w:hAnsi="Times New Roman" w:eastAsia="宋体" w:cs="Times New Roman"/>
                <w:color w:val="auto"/>
                <w:kern w:val="0"/>
                <w:sz w:val="22"/>
                <w:szCs w:val="22"/>
                <w:highlight w:val="none"/>
                <w:lang w:val="en-US" w:eastAsia="zh-CN"/>
              </w:rPr>
              <w:t>2023年3月23日，四川珑博新材料有限公司取得</w:t>
            </w:r>
            <w:r>
              <w:rPr>
                <w:rFonts w:hint="default" w:ascii="Times New Roman" w:hAnsi="Times New Roman" w:eastAsia="宋体" w:cs="Times New Roman"/>
                <w:color w:val="auto"/>
                <w:kern w:val="0"/>
                <w:sz w:val="22"/>
                <w:szCs w:val="22"/>
                <w:highlight w:val="none"/>
                <w:lang w:val="en-US" w:eastAsia="zh-CN"/>
              </w:rPr>
              <w:t>乐山市自然资源</w:t>
            </w:r>
            <w:r>
              <w:rPr>
                <w:rFonts w:hint="eastAsia" w:ascii="Times New Roman" w:hAnsi="Times New Roman" w:eastAsia="宋体" w:cs="Times New Roman"/>
                <w:color w:val="auto"/>
                <w:kern w:val="0"/>
                <w:sz w:val="22"/>
                <w:szCs w:val="22"/>
                <w:highlight w:val="none"/>
                <w:lang w:val="en-US" w:eastAsia="zh-CN"/>
              </w:rPr>
              <w:t>和规划</w:t>
            </w:r>
            <w:r>
              <w:rPr>
                <w:rFonts w:hint="default" w:ascii="Times New Roman" w:hAnsi="Times New Roman" w:eastAsia="宋体" w:cs="Times New Roman"/>
                <w:color w:val="auto"/>
                <w:kern w:val="0"/>
                <w:sz w:val="22"/>
                <w:szCs w:val="22"/>
                <w:highlight w:val="none"/>
                <w:lang w:val="en-US" w:eastAsia="zh-CN"/>
              </w:rPr>
              <w:t>局出具的建设用地规划许可证（地字第511100202</w:t>
            </w:r>
            <w:r>
              <w:rPr>
                <w:rFonts w:hint="eastAsia" w:ascii="Times New Roman" w:hAnsi="Times New Roman" w:eastAsia="宋体" w:cs="Times New Roman"/>
                <w:color w:val="auto"/>
                <w:kern w:val="0"/>
                <w:sz w:val="22"/>
                <w:szCs w:val="22"/>
                <w:highlight w:val="none"/>
                <w:lang w:val="en-US" w:eastAsia="zh-CN"/>
              </w:rPr>
              <w:t>3</w:t>
            </w:r>
            <w:r>
              <w:rPr>
                <w:rFonts w:hint="default" w:ascii="Times New Roman" w:hAnsi="Times New Roman" w:eastAsia="宋体" w:cs="Times New Roman"/>
                <w:color w:val="auto"/>
                <w:kern w:val="0"/>
                <w:sz w:val="22"/>
                <w:szCs w:val="22"/>
                <w:highlight w:val="none"/>
                <w:lang w:val="en-US" w:eastAsia="zh-CN"/>
              </w:rPr>
              <w:t>000</w:t>
            </w:r>
            <w:r>
              <w:rPr>
                <w:rFonts w:hint="eastAsia" w:ascii="Times New Roman" w:hAnsi="Times New Roman" w:eastAsia="宋体" w:cs="Times New Roman"/>
                <w:color w:val="auto"/>
                <w:kern w:val="0"/>
                <w:sz w:val="22"/>
                <w:szCs w:val="22"/>
                <w:highlight w:val="none"/>
                <w:lang w:val="en-US" w:eastAsia="zh-CN"/>
              </w:rPr>
              <w:t>07</w:t>
            </w:r>
            <w:r>
              <w:rPr>
                <w:rFonts w:hint="default" w:ascii="Times New Roman" w:hAnsi="Times New Roman" w:eastAsia="宋体" w:cs="Times New Roman"/>
                <w:color w:val="auto"/>
                <w:kern w:val="0"/>
                <w:sz w:val="22"/>
                <w:szCs w:val="22"/>
                <w:highlight w:val="none"/>
                <w:lang w:val="en-US" w:eastAsia="zh-CN"/>
              </w:rPr>
              <w:t>号）</w:t>
            </w:r>
            <w:r>
              <w:rPr>
                <w:rFonts w:hint="eastAsia" w:ascii="Times New Roman" w:hAnsi="Times New Roman" w:eastAsia="宋体" w:cs="Times New Roman"/>
                <w:color w:val="auto"/>
                <w:kern w:val="0"/>
                <w:sz w:val="22"/>
                <w:szCs w:val="22"/>
                <w:highlight w:val="none"/>
                <w:lang w:val="en-US" w:eastAsia="zh-CN"/>
              </w:rPr>
              <w:t>，土地用途为工业用地</w:t>
            </w:r>
            <w:r>
              <w:rPr>
                <w:rFonts w:hint="default" w:ascii="Times New Roman" w:hAnsi="Times New Roman" w:eastAsia="宋体" w:cs="Times New Roman"/>
                <w:color w:val="auto"/>
                <w:kern w:val="0"/>
                <w:sz w:val="22"/>
                <w:szCs w:val="22"/>
                <w:highlight w:val="none"/>
                <w:lang w:val="en-US" w:eastAsia="zh-CN"/>
              </w:rPr>
              <w:t>。</w:t>
            </w:r>
            <w:r>
              <w:rPr>
                <w:rFonts w:hint="eastAsia" w:ascii="Times New Roman" w:hAnsi="Times New Roman" w:eastAsia="宋体" w:cs="Times New Roman"/>
                <w:color w:val="auto"/>
                <w:kern w:val="0"/>
                <w:sz w:val="22"/>
                <w:szCs w:val="22"/>
                <w:highlight w:val="none"/>
                <w:lang w:val="en-US" w:eastAsia="zh-CN"/>
              </w:rPr>
              <w:t>2023年3月15日，乐山高新技术产业开发区嘉州工业园管理服务中心同意本项目入驻申请：项目符合园区产业发展规划。</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40" w:firstLineChars="200"/>
              <w:jc w:val="left"/>
              <w:textAlignment w:val="auto"/>
              <w:outlineLvl w:val="9"/>
              <w:rPr>
                <w:rFonts w:hint="default" w:ascii="Times New Roman" w:hAnsi="Times New Roman" w:cs="Times New Roman"/>
                <w:color w:val="auto"/>
                <w:kern w:val="0"/>
                <w:sz w:val="22"/>
                <w:szCs w:val="22"/>
                <w:highlight w:val="none"/>
              </w:rPr>
            </w:pPr>
            <w:r>
              <w:rPr>
                <w:rFonts w:hint="eastAsia" w:ascii="Times New Roman" w:hAnsi="Times New Roman" w:cs="Times New Roman"/>
                <w:color w:val="auto"/>
                <w:kern w:val="0"/>
                <w:sz w:val="22"/>
                <w:szCs w:val="22"/>
                <w:highlight w:val="none"/>
                <w:lang w:val="en-US" w:eastAsia="zh-CN"/>
              </w:rPr>
              <w:t>综上，项目土地用途为工业用地，用地手续合法，符合规划要求。</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42" w:firstLineChars="200"/>
              <w:jc w:val="left"/>
              <w:textAlignment w:val="auto"/>
              <w:outlineLvl w:val="9"/>
              <w:rPr>
                <w:rFonts w:hint="default" w:ascii="Times New Roman" w:hAnsi="Times New Roman" w:cs="Times New Roman"/>
                <w:b/>
                <w:bCs/>
                <w:color w:val="auto"/>
                <w:kern w:val="0"/>
                <w:sz w:val="22"/>
                <w:szCs w:val="22"/>
                <w:highlight w:val="none"/>
                <w:lang w:val="en-US" w:eastAsia="zh-CN"/>
              </w:rPr>
            </w:pPr>
            <w:r>
              <w:rPr>
                <w:rFonts w:hint="eastAsia" w:ascii="Times New Roman" w:hAnsi="Times New Roman" w:cs="Times New Roman"/>
                <w:b/>
                <w:bCs/>
                <w:color w:val="auto"/>
                <w:kern w:val="0"/>
                <w:sz w:val="22"/>
                <w:szCs w:val="22"/>
                <w:highlight w:val="none"/>
                <w:lang w:val="en-US" w:eastAsia="zh-CN"/>
              </w:rPr>
              <w:t>（2）外环境相容性</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40" w:firstLineChars="200"/>
              <w:jc w:val="left"/>
              <w:textAlignment w:val="auto"/>
              <w:outlineLvl w:val="9"/>
              <w:rPr>
                <w:rFonts w:hint="default" w:ascii="Times New Roman" w:hAnsi="Times New Roman" w:eastAsia="宋体" w:cs="Times New Roman"/>
                <w:color w:val="auto"/>
                <w:kern w:val="0"/>
                <w:sz w:val="22"/>
                <w:szCs w:val="22"/>
                <w:highlight w:val="none"/>
                <w:lang w:val="en-US" w:eastAsia="zh-CN"/>
              </w:rPr>
            </w:pPr>
            <w:r>
              <w:rPr>
                <w:rFonts w:hint="default" w:ascii="Times New Roman" w:hAnsi="Times New Roman" w:eastAsia="宋体" w:cs="Times New Roman"/>
                <w:color w:val="auto"/>
                <w:kern w:val="0"/>
                <w:sz w:val="22"/>
                <w:szCs w:val="22"/>
                <w:highlight w:val="none"/>
                <w:lang w:val="en-US" w:eastAsia="zh-CN"/>
              </w:rPr>
              <w:t>经现场调查，项目</w:t>
            </w:r>
            <w:r>
              <w:rPr>
                <w:rFonts w:hint="eastAsia" w:ascii="Times New Roman" w:hAnsi="Times New Roman" w:eastAsia="宋体" w:cs="Times New Roman"/>
                <w:color w:val="auto"/>
                <w:kern w:val="0"/>
                <w:sz w:val="22"/>
                <w:szCs w:val="22"/>
                <w:highlight w:val="none"/>
                <w:lang w:val="en-US" w:eastAsia="zh-CN"/>
              </w:rPr>
              <w:t>南侧75m-500m为白玉村村民75户（230人），西侧260m有住户2户（5人），290m有住户1户（3人），430m有住户1户（3人），600m有住户3户（10人）；北侧410m为四川华构住宅工业有限公司；东侧紧邻乐山平信建材有限公司，130m为乐山杭加节能新材料有限公司，330m为苏新投新型建材，390m为乐山义博建材有限公司，595m为嘉美志达商混站，1020m为大渡河。</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40" w:firstLineChars="200"/>
              <w:jc w:val="left"/>
              <w:textAlignment w:val="auto"/>
              <w:outlineLvl w:val="9"/>
              <w:rPr>
                <w:rFonts w:hint="eastAsia" w:ascii="Times New Roman" w:hAnsi="Times New Roman" w:cs="Times New Roman"/>
                <w:color w:val="auto"/>
                <w:kern w:val="0"/>
                <w:sz w:val="22"/>
                <w:szCs w:val="22"/>
                <w:highlight w:val="none"/>
                <w:lang w:val="en-US" w:eastAsia="zh-CN"/>
              </w:rPr>
            </w:pPr>
            <w:r>
              <w:rPr>
                <w:rFonts w:hint="default" w:ascii="Times New Roman" w:hAnsi="Times New Roman" w:cs="Times New Roman"/>
                <w:color w:val="auto"/>
                <w:kern w:val="0"/>
                <w:sz w:val="22"/>
                <w:szCs w:val="22"/>
                <w:highlight w:val="none"/>
                <w:lang w:val="en-US" w:eastAsia="zh-CN"/>
              </w:rPr>
              <w:t>调查显示区域内无饮用水水源保护区、无名胜古迹、无重要通讯线路、无电力设施及自然保护区等敏感保护目标，</w:t>
            </w:r>
            <w:r>
              <w:rPr>
                <w:rFonts w:hint="eastAsia" w:ascii="Times New Roman" w:hAnsi="Times New Roman" w:cs="Times New Roman"/>
                <w:color w:val="auto"/>
                <w:kern w:val="0"/>
                <w:sz w:val="22"/>
                <w:szCs w:val="22"/>
                <w:highlight w:val="none"/>
                <w:lang w:val="en-US" w:eastAsia="zh-CN"/>
              </w:rPr>
              <w:t>项目生产车间布置在厂内北部，远离南侧居民。因此</w:t>
            </w:r>
            <w:r>
              <w:rPr>
                <w:rFonts w:hint="default" w:ascii="Times New Roman" w:hAnsi="Times New Roman" w:cs="Times New Roman"/>
                <w:color w:val="auto"/>
                <w:kern w:val="0"/>
                <w:sz w:val="22"/>
                <w:szCs w:val="22"/>
                <w:highlight w:val="none"/>
                <w:lang w:val="en-US" w:eastAsia="zh-CN"/>
              </w:rPr>
              <w:t>本项目与周边环境相容，选址合理</w:t>
            </w:r>
            <w:r>
              <w:rPr>
                <w:rFonts w:hint="eastAsia" w:ascii="Times New Roman" w:hAnsi="Times New Roman" w:cs="Times New Roman"/>
                <w:color w:val="auto"/>
                <w:kern w:val="0"/>
                <w:sz w:val="22"/>
                <w:szCs w:val="22"/>
                <w:highlight w:val="none"/>
                <w:lang w:val="en-US" w:eastAsia="zh-CN"/>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42" w:firstLineChars="200"/>
              <w:jc w:val="left"/>
              <w:textAlignment w:val="auto"/>
              <w:outlineLvl w:val="9"/>
              <w:rPr>
                <w:rFonts w:hint="default" w:ascii="Times New Roman" w:hAnsi="Times New Roman" w:cs="Times New Roman"/>
                <w:b/>
                <w:bCs/>
                <w:color w:val="auto"/>
                <w:kern w:val="0"/>
                <w:sz w:val="22"/>
                <w:szCs w:val="22"/>
                <w:highlight w:val="none"/>
                <w:lang w:val="en-US" w:eastAsia="zh-CN"/>
              </w:rPr>
            </w:pPr>
            <w:r>
              <w:rPr>
                <w:rFonts w:hint="eastAsia" w:ascii="Times New Roman" w:hAnsi="Times New Roman" w:cs="Times New Roman"/>
                <w:b/>
                <w:bCs/>
                <w:color w:val="auto"/>
                <w:kern w:val="0"/>
                <w:sz w:val="22"/>
                <w:szCs w:val="22"/>
                <w:highlight w:val="none"/>
                <w:lang w:val="en-US" w:eastAsia="zh-CN"/>
              </w:rPr>
              <w:t>3、</w:t>
            </w:r>
            <w:r>
              <w:rPr>
                <w:rFonts w:hint="default" w:ascii="Times New Roman" w:hAnsi="Times New Roman" w:cs="Times New Roman"/>
                <w:b/>
                <w:bCs/>
                <w:color w:val="auto"/>
                <w:kern w:val="0"/>
                <w:sz w:val="22"/>
                <w:szCs w:val="22"/>
                <w:highlight w:val="none"/>
                <w:lang w:val="en-US" w:eastAsia="zh-CN"/>
              </w:rPr>
              <w:t>与《“十三五”挥发性有机物污染防治工作方案》</w:t>
            </w:r>
            <w:r>
              <w:rPr>
                <w:rFonts w:hint="eastAsia" w:ascii="Times New Roman" w:hAnsi="Times New Roman" w:cs="Times New Roman"/>
                <w:b/>
                <w:bCs/>
                <w:color w:val="auto"/>
                <w:kern w:val="0"/>
                <w:sz w:val="22"/>
                <w:szCs w:val="22"/>
                <w:highlight w:val="none"/>
                <w:lang w:val="en-US" w:eastAsia="zh-CN"/>
              </w:rPr>
              <w:t>、</w:t>
            </w:r>
            <w:r>
              <w:rPr>
                <w:rFonts w:hint="eastAsia" w:ascii="Times New Roman" w:hAnsi="Times New Roman" w:cs="Times New Roman"/>
                <w:b/>
                <w:color w:val="auto"/>
                <w:kern w:val="2"/>
                <w:sz w:val="22"/>
                <w:szCs w:val="22"/>
                <w:highlight w:val="none"/>
                <w:lang w:val="en-US" w:eastAsia="zh-CN"/>
              </w:rPr>
              <w:t>《四川省挥发性有机物污染防治实施方案》（2018-2020年）</w:t>
            </w:r>
            <w:r>
              <w:rPr>
                <w:rFonts w:hint="default" w:ascii="Times New Roman" w:hAnsi="Times New Roman" w:cs="Times New Roman"/>
                <w:b/>
                <w:bCs/>
                <w:color w:val="auto"/>
                <w:kern w:val="0"/>
                <w:sz w:val="22"/>
                <w:szCs w:val="22"/>
                <w:highlight w:val="none"/>
                <w:lang w:val="en-US" w:eastAsia="zh-CN"/>
              </w:rPr>
              <w:t>符合性分析</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40" w:firstLineChars="200"/>
              <w:jc w:val="both"/>
              <w:textAlignment w:val="auto"/>
              <w:outlineLvl w:val="9"/>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根据《</w:t>
            </w:r>
            <w:r>
              <w:rPr>
                <w:rFonts w:hint="eastAsia" w:ascii="Times New Roman" w:hAnsi="Times New Roman" w:eastAsia="宋体" w:cs="Times New Roman"/>
                <w:color w:val="auto"/>
                <w:kern w:val="2"/>
                <w:sz w:val="22"/>
                <w:szCs w:val="22"/>
                <w:highlight w:val="none"/>
                <w:lang w:val="en-US" w:eastAsia="zh-CN" w:bidi="ar-SA"/>
              </w:rPr>
              <w:t>“</w:t>
            </w:r>
            <w:r>
              <w:rPr>
                <w:rFonts w:hint="default" w:ascii="Times New Roman" w:hAnsi="Times New Roman" w:eastAsia="宋体" w:cs="Times New Roman"/>
                <w:color w:val="auto"/>
                <w:kern w:val="2"/>
                <w:sz w:val="22"/>
                <w:szCs w:val="22"/>
                <w:highlight w:val="none"/>
                <w:lang w:val="en-US" w:eastAsia="zh-CN" w:bidi="ar-SA"/>
              </w:rPr>
              <w:t>十三五</w:t>
            </w:r>
            <w:r>
              <w:rPr>
                <w:rFonts w:hint="eastAsia" w:ascii="Times New Roman" w:hAnsi="Times New Roman" w:eastAsia="宋体" w:cs="Times New Roman"/>
                <w:color w:val="auto"/>
                <w:kern w:val="2"/>
                <w:sz w:val="22"/>
                <w:szCs w:val="22"/>
                <w:highlight w:val="none"/>
                <w:lang w:val="en-US" w:eastAsia="zh-CN" w:bidi="ar-SA"/>
              </w:rPr>
              <w:t>”</w:t>
            </w:r>
            <w:r>
              <w:rPr>
                <w:rFonts w:hint="default" w:ascii="Times New Roman" w:hAnsi="Times New Roman" w:eastAsia="宋体" w:cs="Times New Roman"/>
                <w:color w:val="auto"/>
                <w:kern w:val="2"/>
                <w:sz w:val="22"/>
                <w:szCs w:val="22"/>
                <w:highlight w:val="none"/>
                <w:lang w:val="en-US" w:eastAsia="zh-CN" w:bidi="ar-SA"/>
              </w:rPr>
              <w:t>挥发性有机物污染防治工作方案》中提出严格建设项目环境准入</w:t>
            </w:r>
            <w:r>
              <w:rPr>
                <w:rFonts w:hint="eastAsia" w:ascii="Times New Roman" w:hAnsi="Times New Roman" w:eastAsia="宋体" w:cs="Times New Roman"/>
                <w:color w:val="auto"/>
                <w:kern w:val="2"/>
                <w:sz w:val="22"/>
                <w:szCs w:val="22"/>
                <w:highlight w:val="none"/>
                <w:lang w:val="en-US" w:eastAsia="zh-CN" w:bidi="ar-SA"/>
              </w:rPr>
              <w:t>“</w:t>
            </w:r>
            <w:r>
              <w:rPr>
                <w:rFonts w:hint="default" w:ascii="Times New Roman" w:hAnsi="Times New Roman" w:eastAsia="宋体" w:cs="Times New Roman"/>
                <w:color w:val="auto"/>
                <w:kern w:val="2"/>
                <w:sz w:val="22"/>
                <w:szCs w:val="22"/>
                <w:highlight w:val="none"/>
                <w:lang w:val="en-US" w:eastAsia="zh-CN" w:bidi="ar-SA"/>
              </w:rPr>
              <w:t>提高VOCs排放重点行业环保准入门槛，严格控制新增污染物排放量。重点地区要严格限制石化、化工、包装、工业涂装等高VOCs排放建设项目。新建涉VOCs排放的工业企业要入园区。</w:t>
            </w:r>
            <w:r>
              <w:rPr>
                <w:rFonts w:hint="eastAsia" w:ascii="Times New Roman" w:hAnsi="Times New Roman" w:cs="Times New Roman"/>
                <w:color w:val="auto"/>
                <w:kern w:val="0"/>
                <w:sz w:val="22"/>
                <w:szCs w:val="22"/>
                <w:highlight w:val="none"/>
                <w:lang w:val="en-US" w:eastAsia="zh-CN"/>
              </w:rPr>
              <w:t>……</w:t>
            </w:r>
            <w:r>
              <w:rPr>
                <w:rFonts w:hint="eastAsia" w:ascii="Times New Roman" w:hAnsi="Times New Roman" w:eastAsia="宋体" w:cs="Times New Roman"/>
                <w:color w:val="auto"/>
                <w:kern w:val="2"/>
                <w:sz w:val="22"/>
                <w:szCs w:val="22"/>
                <w:highlight w:val="none"/>
                <w:lang w:val="en-US" w:eastAsia="zh-CN" w:bidi="ar-SA"/>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40" w:firstLineChars="200"/>
              <w:jc w:val="left"/>
              <w:textAlignment w:val="auto"/>
              <w:outlineLvl w:val="9"/>
              <w:rPr>
                <w:rFonts w:hint="eastAsia" w:ascii="Times New Roman" w:hAnsi="Times New Roman" w:cs="Times New Roman"/>
                <w:color w:val="auto"/>
                <w:kern w:val="0"/>
                <w:sz w:val="22"/>
                <w:szCs w:val="22"/>
                <w:highlight w:val="none"/>
                <w:lang w:val="en-US" w:eastAsia="zh-CN"/>
              </w:rPr>
            </w:pPr>
            <w:r>
              <w:rPr>
                <w:rFonts w:hint="eastAsia" w:ascii="Times New Roman" w:hAnsi="Times New Roman" w:cs="Times New Roman"/>
                <w:color w:val="auto"/>
                <w:kern w:val="0"/>
                <w:sz w:val="22"/>
                <w:szCs w:val="22"/>
                <w:highlight w:val="none"/>
                <w:lang w:val="en-US" w:eastAsia="zh-CN"/>
              </w:rPr>
              <w:t>根据《四川省挥发性有机物污染防治实施方案》中提出其主要任务为“（一）加大产业结构调整力度。……各市（州）要严格限制石化、化工、包装印刷、工业涂装等高VOCs排放建设项目。新建涉VOCs排放的工业企业要入园区……加强废气收集，安装高效治理设施……。（二）加快实施工业源VOCs污染防治。……产生含挥发性有机物废气的生产和服务活动，应当在密闭空间或者设备中进行，并按照规定安装、使用污染防治设施；无法密闭的，应当采取措施减少废气排放。……”</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40" w:firstLineChars="200"/>
              <w:jc w:val="left"/>
              <w:textAlignment w:val="auto"/>
              <w:outlineLvl w:val="9"/>
              <w:rPr>
                <w:rFonts w:hint="eastAsia" w:ascii="Times New Roman" w:hAnsi="Times New Roman" w:cs="Times New Roman"/>
                <w:color w:val="auto"/>
                <w:kern w:val="0"/>
                <w:sz w:val="22"/>
                <w:szCs w:val="22"/>
                <w:highlight w:val="none"/>
                <w:lang w:val="en-US" w:eastAsia="zh-CN"/>
              </w:rPr>
            </w:pPr>
            <w:r>
              <w:rPr>
                <w:rFonts w:hint="eastAsia" w:ascii="Times New Roman" w:hAnsi="Times New Roman" w:cs="Times New Roman"/>
                <w:color w:val="auto"/>
                <w:kern w:val="0"/>
                <w:sz w:val="22"/>
                <w:szCs w:val="22"/>
                <w:highlight w:val="none"/>
                <w:lang w:val="en-US" w:eastAsia="zh-CN"/>
              </w:rPr>
              <w:t>本</w:t>
            </w:r>
            <w:r>
              <w:rPr>
                <w:rFonts w:hint="eastAsia" w:ascii="Times New Roman" w:hAnsi="Times New Roman" w:eastAsia="宋体" w:cs="Times New Roman"/>
                <w:color w:val="auto"/>
                <w:kern w:val="0"/>
                <w:sz w:val="22"/>
                <w:szCs w:val="22"/>
                <w:highlight w:val="none"/>
                <w:lang w:val="en-US" w:eastAsia="zh-CN"/>
              </w:rPr>
              <w:t>项目位于</w:t>
            </w:r>
            <w:r>
              <w:rPr>
                <w:rFonts w:hint="eastAsia" w:ascii="Times New Roman" w:hAnsi="Times New Roman" w:cs="Times New Roman"/>
                <w:color w:val="auto"/>
                <w:kern w:val="0"/>
                <w:sz w:val="22"/>
                <w:szCs w:val="22"/>
                <w:highlight w:val="none"/>
                <w:lang w:val="en-US" w:eastAsia="zh-CN"/>
              </w:rPr>
              <w:t>嘉州工业园水口园区，主要生产夹层玻璃，并对30%夹层玻璃进行喷漆处理。项目使用油性涂料，喷漆废气经“水帘柜+干式过滤+两级活性炭”</w:t>
            </w:r>
            <w:r>
              <w:rPr>
                <w:rFonts w:hint="eastAsia" w:ascii="Times New Roman" w:hAnsi="Times New Roman" w:eastAsia="宋体" w:cs="Times New Roman"/>
                <w:color w:val="auto"/>
                <w:kern w:val="0"/>
                <w:sz w:val="22"/>
                <w:szCs w:val="22"/>
                <w:highlight w:val="none"/>
                <w:lang w:val="en-US" w:eastAsia="zh-CN"/>
              </w:rPr>
              <w:t>处理后通过15m排气筒（DA001）排放，</w:t>
            </w:r>
            <w:r>
              <w:rPr>
                <w:rFonts w:hint="eastAsia" w:ascii="Times New Roman" w:hAnsi="Times New Roman" w:cs="Times New Roman"/>
                <w:b w:val="0"/>
                <w:bCs w:val="0"/>
                <w:color w:val="auto"/>
                <w:kern w:val="0"/>
                <w:sz w:val="22"/>
                <w:szCs w:val="22"/>
                <w:highlight w:val="none"/>
                <w:lang w:val="en-US" w:eastAsia="zh-CN"/>
              </w:rPr>
              <w:t>符合《“十三五”挥发性有机物污染防治工作方案》和《四川省挥发性有机物污染防治实施方案（2018-2020年）》的要求。</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42" w:firstLineChars="200"/>
              <w:jc w:val="left"/>
              <w:textAlignment w:val="auto"/>
              <w:outlineLvl w:val="9"/>
              <w:rPr>
                <w:rFonts w:hint="eastAsia" w:ascii="Times New Roman" w:hAnsi="Times New Roman" w:cs="Times New Roman"/>
                <w:b/>
                <w:bCs/>
                <w:color w:val="auto"/>
                <w:kern w:val="0"/>
                <w:sz w:val="22"/>
                <w:szCs w:val="22"/>
                <w:highlight w:val="none"/>
                <w:lang w:val="en-US" w:eastAsia="zh-CN"/>
              </w:rPr>
            </w:pPr>
            <w:r>
              <w:rPr>
                <w:rFonts w:hint="eastAsia" w:ascii="Times New Roman" w:hAnsi="Times New Roman" w:cs="Times New Roman"/>
                <w:b/>
                <w:bCs/>
                <w:color w:val="auto"/>
                <w:kern w:val="0"/>
                <w:sz w:val="22"/>
                <w:szCs w:val="22"/>
                <w:highlight w:val="none"/>
                <w:lang w:val="en-US" w:eastAsia="zh-CN"/>
              </w:rPr>
              <w:t>4、与关于印发《2020年挥发性有机物治理攻坚方案》的通知（环大气[2020]33号）符合性分析</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40" w:firstLineChars="200"/>
              <w:jc w:val="left"/>
              <w:textAlignment w:val="auto"/>
              <w:outlineLvl w:val="9"/>
              <w:rPr>
                <w:rFonts w:hint="eastAsia"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kern w:val="2"/>
                <w:sz w:val="22"/>
                <w:szCs w:val="22"/>
                <w:highlight w:val="none"/>
                <w:lang w:val="en-US" w:eastAsia="zh-CN" w:bidi="ar-SA"/>
              </w:rPr>
              <w:t>本项目与攻坚方案对照符合性如下：</w:t>
            </w:r>
          </w:p>
          <w:p>
            <w:pPr>
              <w:adjustRightInd w:val="0"/>
              <w:jc w:val="center"/>
              <w:textAlignment w:val="baseline"/>
              <w:rPr>
                <w:rFonts w:hint="eastAsia" w:ascii="Times New Roman" w:hAnsi="Times New Roman" w:cs="Times New Roman"/>
                <w:b/>
                <w:bCs/>
                <w:color w:val="auto"/>
                <w:szCs w:val="21"/>
                <w:highlight w:val="none"/>
                <w:lang w:val="en-US" w:eastAsia="zh-CN"/>
              </w:rPr>
            </w:pPr>
            <w:r>
              <w:rPr>
                <w:rFonts w:hint="eastAsia" w:ascii="Times New Roman" w:hAnsi="Times New Roman" w:cs="Times New Roman"/>
                <w:b/>
                <w:bCs/>
                <w:color w:val="auto"/>
                <w:szCs w:val="21"/>
                <w:highlight w:val="none"/>
                <w:lang w:val="en-US" w:eastAsia="zh-CN"/>
              </w:rPr>
              <w:t>表1-1  项目与《2020年挥发性有机物治理攻坚方案》符合性分析</w:t>
            </w:r>
          </w:p>
          <w:tbl>
            <w:tblPr>
              <w:tblStyle w:val="43"/>
              <w:tblW w:w="68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13"/>
              <w:gridCol w:w="1570"/>
              <w:gridCol w:w="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431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sz w:val="21"/>
                      <w:szCs w:val="21"/>
                      <w:vertAlign w:val="baseline"/>
                      <w:lang w:val="en-US" w:eastAsia="zh-CN"/>
                    </w:rPr>
                  </w:pPr>
                  <w:r>
                    <w:rPr>
                      <w:rFonts w:hint="default"/>
                      <w:sz w:val="21"/>
                      <w:szCs w:val="21"/>
                      <w:vertAlign w:val="baseline"/>
                      <w:lang w:val="en-US" w:eastAsia="zh-CN"/>
                    </w:rPr>
                    <w:t>2020年挥发性有机物治理攻坚方案</w:t>
                  </w:r>
                </w:p>
              </w:tc>
              <w:tc>
                <w:tcPr>
                  <w:tcW w:w="157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本项目</w:t>
                  </w:r>
                </w:p>
              </w:tc>
              <w:tc>
                <w:tcPr>
                  <w:tcW w:w="94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5" w:hRule="atLeast"/>
                <w:jc w:val="center"/>
              </w:trPr>
              <w:tc>
                <w:tcPr>
                  <w:tcW w:w="431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一、大力推进源头替代，有效减少VOCs产生：严格落实国家和地方产品VOCs含量限值标准。大力推进低（无）VOCs含量原辅材料替代，采用符合国家有关低VOCs含量产品规定的涂料、油墨、胶粘剂等。</w:t>
                  </w:r>
                </w:p>
              </w:tc>
              <w:tc>
                <w:tcPr>
                  <w:tcW w:w="1570"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本项目主要生产夹层玻璃，并对30%夹层玻璃进行喷漆处理，喷漆房密闭，喷漆废气经“水帘柜+干式过滤+两级活性炭”处理后通过15m排气筒（DA001）排放。</w:t>
                  </w:r>
                </w:p>
              </w:tc>
              <w:tc>
                <w:tcPr>
                  <w:tcW w:w="94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431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二、全面落实标准要求，强化无组织排放控制：企业在无组织排放排查整治过程中，在保证安全的前提下，加强含VOCs物料全方位、全链条、全环节密闭管理。储存环节应采用密闭容器、包装袋，高效密封储罐，封闭式储库、料仓等。装卸、转移和输送环节应采用密闭管道或密闭容器、罐车等。生产和使用环节应采用密闭设备，或在密闭空间中操作并有效收集废气，或进行局部气体收集；非取用状态时容器应密闭。</w:t>
                  </w:r>
                </w:p>
              </w:tc>
              <w:tc>
                <w:tcPr>
                  <w:tcW w:w="157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sz w:val="21"/>
                      <w:szCs w:val="21"/>
                      <w:vertAlign w:val="baseline"/>
                      <w:lang w:val="en-US" w:eastAsia="zh-CN"/>
                    </w:rPr>
                  </w:pPr>
                </w:p>
              </w:tc>
              <w:tc>
                <w:tcPr>
                  <w:tcW w:w="94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jc w:val="center"/>
              </w:trPr>
              <w:tc>
                <w:tcPr>
                  <w:tcW w:w="431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三、聚焦治污设施“三率”，提升综合治理效率：按照“应收尽收”的原则提升废气收集率，优先采用密闭设备，在密闭空间中操作或采用全密闭集气罩收集方式；对于采用局部集气罩的，应根据废气排放特点合理选择收集点位，距集气罩开口面最远处的VOCs无组织排放位置，控制风速不低于0.3米/秒；加强生产车间密闭管理，按照与生产设备“同启同停”的原则提升治理设施运行率。采用活性炭吸附技术的，应选择碘值不低于800毫克/可的活性炭，并按设计要求足量添加、及时更换。</w:t>
                  </w:r>
                </w:p>
              </w:tc>
              <w:tc>
                <w:tcPr>
                  <w:tcW w:w="157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sz w:val="21"/>
                      <w:szCs w:val="21"/>
                      <w:vertAlign w:val="baseline"/>
                      <w:lang w:val="en-US" w:eastAsia="zh-CN"/>
                    </w:rPr>
                  </w:pPr>
                </w:p>
              </w:tc>
              <w:tc>
                <w:tcPr>
                  <w:tcW w:w="94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符合</w:t>
                  </w:r>
                </w:p>
              </w:tc>
            </w:tr>
          </w:tbl>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outlineLvl w:val="9"/>
              <w:rPr>
                <w:rFonts w:hint="eastAsia" w:ascii="Times New Roman" w:hAnsi="Times New Roman" w:cs="Times New Roman"/>
                <w:color w:val="auto"/>
                <w:kern w:val="0"/>
                <w:sz w:val="22"/>
                <w:szCs w:val="22"/>
                <w:highlight w:val="none"/>
                <w:lang w:val="en-US" w:eastAsia="zh-CN"/>
              </w:rPr>
            </w:pPr>
            <w:r>
              <w:rPr>
                <w:rFonts w:hint="eastAsia"/>
                <w:lang w:val="en-US" w:eastAsia="zh-CN"/>
              </w:rPr>
              <w:t>综上，项目符合</w:t>
            </w:r>
            <w:r>
              <w:rPr>
                <w:rFonts w:hint="eastAsia" w:ascii="Times New Roman" w:hAnsi="Times New Roman" w:cs="Times New Roman"/>
                <w:lang w:val="en-US" w:eastAsia="zh-CN"/>
              </w:rPr>
              <w:t>《2020年挥发性有机物治理攻坚方案》要求。</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42" w:firstLineChars="200"/>
              <w:jc w:val="left"/>
              <w:textAlignment w:val="auto"/>
              <w:outlineLvl w:val="9"/>
              <w:rPr>
                <w:rFonts w:hint="eastAsia" w:ascii="Times New Roman" w:hAnsi="Times New Roman" w:cs="Times New Roman"/>
                <w:b/>
                <w:bCs/>
                <w:color w:val="auto"/>
                <w:kern w:val="0"/>
                <w:sz w:val="22"/>
                <w:szCs w:val="22"/>
                <w:highlight w:val="none"/>
                <w:lang w:val="en-US" w:eastAsia="zh-CN"/>
              </w:rPr>
            </w:pPr>
            <w:r>
              <w:rPr>
                <w:rFonts w:hint="eastAsia" w:ascii="Times New Roman" w:hAnsi="Times New Roman" w:cs="Times New Roman"/>
                <w:b/>
                <w:bCs/>
                <w:color w:val="auto"/>
                <w:kern w:val="0"/>
                <w:sz w:val="22"/>
                <w:szCs w:val="22"/>
                <w:highlight w:val="none"/>
                <w:lang w:val="en-US" w:eastAsia="zh-CN"/>
              </w:rPr>
              <w:t>5、与关于印发《重点行业挥发性有机物综合治理方案》的通知（环大气[2019]53号）</w:t>
            </w:r>
            <w:r>
              <w:rPr>
                <w:rFonts w:hint="default" w:ascii="Times New Roman" w:hAnsi="Times New Roman" w:cs="Times New Roman"/>
                <w:b/>
                <w:bCs/>
                <w:color w:val="auto"/>
                <w:kern w:val="0"/>
                <w:sz w:val="22"/>
                <w:szCs w:val="22"/>
                <w:highlight w:val="none"/>
                <w:lang w:val="en-US" w:eastAsia="zh-CN"/>
              </w:rPr>
              <w:t>符合性分析</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40" w:firstLineChars="200"/>
              <w:jc w:val="left"/>
              <w:textAlignment w:val="auto"/>
              <w:outlineLvl w:val="9"/>
              <w:rPr>
                <w:rFonts w:hint="eastAsia" w:ascii="Times New Roman" w:hAnsi="Times New Roman" w:cs="Times New Roman"/>
                <w:color w:val="auto"/>
                <w:kern w:val="0"/>
                <w:sz w:val="22"/>
                <w:szCs w:val="22"/>
                <w:highlight w:val="none"/>
                <w:lang w:val="en-US" w:eastAsia="zh-CN"/>
              </w:rPr>
            </w:pPr>
            <w:r>
              <w:rPr>
                <w:rFonts w:hint="eastAsia" w:ascii="Times New Roman" w:hAnsi="Times New Roman" w:cs="Times New Roman"/>
                <w:color w:val="auto"/>
                <w:kern w:val="0"/>
                <w:sz w:val="22"/>
                <w:szCs w:val="22"/>
                <w:highlight w:val="none"/>
                <w:lang w:val="en-US" w:eastAsia="zh-CN"/>
              </w:rPr>
              <w:t>根据《重点行业挥发性有机物综合治理方案》（环大气[2019]53号）中重点行业治理任务：“（二）化工行业VOCs综合治理。加强制药、农药、涂料、油墨、胶粘剂、橡胶和塑料制品等行业VOCs治理力度。重点提高涉VOCs排放主要工序密闭化水平，加强无组织排放收集……实施废气分类收集处理。优先选用冷凝、吸附再生等回收技术。”</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40" w:firstLineChars="200"/>
              <w:jc w:val="left"/>
              <w:textAlignment w:val="auto"/>
              <w:outlineLvl w:val="9"/>
              <w:rPr>
                <w:rFonts w:hint="eastAsia" w:ascii="Times New Roman" w:hAnsi="Times New Roman" w:cs="Times New Roman"/>
                <w:color w:val="auto"/>
                <w:kern w:val="0"/>
                <w:sz w:val="22"/>
                <w:szCs w:val="22"/>
                <w:highlight w:val="none"/>
                <w:lang w:val="en-US" w:eastAsia="zh-CN"/>
              </w:rPr>
            </w:pPr>
            <w:r>
              <w:rPr>
                <w:rFonts w:hint="eastAsia" w:ascii="Times New Roman" w:hAnsi="Times New Roman" w:cs="Times New Roman"/>
                <w:color w:val="auto"/>
                <w:kern w:val="0"/>
                <w:sz w:val="22"/>
                <w:szCs w:val="22"/>
                <w:highlight w:val="none"/>
                <w:lang w:val="en-US" w:eastAsia="zh-CN"/>
              </w:rPr>
              <w:t>本项目主要生产夹层玻璃，并对30%夹层玻璃进行喷漆处理，喷漆房密闭，喷漆废气经“水帘柜+干式过滤+两级活性炭”处理后通过15m排气筒（DA001）排放，符合《重点行业挥发性有机物综合治理方案》要求。</w:t>
            </w:r>
          </w:p>
          <w:p>
            <w:pPr>
              <w:pStyle w:val="14"/>
              <w:spacing w:before="0" w:after="0" w:line="360" w:lineRule="auto"/>
              <w:ind w:right="0" w:firstLine="442" w:firstLineChars="200"/>
              <w:jc w:val="left"/>
              <w:outlineLvl w:val="0"/>
              <w:rPr>
                <w:rFonts w:hint="default" w:ascii="Times New Roman" w:hAnsi="Times New Roman" w:eastAsia="宋体" w:cs="Times New Roman"/>
                <w:b/>
                <w:bCs/>
                <w:color w:val="auto"/>
                <w:sz w:val="22"/>
                <w:szCs w:val="22"/>
                <w:highlight w:val="none"/>
                <w:vertAlign w:val="baseline"/>
                <w:lang w:val="en-US" w:eastAsia="zh-CN"/>
              </w:rPr>
            </w:pPr>
            <w:r>
              <w:rPr>
                <w:rFonts w:hint="eastAsia" w:ascii="Times New Roman" w:hAnsi="Times New Roman" w:eastAsia="宋体" w:cs="Times New Roman"/>
                <w:b/>
                <w:bCs/>
                <w:color w:val="auto"/>
                <w:sz w:val="22"/>
                <w:szCs w:val="22"/>
                <w:highlight w:val="none"/>
                <w:vertAlign w:val="baseline"/>
                <w:lang w:val="en-US" w:eastAsia="zh-CN"/>
              </w:rPr>
              <w:t>6、与《挥发性有机物无组织排放控制标准》（GB37822-2019）的符合性分析</w:t>
            </w:r>
          </w:p>
          <w:p>
            <w:pPr>
              <w:adjustRightInd w:val="0"/>
              <w:jc w:val="center"/>
              <w:textAlignment w:val="baseline"/>
              <w:rPr>
                <w:rFonts w:hint="default" w:ascii="Times New Roman" w:hAnsi="Times New Roman" w:cs="Times New Roman"/>
                <w:b/>
                <w:bCs/>
                <w:color w:val="auto"/>
                <w:szCs w:val="21"/>
                <w:highlight w:val="none"/>
                <w:lang w:val="en-US" w:eastAsia="zh-CN"/>
              </w:rPr>
            </w:pPr>
            <w:r>
              <w:rPr>
                <w:rFonts w:hint="eastAsia" w:ascii="Times New Roman" w:hAnsi="Times New Roman" w:cs="Times New Roman"/>
                <w:b/>
                <w:bCs/>
                <w:color w:val="auto"/>
                <w:szCs w:val="21"/>
                <w:highlight w:val="none"/>
                <w:lang w:val="en-US" w:eastAsia="zh-CN"/>
              </w:rPr>
              <w:t>表</w:t>
            </w:r>
            <w:r>
              <w:rPr>
                <w:rFonts w:hint="default" w:ascii="Times New Roman" w:hAnsi="Times New Roman" w:cs="Times New Roman"/>
                <w:b/>
                <w:bCs/>
                <w:color w:val="auto"/>
                <w:szCs w:val="21"/>
                <w:highlight w:val="none"/>
                <w:lang w:val="en-US" w:eastAsia="zh-CN"/>
              </w:rPr>
              <w:t>1-</w:t>
            </w:r>
            <w:r>
              <w:rPr>
                <w:rFonts w:hint="eastAsia" w:ascii="Times New Roman" w:hAnsi="Times New Roman" w:cs="Times New Roman"/>
                <w:b/>
                <w:bCs/>
                <w:color w:val="auto"/>
                <w:szCs w:val="21"/>
                <w:highlight w:val="none"/>
                <w:lang w:val="en-US" w:eastAsia="zh-CN"/>
              </w:rPr>
              <w:t>2与GB37822-2019符合性一览表</w:t>
            </w:r>
          </w:p>
          <w:tbl>
            <w:tblPr>
              <w:tblStyle w:val="43"/>
              <w:tblW w:w="677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28"/>
              <w:gridCol w:w="3592"/>
              <w:gridCol w:w="1587"/>
              <w:gridCol w:w="86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89" w:hRule="atLeast"/>
                <w:jc w:val="center"/>
              </w:trPr>
              <w:tc>
                <w:tcPr>
                  <w:tcW w:w="7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color w:val="auto"/>
                      <w:sz w:val="21"/>
                      <w:szCs w:val="21"/>
                      <w:highlight w:val="none"/>
                      <w:vertAlign w:val="baseline"/>
                      <w:lang w:val="en-US" w:eastAsia="zh-CN"/>
                    </w:rPr>
                  </w:pPr>
                  <w:r>
                    <w:rPr>
                      <w:rFonts w:hint="default"/>
                      <w:color w:val="auto"/>
                      <w:sz w:val="21"/>
                      <w:szCs w:val="21"/>
                      <w:highlight w:val="none"/>
                      <w:vertAlign w:val="baseline"/>
                      <w:lang w:val="en-US" w:eastAsia="zh-CN"/>
                    </w:rPr>
                    <w:t>序号</w:t>
                  </w:r>
                </w:p>
              </w:tc>
              <w:tc>
                <w:tcPr>
                  <w:tcW w:w="359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color w:val="auto"/>
                      <w:sz w:val="21"/>
                      <w:szCs w:val="21"/>
                      <w:highlight w:val="none"/>
                      <w:vertAlign w:val="baseline"/>
                      <w:lang w:val="en-US" w:eastAsia="zh-CN"/>
                    </w:rPr>
                  </w:pPr>
                  <w:r>
                    <w:rPr>
                      <w:rFonts w:hint="default"/>
                      <w:color w:val="auto"/>
                      <w:sz w:val="21"/>
                      <w:szCs w:val="21"/>
                      <w:highlight w:val="none"/>
                      <w:vertAlign w:val="baseline"/>
                      <w:lang w:val="en-US" w:eastAsia="zh-CN"/>
                    </w:rPr>
                    <w:t>要求</w:t>
                  </w:r>
                </w:p>
              </w:tc>
              <w:tc>
                <w:tcPr>
                  <w:tcW w:w="158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color w:val="auto"/>
                      <w:sz w:val="21"/>
                      <w:szCs w:val="21"/>
                      <w:highlight w:val="none"/>
                      <w:vertAlign w:val="baseline"/>
                      <w:lang w:val="en-US" w:eastAsia="zh-CN"/>
                    </w:rPr>
                  </w:pPr>
                  <w:r>
                    <w:rPr>
                      <w:rFonts w:hint="default"/>
                      <w:color w:val="auto"/>
                      <w:sz w:val="21"/>
                      <w:szCs w:val="21"/>
                      <w:highlight w:val="none"/>
                      <w:vertAlign w:val="baseline"/>
                      <w:lang w:val="en-US" w:eastAsia="zh-CN"/>
                    </w:rPr>
                    <w:t>本项目情况</w:t>
                  </w:r>
                </w:p>
              </w:tc>
              <w:tc>
                <w:tcPr>
                  <w:tcW w:w="8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color w:val="auto"/>
                      <w:sz w:val="21"/>
                      <w:szCs w:val="21"/>
                      <w:highlight w:val="none"/>
                      <w:vertAlign w:val="baseline"/>
                      <w:lang w:val="en-US" w:eastAsia="zh-CN"/>
                    </w:rPr>
                  </w:pPr>
                  <w:r>
                    <w:rPr>
                      <w:rFonts w:hint="default"/>
                      <w:color w:val="auto"/>
                      <w:sz w:val="21"/>
                      <w:szCs w:val="21"/>
                      <w:highlight w:val="none"/>
                      <w:vertAlign w:val="baseline"/>
                      <w:lang w:val="en-US" w:eastAsia="zh-CN"/>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52" w:hRule="atLeast"/>
                <w:jc w:val="center"/>
              </w:trPr>
              <w:tc>
                <w:tcPr>
                  <w:tcW w:w="7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color w:val="auto"/>
                      <w:sz w:val="21"/>
                      <w:szCs w:val="21"/>
                      <w:highlight w:val="none"/>
                      <w:vertAlign w:val="baseline"/>
                      <w:lang w:val="en-US" w:eastAsia="zh-CN"/>
                    </w:rPr>
                  </w:pPr>
                  <w:r>
                    <w:rPr>
                      <w:rFonts w:hint="default"/>
                      <w:color w:val="auto"/>
                      <w:sz w:val="21"/>
                      <w:szCs w:val="21"/>
                      <w:highlight w:val="none"/>
                      <w:vertAlign w:val="baseline"/>
                      <w:lang w:val="en-US" w:eastAsia="zh-CN"/>
                    </w:rPr>
                    <w:t>1</w:t>
                  </w:r>
                </w:p>
              </w:tc>
              <w:tc>
                <w:tcPr>
                  <w:tcW w:w="359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VOCs质量占比大于等于10%的含VOCs产品，其使用过程应采用密闭设备或在密闭空间内操作，废气应排至VOCs废气收集处理系统；无法密闭的，应采取局部气体收集措施，废气应排至VOCs废气收集处理系统。含VOCs产品的使用过程包括但不限于以下作业：a）调配（混合、搅拌等）；b）涂装（喷涂、浸涂、淋涂、辊涂、刷涂、涂布等）；c）印刷（平版、凸版、凹版、孔版等）；d）粘结（涂胶、热压、复合、贴合等）；e）印染（染色、印花、定型等）；f）干燥（烘干、风干、晾干等）；g）清洗（浸洗、喷洗、淋洗、冲洗、擦洗等）。</w:t>
                  </w:r>
                </w:p>
              </w:tc>
              <w:tc>
                <w:tcPr>
                  <w:tcW w:w="1587"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color w:val="auto"/>
                      <w:sz w:val="21"/>
                      <w:szCs w:val="21"/>
                      <w:highlight w:val="none"/>
                      <w:vertAlign w:val="baseline"/>
                      <w:lang w:val="en-US" w:eastAsia="zh-CN"/>
                    </w:rPr>
                  </w:pPr>
                  <w:r>
                    <w:rPr>
                      <w:rFonts w:hint="eastAsia"/>
                      <w:sz w:val="21"/>
                      <w:szCs w:val="21"/>
                      <w:vertAlign w:val="baseline"/>
                      <w:lang w:val="en-US" w:eastAsia="zh-CN"/>
                    </w:rPr>
                    <w:t>本项目主要生产夹层玻璃，并对30%夹层玻璃进行喷漆处理，喷漆房密闭，喷漆废气经“水帘柜+干式过滤+两级活性炭”处理后通过15m排气筒（DA001）排放。</w:t>
                  </w:r>
                </w:p>
              </w:tc>
              <w:tc>
                <w:tcPr>
                  <w:tcW w:w="8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color w:val="auto"/>
                      <w:sz w:val="21"/>
                      <w:szCs w:val="21"/>
                      <w:highlight w:val="none"/>
                      <w:vertAlign w:val="baseline"/>
                      <w:lang w:val="en-US" w:eastAsia="zh-CN"/>
                    </w:rPr>
                  </w:pPr>
                  <w:r>
                    <w:rPr>
                      <w:rFonts w:hint="default"/>
                      <w:color w:val="auto"/>
                      <w:sz w:val="21"/>
                      <w:szCs w:val="21"/>
                      <w:highlight w:val="none"/>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1208" w:hRule="atLeast"/>
                <w:jc w:val="center"/>
              </w:trPr>
              <w:tc>
                <w:tcPr>
                  <w:tcW w:w="7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color w:val="auto"/>
                      <w:sz w:val="21"/>
                      <w:szCs w:val="21"/>
                      <w:highlight w:val="none"/>
                      <w:vertAlign w:val="baseline"/>
                      <w:lang w:val="en-US" w:eastAsia="zh-CN"/>
                    </w:rPr>
                  </w:pPr>
                  <w:r>
                    <w:rPr>
                      <w:rFonts w:hint="default"/>
                      <w:color w:val="auto"/>
                      <w:sz w:val="21"/>
                      <w:szCs w:val="21"/>
                      <w:highlight w:val="none"/>
                      <w:vertAlign w:val="baseline"/>
                      <w:lang w:val="en-US" w:eastAsia="zh-CN"/>
                    </w:rPr>
                    <w:t>2</w:t>
                  </w:r>
                </w:p>
              </w:tc>
              <w:tc>
                <w:tcPr>
                  <w:tcW w:w="359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工艺过程产生的含VOCs废料（渣、液）应按照第5章、第6章的要求进行储存、转移和输送。盛装过VOCs物料的废包装容器应加盖封闭。</w:t>
                  </w:r>
                </w:p>
              </w:tc>
              <w:tc>
                <w:tcPr>
                  <w:tcW w:w="158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color w:val="auto"/>
                      <w:sz w:val="21"/>
                      <w:szCs w:val="21"/>
                      <w:highlight w:val="none"/>
                      <w:vertAlign w:val="baseline"/>
                      <w:lang w:val="en-US" w:eastAsia="zh-CN"/>
                    </w:rPr>
                  </w:pPr>
                </w:p>
              </w:tc>
              <w:tc>
                <w:tcPr>
                  <w:tcW w:w="8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color w:val="auto"/>
                      <w:sz w:val="21"/>
                      <w:szCs w:val="21"/>
                      <w:highlight w:val="none"/>
                      <w:vertAlign w:val="baseline"/>
                      <w:lang w:val="en-US" w:eastAsia="zh-CN"/>
                    </w:rPr>
                  </w:pPr>
                  <w:r>
                    <w:rPr>
                      <w:rFonts w:hint="default"/>
                      <w:color w:val="auto"/>
                      <w:sz w:val="21"/>
                      <w:szCs w:val="21"/>
                      <w:highlight w:val="none"/>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864" w:hRule="atLeast"/>
                <w:jc w:val="center"/>
              </w:trPr>
              <w:tc>
                <w:tcPr>
                  <w:tcW w:w="7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3</w:t>
                  </w:r>
                </w:p>
              </w:tc>
              <w:tc>
                <w:tcPr>
                  <w:tcW w:w="359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color w:val="auto"/>
                      <w:sz w:val="21"/>
                      <w:szCs w:val="21"/>
                      <w:highlight w:val="none"/>
                      <w:vertAlign w:val="baseline"/>
                      <w:lang w:val="en-US" w:eastAsia="zh-CN"/>
                    </w:rPr>
                  </w:pPr>
                  <w:r>
                    <w:rPr>
                      <w:rFonts w:hint="eastAsia"/>
                      <w:color w:val="auto"/>
                      <w:sz w:val="21"/>
                      <w:szCs w:val="21"/>
                      <w:highlight w:val="none"/>
                      <w:vertAlign w:val="baseline"/>
                      <w:lang w:val="en-US" w:eastAsia="zh-CN"/>
                    </w:rPr>
                    <w:t>V</w:t>
                  </w:r>
                  <w:r>
                    <w:rPr>
                      <w:rFonts w:hint="eastAsia" w:ascii="Times New Roman" w:hAnsi="Times New Roman" w:eastAsia="宋体" w:cs="Times New Roman"/>
                      <w:color w:val="auto"/>
                      <w:sz w:val="21"/>
                      <w:szCs w:val="21"/>
                      <w:highlight w:val="none"/>
                      <w:vertAlign w:val="baseline"/>
                      <w:lang w:val="en-US" w:eastAsia="zh-CN"/>
                    </w:rPr>
                    <w:t>OCs物料储存无组织排放控制要求：（1）VOCs物料应储存于密闭的容器、包装袋、储罐、储库、料仓中。（2）盛装VOCs物料的容器或包装袋应存放于室内，或存放于设置有雨棚、遮阳和防渗设施的专用场地。盛装VOCs物料的容器或包装袋在非取用状态时应加盖、封口，保持密闭。</w:t>
                  </w:r>
                </w:p>
              </w:tc>
              <w:tc>
                <w:tcPr>
                  <w:tcW w:w="158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olor w:val="auto"/>
                      <w:sz w:val="21"/>
                      <w:szCs w:val="21"/>
                      <w:highlight w:val="none"/>
                      <w:vertAlign w:val="baseline"/>
                      <w:lang w:val="en-US" w:eastAsia="zh-CN"/>
                    </w:rPr>
                  </w:pPr>
                </w:p>
              </w:tc>
              <w:tc>
                <w:tcPr>
                  <w:tcW w:w="8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color w:val="auto"/>
                      <w:sz w:val="21"/>
                      <w:szCs w:val="21"/>
                      <w:highlight w:val="none"/>
                      <w:vertAlign w:val="baseline"/>
                      <w:lang w:val="en-US" w:eastAsia="zh-CN"/>
                    </w:rPr>
                  </w:pPr>
                  <w:r>
                    <w:rPr>
                      <w:rFonts w:hint="default"/>
                      <w:color w:val="auto"/>
                      <w:sz w:val="21"/>
                      <w:szCs w:val="21"/>
                      <w:highlight w:val="none"/>
                      <w:vertAlign w:val="baseline"/>
                      <w:lang w:val="en-US" w:eastAsia="zh-CN"/>
                    </w:rPr>
                    <w:t>符合</w:t>
                  </w:r>
                </w:p>
              </w:tc>
            </w:tr>
          </w:tbl>
          <w:p>
            <w:pPr>
              <w:keepNext w:val="0"/>
              <w:keepLines w:val="0"/>
              <w:pageBreakBefore w:val="0"/>
              <w:widowControl w:val="0"/>
              <w:kinsoku/>
              <w:wordWrap/>
              <w:overflowPunct/>
              <w:topLinePunct w:val="0"/>
              <w:autoSpaceDE w:val="0"/>
              <w:autoSpaceDN w:val="0"/>
              <w:bidi w:val="0"/>
              <w:adjustRightInd w:val="0"/>
              <w:snapToGrid w:val="0"/>
              <w:spacing w:line="360" w:lineRule="auto"/>
              <w:ind w:firstLine="442" w:firstLineChars="200"/>
              <w:jc w:val="left"/>
              <w:textAlignment w:val="auto"/>
              <w:outlineLvl w:val="9"/>
              <w:rPr>
                <w:rFonts w:hint="default" w:ascii="Times New Roman" w:hAnsi="Times New Roman" w:cs="Times New Roman"/>
                <w:b/>
                <w:bCs/>
                <w:color w:val="auto"/>
                <w:kern w:val="0"/>
                <w:sz w:val="22"/>
                <w:szCs w:val="22"/>
                <w:highlight w:val="none"/>
                <w:lang w:val="en-US" w:eastAsia="zh-CN"/>
              </w:rPr>
            </w:pPr>
            <w:r>
              <w:rPr>
                <w:rFonts w:hint="eastAsia" w:ascii="Times New Roman" w:hAnsi="Times New Roman" w:cs="Times New Roman"/>
                <w:b/>
                <w:bCs/>
                <w:color w:val="auto"/>
                <w:kern w:val="0"/>
                <w:sz w:val="22"/>
                <w:szCs w:val="22"/>
                <w:highlight w:val="none"/>
                <w:lang w:val="en-US" w:eastAsia="zh-CN"/>
              </w:rPr>
              <w:t>7、与《四川省打赢蓝天保卫战等九个实施方案的通知》（川府发</w:t>
            </w:r>
            <w:r>
              <w:rPr>
                <w:rFonts w:hint="default" w:ascii="Times New Roman" w:hAnsi="Times New Roman" w:cs="Times New Roman"/>
                <w:b/>
                <w:bCs/>
                <w:color w:val="auto"/>
                <w:kern w:val="0"/>
                <w:sz w:val="22"/>
                <w:szCs w:val="22"/>
                <w:highlight w:val="none"/>
                <w:lang w:val="en-US" w:eastAsia="zh-CN"/>
              </w:rPr>
              <w:t>[2019]4</w:t>
            </w:r>
            <w:r>
              <w:rPr>
                <w:rFonts w:hint="eastAsia" w:ascii="Times New Roman" w:hAnsi="Times New Roman" w:cs="Times New Roman"/>
                <w:b/>
                <w:bCs/>
                <w:color w:val="auto"/>
                <w:kern w:val="0"/>
                <w:sz w:val="22"/>
                <w:szCs w:val="22"/>
                <w:highlight w:val="none"/>
                <w:lang w:val="en-US" w:eastAsia="zh-CN"/>
              </w:rPr>
              <w:t>号）符合性分析</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40" w:firstLineChars="200"/>
              <w:jc w:val="left"/>
              <w:textAlignment w:val="auto"/>
              <w:outlineLvl w:val="9"/>
              <w:rPr>
                <w:rFonts w:hint="eastAsia"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根据《</w:t>
            </w:r>
            <w:r>
              <w:rPr>
                <w:rFonts w:hint="eastAsia" w:ascii="Times New Roman" w:hAnsi="Times New Roman" w:eastAsia="宋体" w:cs="Times New Roman"/>
                <w:color w:val="auto"/>
                <w:kern w:val="2"/>
                <w:sz w:val="22"/>
                <w:szCs w:val="22"/>
                <w:highlight w:val="none"/>
                <w:lang w:val="en-US" w:eastAsia="zh-CN" w:bidi="ar-SA"/>
              </w:rPr>
              <w:t>四川省打赢蓝天保卫战等九个实施方案的通知</w:t>
            </w:r>
            <w:r>
              <w:rPr>
                <w:rFonts w:hint="default" w:ascii="Times New Roman" w:hAnsi="Times New Roman" w:eastAsia="宋体" w:cs="Times New Roman"/>
                <w:color w:val="auto"/>
                <w:kern w:val="2"/>
                <w:sz w:val="22"/>
                <w:szCs w:val="22"/>
                <w:highlight w:val="none"/>
                <w:lang w:val="en-US" w:eastAsia="zh-CN" w:bidi="ar-SA"/>
              </w:rPr>
              <w:t>》，本项目与其对照符合性如下：</w:t>
            </w:r>
          </w:p>
          <w:p>
            <w:pPr>
              <w:adjustRightInd w:val="0"/>
              <w:jc w:val="center"/>
              <w:textAlignment w:val="baseline"/>
              <w:rPr>
                <w:rFonts w:hint="default" w:ascii="Times New Roman" w:hAnsi="Times New Roman" w:cs="Times New Roman"/>
                <w:b/>
                <w:bCs/>
                <w:color w:val="auto"/>
                <w:szCs w:val="21"/>
                <w:highlight w:val="none"/>
                <w:lang w:val="en-US" w:eastAsia="zh-CN"/>
              </w:rPr>
            </w:pPr>
            <w:r>
              <w:rPr>
                <w:rFonts w:hint="eastAsia" w:ascii="Times New Roman" w:hAnsi="Times New Roman" w:cs="Times New Roman"/>
                <w:b/>
                <w:bCs/>
                <w:color w:val="auto"/>
                <w:szCs w:val="21"/>
                <w:highlight w:val="none"/>
                <w:lang w:val="en-US" w:eastAsia="zh-CN"/>
              </w:rPr>
              <w:t>表</w:t>
            </w:r>
            <w:r>
              <w:rPr>
                <w:rFonts w:hint="default" w:ascii="Times New Roman" w:hAnsi="Times New Roman" w:cs="Times New Roman"/>
                <w:b/>
                <w:bCs/>
                <w:color w:val="auto"/>
                <w:szCs w:val="21"/>
                <w:highlight w:val="none"/>
                <w:lang w:val="en-US" w:eastAsia="zh-CN"/>
              </w:rPr>
              <w:t>1-</w:t>
            </w:r>
            <w:r>
              <w:rPr>
                <w:rFonts w:hint="eastAsia" w:ascii="Times New Roman" w:hAnsi="Times New Roman" w:cs="Times New Roman"/>
                <w:b/>
                <w:bCs/>
                <w:color w:val="auto"/>
                <w:szCs w:val="21"/>
                <w:highlight w:val="none"/>
                <w:lang w:val="en-US" w:eastAsia="zh-CN"/>
              </w:rPr>
              <w:t>3与川府发[2019]4号符合性一览表</w:t>
            </w:r>
          </w:p>
          <w:tbl>
            <w:tblPr>
              <w:tblStyle w:val="43"/>
              <w:tblW w:w="677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11"/>
              <w:gridCol w:w="3184"/>
              <w:gridCol w:w="2312"/>
              <w:gridCol w:w="86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41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sz w:val="21"/>
                      <w:szCs w:val="21"/>
                      <w:vertAlign w:val="baseline"/>
                      <w:lang w:val="en-US" w:eastAsia="zh-CN"/>
                    </w:rPr>
                  </w:pPr>
                  <w:r>
                    <w:rPr>
                      <w:rFonts w:hint="default"/>
                      <w:sz w:val="21"/>
                      <w:szCs w:val="21"/>
                      <w:vertAlign w:val="baseline"/>
                      <w:lang w:val="en-US" w:eastAsia="zh-CN"/>
                    </w:rPr>
                    <w:t>序号</w:t>
                  </w:r>
                </w:p>
              </w:tc>
              <w:tc>
                <w:tcPr>
                  <w:tcW w:w="318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sz w:val="21"/>
                      <w:szCs w:val="21"/>
                      <w:vertAlign w:val="baseline"/>
                      <w:lang w:val="en-US" w:eastAsia="zh-CN"/>
                    </w:rPr>
                  </w:pPr>
                  <w:r>
                    <w:rPr>
                      <w:rFonts w:hint="default"/>
                      <w:sz w:val="21"/>
                      <w:szCs w:val="21"/>
                      <w:vertAlign w:val="baseline"/>
                      <w:lang w:val="en-US" w:eastAsia="zh-CN"/>
                    </w:rPr>
                    <w:t>要求</w:t>
                  </w:r>
                </w:p>
              </w:tc>
              <w:tc>
                <w:tcPr>
                  <w:tcW w:w="23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sz w:val="21"/>
                      <w:szCs w:val="21"/>
                      <w:vertAlign w:val="baseline"/>
                      <w:lang w:val="en-US" w:eastAsia="zh-CN"/>
                    </w:rPr>
                  </w:pPr>
                  <w:r>
                    <w:rPr>
                      <w:rFonts w:hint="default"/>
                      <w:sz w:val="21"/>
                      <w:szCs w:val="21"/>
                      <w:vertAlign w:val="baseline"/>
                      <w:lang w:val="en-US" w:eastAsia="zh-CN"/>
                    </w:rPr>
                    <w:t>本项目情况</w:t>
                  </w:r>
                </w:p>
              </w:tc>
              <w:tc>
                <w:tcPr>
                  <w:tcW w:w="8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sz w:val="21"/>
                      <w:szCs w:val="21"/>
                      <w:vertAlign w:val="baseline"/>
                      <w:lang w:val="en-US" w:eastAsia="zh-CN"/>
                    </w:rPr>
                  </w:pPr>
                  <w:r>
                    <w:rPr>
                      <w:rFonts w:hint="default"/>
                      <w:sz w:val="21"/>
                      <w:szCs w:val="21"/>
                      <w:vertAlign w:val="baseline"/>
                      <w:lang w:val="en-US" w:eastAsia="zh-CN"/>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15" w:hRule="atLeast"/>
                <w:jc w:val="center"/>
              </w:trPr>
              <w:tc>
                <w:tcPr>
                  <w:tcW w:w="41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sz w:val="21"/>
                      <w:szCs w:val="21"/>
                      <w:vertAlign w:val="baseline"/>
                      <w:lang w:val="en-US" w:eastAsia="zh-CN"/>
                    </w:rPr>
                  </w:pPr>
                  <w:r>
                    <w:rPr>
                      <w:rFonts w:hint="default"/>
                      <w:sz w:val="21"/>
                      <w:szCs w:val="21"/>
                      <w:vertAlign w:val="baseline"/>
                      <w:lang w:val="en-US" w:eastAsia="zh-CN"/>
                    </w:rPr>
                    <w:t>1</w:t>
                  </w:r>
                </w:p>
              </w:tc>
              <w:tc>
                <w:tcPr>
                  <w:tcW w:w="318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default"/>
                      <w:sz w:val="21"/>
                      <w:szCs w:val="21"/>
                      <w:vertAlign w:val="baseline"/>
                      <w:lang w:val="en-US" w:eastAsia="zh-CN"/>
                    </w:rPr>
                  </w:pPr>
                  <w:r>
                    <w:rPr>
                      <w:rFonts w:hint="default"/>
                      <w:sz w:val="21"/>
                      <w:szCs w:val="21"/>
                      <w:vertAlign w:val="baseline"/>
                      <w:lang w:val="en-US" w:eastAsia="zh-CN"/>
                    </w:rPr>
                    <w:t>调整产业结构，深化工业污染治理。强化“三线一单”（生态保护红线、环境质量底线、资源利用上线、生态环境准入清单）约束，明确禁止和限制发展的行业、生产工艺和产业目录，优化产业布局和资源配置。积极推行区域、规划环境影响评价，新、改、扩建钢铁、石化、化工、焦化、建材、有色等项目的环境影响评价应满足区域、规划环境影响评价要求。</w:t>
                  </w:r>
                </w:p>
              </w:tc>
              <w:tc>
                <w:tcPr>
                  <w:tcW w:w="23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sz w:val="21"/>
                      <w:szCs w:val="21"/>
                      <w:vertAlign w:val="baseline"/>
                      <w:lang w:val="en-US" w:eastAsia="zh-CN"/>
                    </w:rPr>
                  </w:pPr>
                  <w:r>
                    <w:rPr>
                      <w:rFonts w:hint="default"/>
                      <w:sz w:val="21"/>
                      <w:szCs w:val="21"/>
                      <w:vertAlign w:val="baseline"/>
                      <w:lang w:val="en-US" w:eastAsia="zh-CN"/>
                    </w:rPr>
                    <w:t>本项目满足</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sz w:val="21"/>
                      <w:szCs w:val="21"/>
                      <w:vertAlign w:val="baseline"/>
                      <w:lang w:val="en-US" w:eastAsia="zh-CN"/>
                    </w:rPr>
                  </w:pPr>
                  <w:r>
                    <w:rPr>
                      <w:rFonts w:hint="default"/>
                      <w:sz w:val="21"/>
                      <w:szCs w:val="21"/>
                      <w:vertAlign w:val="baseline"/>
                      <w:lang w:val="en-US" w:eastAsia="zh-CN"/>
                    </w:rPr>
                    <w:t>“三线一单”要求。</w:t>
                  </w:r>
                </w:p>
              </w:tc>
              <w:tc>
                <w:tcPr>
                  <w:tcW w:w="8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sz w:val="21"/>
                      <w:szCs w:val="21"/>
                      <w:vertAlign w:val="baseline"/>
                      <w:lang w:val="en-US" w:eastAsia="zh-CN"/>
                    </w:rPr>
                  </w:pPr>
                  <w:r>
                    <w:rPr>
                      <w:rFonts w:hint="default"/>
                      <w:sz w:val="21"/>
                      <w:szCs w:val="21"/>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334" w:hRule="atLeast"/>
                <w:jc w:val="center"/>
              </w:trPr>
              <w:tc>
                <w:tcPr>
                  <w:tcW w:w="41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sz w:val="21"/>
                      <w:szCs w:val="21"/>
                      <w:vertAlign w:val="baseline"/>
                      <w:lang w:val="en-US" w:eastAsia="zh-CN"/>
                    </w:rPr>
                  </w:pPr>
                  <w:r>
                    <w:rPr>
                      <w:rFonts w:hint="default"/>
                      <w:sz w:val="21"/>
                      <w:szCs w:val="21"/>
                      <w:vertAlign w:val="baseline"/>
                      <w:lang w:val="en-US" w:eastAsia="zh-CN"/>
                    </w:rPr>
                    <w:t>2</w:t>
                  </w:r>
                </w:p>
              </w:tc>
              <w:tc>
                <w:tcPr>
                  <w:tcW w:w="318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default"/>
                      <w:sz w:val="21"/>
                      <w:szCs w:val="21"/>
                      <w:vertAlign w:val="baseline"/>
                      <w:lang w:val="en-US" w:eastAsia="zh-CN"/>
                    </w:rPr>
                  </w:pPr>
                  <w:r>
                    <w:rPr>
                      <w:rFonts w:hint="default"/>
                      <w:sz w:val="21"/>
                      <w:szCs w:val="21"/>
                      <w:vertAlign w:val="baseline"/>
                      <w:lang w:val="en-US" w:eastAsia="zh-CN"/>
                    </w:rPr>
                    <w:t>三、重点任务</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default"/>
                      <w:sz w:val="21"/>
                      <w:szCs w:val="21"/>
                      <w:vertAlign w:val="baseline"/>
                      <w:lang w:val="en-US" w:eastAsia="zh-CN"/>
                    </w:rPr>
                  </w:pPr>
                  <w:r>
                    <w:rPr>
                      <w:rFonts w:hint="default"/>
                      <w:sz w:val="21"/>
                      <w:szCs w:val="21"/>
                      <w:vertAlign w:val="baseline"/>
                      <w:lang w:val="en-US" w:eastAsia="zh-CN"/>
                    </w:rPr>
                    <w:t>（一）调整产业结构、深化工业污染治理。强化挥发性有机物综合治理。严格涉及VOC</w:t>
                  </w:r>
                  <w:r>
                    <w:rPr>
                      <w:rFonts w:hint="eastAsia"/>
                      <w:sz w:val="21"/>
                      <w:szCs w:val="21"/>
                      <w:vertAlign w:val="baseline"/>
                      <w:lang w:val="en-US" w:eastAsia="zh-CN"/>
                    </w:rPr>
                    <w:t>s</w:t>
                  </w:r>
                  <w:r>
                    <w:rPr>
                      <w:rFonts w:hint="default"/>
                      <w:sz w:val="21"/>
                      <w:szCs w:val="21"/>
                      <w:vertAlign w:val="baseline"/>
                      <w:lang w:val="en-US" w:eastAsia="zh-CN"/>
                    </w:rPr>
                    <w:t>排放的建设项目环境准入，加强源头控制。</w:t>
                  </w:r>
                  <w:r>
                    <w:rPr>
                      <w:rFonts w:hint="eastAsia"/>
                      <w:sz w:val="21"/>
                      <w:szCs w:val="21"/>
                      <w:vertAlign w:val="baseline"/>
                      <w:lang w:val="en-US" w:eastAsia="zh-CN"/>
                    </w:rPr>
                    <w:t>提高涉及VOCs排放的建设项目环境准入门槛，新建涉及VOCs排放的工业企业入园区。</w:t>
                  </w:r>
                </w:p>
              </w:tc>
              <w:tc>
                <w:tcPr>
                  <w:tcW w:w="23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本项目主要生产夹层玻璃，并对30%夹层玻璃进行喷漆处理，喷漆房密闭，喷漆废气经“水帘柜+干式过滤+两级活性炭”处理后通过15m排气筒（DA001）排放。</w:t>
                  </w:r>
                </w:p>
              </w:tc>
              <w:tc>
                <w:tcPr>
                  <w:tcW w:w="8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sz w:val="21"/>
                      <w:szCs w:val="21"/>
                      <w:vertAlign w:val="baseline"/>
                      <w:lang w:val="en-US" w:eastAsia="zh-CN"/>
                    </w:rPr>
                  </w:pPr>
                  <w:r>
                    <w:rPr>
                      <w:rFonts w:hint="default"/>
                      <w:sz w:val="21"/>
                      <w:szCs w:val="21"/>
                      <w:vertAlign w:val="baseline"/>
                      <w:lang w:val="en-US" w:eastAsia="zh-CN"/>
                    </w:rPr>
                    <w:t>符合</w:t>
                  </w:r>
                </w:p>
              </w:tc>
            </w:tr>
          </w:tbl>
          <w:p>
            <w:pPr>
              <w:keepNext w:val="0"/>
              <w:keepLines w:val="0"/>
              <w:pageBreakBefore w:val="0"/>
              <w:widowControl w:val="0"/>
              <w:kinsoku/>
              <w:wordWrap/>
              <w:overflowPunct/>
              <w:topLinePunct w:val="0"/>
              <w:autoSpaceDE w:val="0"/>
              <w:autoSpaceDN w:val="0"/>
              <w:bidi w:val="0"/>
              <w:adjustRightInd w:val="0"/>
              <w:snapToGrid w:val="0"/>
              <w:spacing w:line="360" w:lineRule="auto"/>
              <w:ind w:firstLine="442" w:firstLineChars="200"/>
              <w:jc w:val="left"/>
              <w:textAlignment w:val="auto"/>
              <w:outlineLvl w:val="9"/>
              <w:rPr>
                <w:rFonts w:hint="eastAsia" w:ascii="Times New Roman" w:hAnsi="Times New Roman" w:cs="Times New Roman"/>
                <w:b/>
                <w:bCs/>
                <w:color w:val="auto"/>
                <w:kern w:val="0"/>
                <w:sz w:val="22"/>
                <w:szCs w:val="22"/>
                <w:highlight w:val="none"/>
                <w:lang w:val="en-US" w:eastAsia="zh-CN"/>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42" w:firstLineChars="200"/>
              <w:jc w:val="left"/>
              <w:textAlignment w:val="auto"/>
              <w:outlineLvl w:val="9"/>
              <w:rPr>
                <w:rFonts w:hint="default" w:ascii="Times New Roman" w:hAnsi="Times New Roman" w:eastAsia="宋体" w:cs="Times New Roman"/>
                <w:b/>
                <w:sz w:val="24"/>
                <w:lang w:val="en-US" w:eastAsia="zh-CN"/>
              </w:rPr>
            </w:pPr>
            <w:r>
              <w:rPr>
                <w:rFonts w:hint="eastAsia" w:ascii="Times New Roman" w:hAnsi="Times New Roman" w:cs="Times New Roman"/>
                <w:b/>
                <w:bCs/>
                <w:color w:val="auto"/>
                <w:kern w:val="0"/>
                <w:sz w:val="22"/>
                <w:szCs w:val="22"/>
                <w:highlight w:val="none"/>
                <w:lang w:val="en-US" w:eastAsia="zh-CN"/>
              </w:rPr>
              <w:t>8、</w:t>
            </w:r>
            <w:r>
              <w:rPr>
                <w:rFonts w:hint="default" w:ascii="Times New Roman" w:hAnsi="Times New Roman" w:cs="Times New Roman"/>
                <w:b/>
                <w:bCs/>
                <w:color w:val="auto"/>
                <w:kern w:val="0"/>
                <w:sz w:val="22"/>
                <w:szCs w:val="22"/>
                <w:highlight w:val="none"/>
                <w:lang w:val="en-US" w:eastAsia="zh-CN"/>
              </w:rPr>
              <w:t>与</w:t>
            </w:r>
            <w:r>
              <w:rPr>
                <w:rFonts w:hint="eastAsia" w:ascii="Times New Roman" w:hAnsi="Times New Roman" w:cs="Times New Roman"/>
                <w:b/>
                <w:bCs/>
                <w:color w:val="auto"/>
                <w:kern w:val="0"/>
                <w:sz w:val="22"/>
                <w:szCs w:val="22"/>
                <w:highlight w:val="none"/>
                <w:lang w:val="en-US" w:eastAsia="zh-CN"/>
              </w:rPr>
              <w:t>《</w:t>
            </w:r>
            <w:r>
              <w:rPr>
                <w:rFonts w:hint="default" w:ascii="Times New Roman" w:hAnsi="Times New Roman" w:cs="Times New Roman"/>
                <w:b/>
                <w:bCs/>
                <w:color w:val="auto"/>
                <w:kern w:val="0"/>
                <w:sz w:val="22"/>
                <w:szCs w:val="22"/>
                <w:highlight w:val="none"/>
                <w:lang w:val="en-US" w:eastAsia="zh-CN"/>
              </w:rPr>
              <w:t>乐山市打赢蓝天保卫战实施方案</w:t>
            </w:r>
            <w:r>
              <w:rPr>
                <w:rFonts w:hint="eastAsia" w:ascii="Times New Roman" w:hAnsi="Times New Roman" w:cs="Times New Roman"/>
                <w:b/>
                <w:bCs/>
                <w:color w:val="auto"/>
                <w:kern w:val="0"/>
                <w:sz w:val="22"/>
                <w:szCs w:val="22"/>
                <w:highlight w:val="none"/>
                <w:lang w:val="en-US" w:eastAsia="zh-CN"/>
              </w:rPr>
              <w:t>》的</w:t>
            </w:r>
            <w:r>
              <w:rPr>
                <w:rFonts w:hint="default" w:ascii="Times New Roman" w:hAnsi="Times New Roman" w:cs="Times New Roman"/>
                <w:b/>
                <w:bCs/>
                <w:color w:val="auto"/>
                <w:kern w:val="0"/>
                <w:sz w:val="22"/>
                <w:szCs w:val="22"/>
                <w:highlight w:val="none"/>
                <w:lang w:val="en-US" w:eastAsia="zh-CN"/>
              </w:rPr>
              <w:t>符合性</w:t>
            </w:r>
            <w:r>
              <w:rPr>
                <w:rFonts w:hint="eastAsia" w:ascii="Times New Roman" w:hAnsi="Times New Roman" w:cs="Times New Roman"/>
                <w:b/>
                <w:bCs/>
                <w:color w:val="auto"/>
                <w:kern w:val="0"/>
                <w:sz w:val="22"/>
                <w:szCs w:val="22"/>
                <w:highlight w:val="none"/>
                <w:lang w:val="en-US" w:eastAsia="zh-CN"/>
              </w:rPr>
              <w:t>分析</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40" w:firstLineChars="200"/>
              <w:jc w:val="left"/>
              <w:textAlignment w:val="auto"/>
              <w:outlineLvl w:val="9"/>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根据《</w:t>
            </w:r>
            <w:r>
              <w:rPr>
                <w:rFonts w:hint="eastAsia" w:ascii="Times New Roman" w:hAnsi="Times New Roman" w:eastAsia="宋体" w:cs="Times New Roman"/>
                <w:color w:val="auto"/>
                <w:kern w:val="2"/>
                <w:sz w:val="22"/>
                <w:szCs w:val="22"/>
                <w:highlight w:val="none"/>
                <w:lang w:val="en-US" w:eastAsia="zh-CN" w:bidi="ar-SA"/>
              </w:rPr>
              <w:t>乐山市打赢蓝天保卫战实施方案</w:t>
            </w:r>
            <w:r>
              <w:rPr>
                <w:rFonts w:hint="default" w:ascii="Times New Roman" w:hAnsi="Times New Roman" w:eastAsia="宋体" w:cs="Times New Roman"/>
                <w:color w:val="auto"/>
                <w:kern w:val="2"/>
                <w:sz w:val="22"/>
                <w:szCs w:val="22"/>
                <w:highlight w:val="none"/>
                <w:lang w:val="en-US" w:eastAsia="zh-CN" w:bidi="ar-SA"/>
              </w:rPr>
              <w:t>》</w:t>
            </w:r>
            <w:r>
              <w:rPr>
                <w:rFonts w:hint="eastAsia" w:ascii="Times New Roman" w:hAnsi="Times New Roman" w:eastAsia="宋体" w:cs="Times New Roman"/>
                <w:color w:val="auto"/>
                <w:kern w:val="2"/>
                <w:sz w:val="22"/>
                <w:szCs w:val="22"/>
                <w:highlight w:val="none"/>
                <w:lang w:val="en-US" w:eastAsia="zh-CN" w:bidi="ar-SA"/>
              </w:rPr>
              <w:t>要求：</w:t>
            </w:r>
            <w:r>
              <w:rPr>
                <w:rFonts w:hint="default" w:ascii="Times New Roman" w:hAnsi="Times New Roman" w:eastAsia="宋体" w:cs="Times New Roman"/>
                <w:color w:val="auto"/>
                <w:kern w:val="2"/>
                <w:sz w:val="22"/>
                <w:szCs w:val="22"/>
                <w:highlight w:val="none"/>
                <w:lang w:val="en-US" w:eastAsia="zh-CN" w:bidi="ar-SA"/>
              </w:rPr>
              <w:t>（四）强化挥发性有机物综合治理。开展工业VOC</w:t>
            </w:r>
            <w:r>
              <w:rPr>
                <w:rFonts w:hint="default" w:ascii="Times New Roman" w:hAnsi="Times New Roman" w:eastAsia="宋体" w:cs="Times New Roman"/>
                <w:color w:val="auto"/>
                <w:kern w:val="2"/>
                <w:sz w:val="22"/>
                <w:szCs w:val="22"/>
                <w:highlight w:val="none"/>
                <w:vertAlign w:val="subscript"/>
                <w:lang w:val="en-US" w:eastAsia="zh-CN" w:bidi="ar-SA"/>
              </w:rPr>
              <w:t>S</w:t>
            </w:r>
            <w:r>
              <w:rPr>
                <w:rFonts w:hint="default" w:ascii="Times New Roman" w:hAnsi="Times New Roman" w:eastAsia="宋体" w:cs="Times New Roman"/>
                <w:color w:val="auto"/>
                <w:kern w:val="2"/>
                <w:sz w:val="22"/>
                <w:szCs w:val="22"/>
                <w:highlight w:val="none"/>
                <w:lang w:val="en-US" w:eastAsia="zh-CN" w:bidi="ar-SA"/>
              </w:rPr>
              <w:t>达标排放整治。2019年6月前，建立全市化工、汽车制造、机械加工装备制造、家具制造、人造板制造、涂料、制鞋、印刷包装、制药等重点行业企业VOCS管控企业台账，2019年完成重点行业VOCS深度整治，确保VOCS稳定达标排放，无法实现稳定达标排放的企业，严格实施相关生产工艺或装置停产限期整改。</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40" w:firstLineChars="200"/>
              <w:jc w:val="both"/>
              <w:textAlignment w:val="auto"/>
              <w:outlineLvl w:val="9"/>
              <w:rPr>
                <w:rFonts w:hint="eastAsia"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kern w:val="2"/>
                <w:sz w:val="22"/>
                <w:szCs w:val="22"/>
                <w:highlight w:val="none"/>
                <w:lang w:val="en-US" w:eastAsia="zh-CN" w:bidi="ar-SA"/>
              </w:rPr>
              <w:t>项目不属于VOC</w:t>
            </w:r>
            <w:r>
              <w:rPr>
                <w:rFonts w:hint="default" w:ascii="Times New Roman" w:hAnsi="Times New Roman" w:eastAsia="宋体" w:cs="Times New Roman"/>
                <w:color w:val="auto"/>
                <w:kern w:val="2"/>
                <w:sz w:val="22"/>
                <w:szCs w:val="22"/>
                <w:highlight w:val="none"/>
                <w:vertAlign w:val="subscript"/>
                <w:lang w:val="en-US" w:eastAsia="zh-CN" w:bidi="ar-SA"/>
              </w:rPr>
              <w:t>S</w:t>
            </w:r>
            <w:r>
              <w:rPr>
                <w:rFonts w:hint="default" w:ascii="Times New Roman" w:hAnsi="Times New Roman" w:eastAsia="宋体" w:cs="Times New Roman"/>
                <w:color w:val="auto"/>
                <w:kern w:val="2"/>
                <w:sz w:val="22"/>
                <w:szCs w:val="22"/>
                <w:highlight w:val="none"/>
                <w:lang w:val="en-US" w:eastAsia="zh-CN" w:bidi="ar-SA"/>
              </w:rPr>
              <w:t>重点管控行业，</w:t>
            </w:r>
            <w:r>
              <w:rPr>
                <w:rFonts w:hint="eastAsia" w:ascii="Times New Roman" w:hAnsi="Times New Roman" w:eastAsia="宋体" w:cs="Times New Roman"/>
                <w:color w:val="auto"/>
                <w:kern w:val="2"/>
                <w:sz w:val="22"/>
                <w:szCs w:val="22"/>
                <w:highlight w:val="none"/>
                <w:lang w:val="en-US" w:eastAsia="zh-CN" w:bidi="ar-SA"/>
              </w:rPr>
              <w:t>生产过程中对</w:t>
            </w:r>
            <w:r>
              <w:rPr>
                <w:rFonts w:hint="default" w:ascii="Times New Roman" w:hAnsi="Times New Roman" w:eastAsia="宋体" w:cs="Times New Roman"/>
                <w:color w:val="auto"/>
                <w:kern w:val="2"/>
                <w:sz w:val="22"/>
                <w:szCs w:val="22"/>
                <w:highlight w:val="none"/>
                <w:lang w:val="en-US" w:eastAsia="zh-CN" w:bidi="ar-SA"/>
              </w:rPr>
              <w:t>物料、转运以及生产过程实施全过程控制，最大程度降低挥发性有机物的无组织排放，VOC</w:t>
            </w:r>
            <w:r>
              <w:rPr>
                <w:rFonts w:hint="default" w:ascii="Times New Roman" w:hAnsi="Times New Roman" w:eastAsia="宋体" w:cs="Times New Roman"/>
                <w:color w:val="auto"/>
                <w:kern w:val="2"/>
                <w:sz w:val="22"/>
                <w:szCs w:val="22"/>
                <w:highlight w:val="none"/>
                <w:vertAlign w:val="subscript"/>
                <w:lang w:val="en-US" w:eastAsia="zh-CN" w:bidi="ar-SA"/>
              </w:rPr>
              <w:t>S</w:t>
            </w:r>
            <w:r>
              <w:rPr>
                <w:rFonts w:hint="default" w:ascii="Times New Roman" w:hAnsi="Times New Roman" w:eastAsia="宋体" w:cs="Times New Roman"/>
                <w:color w:val="auto"/>
                <w:kern w:val="2"/>
                <w:sz w:val="22"/>
                <w:szCs w:val="22"/>
                <w:highlight w:val="none"/>
                <w:lang w:val="en-US" w:eastAsia="zh-CN" w:bidi="ar-SA"/>
              </w:rPr>
              <w:t>收集后进入废气处理装置进行处理后达标排放，挥发性有机物的排放得到有效控制。因此，本项目与《乐山市打赢蓝天保卫战实施方案》相符</w:t>
            </w:r>
            <w:r>
              <w:rPr>
                <w:rFonts w:hint="eastAsia" w:ascii="Times New Roman" w:hAnsi="Times New Roman" w:eastAsia="宋体" w:cs="Times New Roman"/>
                <w:color w:val="auto"/>
                <w:kern w:val="2"/>
                <w:sz w:val="22"/>
                <w:szCs w:val="22"/>
                <w:highlight w:val="none"/>
                <w:lang w:val="en-US" w:eastAsia="zh-CN" w:bidi="ar-SA"/>
              </w:rPr>
              <w:t>。</w:t>
            </w:r>
          </w:p>
          <w:p>
            <w:pPr>
              <w:autoSpaceDE w:val="0"/>
              <w:autoSpaceDN w:val="0"/>
              <w:adjustRightInd w:val="0"/>
              <w:snapToGrid w:val="0"/>
              <w:spacing w:line="360" w:lineRule="auto"/>
              <w:ind w:firstLine="442" w:firstLineChars="200"/>
              <w:jc w:val="left"/>
              <w:rPr>
                <w:rFonts w:hint="default" w:ascii="Times New Roman" w:hAnsi="Times New Roman" w:cs="Times New Roman"/>
                <w:b/>
                <w:bCs/>
                <w:color w:val="auto"/>
                <w:kern w:val="0"/>
                <w:sz w:val="22"/>
                <w:szCs w:val="22"/>
                <w:highlight w:val="none"/>
                <w:lang w:val="en-US" w:eastAsia="zh-CN"/>
              </w:rPr>
            </w:pPr>
            <w:r>
              <w:rPr>
                <w:rFonts w:hint="eastAsia" w:ascii="Times New Roman" w:hAnsi="Times New Roman" w:cs="Times New Roman"/>
                <w:b/>
                <w:color w:val="auto"/>
                <w:kern w:val="2"/>
                <w:sz w:val="22"/>
                <w:szCs w:val="22"/>
                <w:highlight w:val="none"/>
                <w:lang w:val="en-US" w:eastAsia="zh-CN"/>
              </w:rPr>
              <w:t>9、</w:t>
            </w:r>
            <w:r>
              <w:rPr>
                <w:rFonts w:hint="default" w:ascii="Times New Roman" w:hAnsi="Times New Roman" w:cs="Times New Roman"/>
                <w:b/>
                <w:bCs/>
                <w:color w:val="auto"/>
                <w:kern w:val="0"/>
                <w:sz w:val="22"/>
                <w:szCs w:val="22"/>
                <w:highlight w:val="none"/>
                <w:lang w:val="en-US" w:eastAsia="zh-CN"/>
              </w:rPr>
              <w:t>与关于加强高耗能、高排放建设项目生态环境源头防控的指导意见（环环评[2021]45号）的符合性分析</w:t>
            </w:r>
          </w:p>
          <w:p>
            <w:pPr>
              <w:pStyle w:val="14"/>
              <w:spacing w:before="0" w:after="0" w:line="360" w:lineRule="auto"/>
              <w:ind w:right="0" w:firstLine="440" w:firstLineChars="200"/>
              <w:jc w:val="left"/>
              <w:outlineLvl w:val="0"/>
              <w:rPr>
                <w:rFonts w:hint="default" w:ascii="Times New Roman" w:hAnsi="Times New Roman" w:cs="Times New Roman"/>
                <w:b/>
                <w:color w:val="auto"/>
                <w:kern w:val="2"/>
                <w:sz w:val="22"/>
                <w:szCs w:val="22"/>
                <w:highlight w:val="none"/>
                <w:lang w:val="en-US" w:eastAsia="zh-CN"/>
              </w:rPr>
            </w:pPr>
            <w:r>
              <w:rPr>
                <w:rFonts w:hint="default" w:ascii="Times New Roman" w:hAnsi="Times New Roman" w:cs="Times New Roman"/>
                <w:b w:val="0"/>
                <w:bCs w:val="0"/>
                <w:color w:val="auto"/>
                <w:kern w:val="0"/>
                <w:sz w:val="22"/>
                <w:szCs w:val="22"/>
                <w:highlight w:val="none"/>
                <w:lang w:val="en-US" w:eastAsia="zh-CN"/>
              </w:rPr>
              <w:t>根据《关于加强高耗能、高排放建设项目生态环境源头防控的指导意见》（环环评</w:t>
            </w:r>
            <w:r>
              <w:rPr>
                <w:rFonts w:hint="eastAsia" w:ascii="Times New Roman" w:hAnsi="Times New Roman" w:cs="Times New Roman"/>
                <w:b w:val="0"/>
                <w:bCs w:val="0"/>
                <w:color w:val="auto"/>
                <w:kern w:val="0"/>
                <w:sz w:val="22"/>
                <w:szCs w:val="22"/>
                <w:highlight w:val="none"/>
                <w:lang w:val="en-US" w:eastAsia="zh-CN"/>
              </w:rPr>
              <w:t>[</w:t>
            </w:r>
            <w:r>
              <w:rPr>
                <w:rFonts w:hint="default" w:ascii="Times New Roman" w:hAnsi="Times New Roman" w:cs="Times New Roman"/>
                <w:b w:val="0"/>
                <w:bCs w:val="0"/>
                <w:color w:val="auto"/>
                <w:kern w:val="0"/>
                <w:sz w:val="22"/>
                <w:szCs w:val="22"/>
                <w:highlight w:val="none"/>
                <w:lang w:val="en-US" w:eastAsia="zh-CN"/>
              </w:rPr>
              <w:t>2021</w:t>
            </w:r>
            <w:r>
              <w:rPr>
                <w:rFonts w:hint="eastAsia" w:ascii="Times New Roman" w:hAnsi="Times New Roman" w:cs="Times New Roman"/>
                <w:b w:val="0"/>
                <w:bCs w:val="0"/>
                <w:color w:val="auto"/>
                <w:kern w:val="0"/>
                <w:sz w:val="22"/>
                <w:szCs w:val="22"/>
                <w:highlight w:val="none"/>
                <w:lang w:val="en-US" w:eastAsia="zh-CN"/>
              </w:rPr>
              <w:t>]</w:t>
            </w:r>
            <w:r>
              <w:rPr>
                <w:rFonts w:hint="default" w:ascii="Times New Roman" w:hAnsi="Times New Roman" w:cs="Times New Roman"/>
                <w:b w:val="0"/>
                <w:bCs w:val="0"/>
                <w:color w:val="auto"/>
                <w:kern w:val="0"/>
                <w:sz w:val="22"/>
                <w:szCs w:val="22"/>
                <w:highlight w:val="none"/>
                <w:lang w:val="en-US" w:eastAsia="zh-CN"/>
              </w:rPr>
              <w:t>45号）文件要求：为全面落实党的十九届五中全会关于加快推动绿色低碳发展的决策部署，坚决遏制高耗能、高排放（以下简称</w:t>
            </w:r>
            <w:r>
              <w:rPr>
                <w:rFonts w:hint="eastAsia" w:ascii="Times New Roman" w:hAnsi="Times New Roman" w:cs="Times New Roman"/>
                <w:b w:val="0"/>
                <w:bCs w:val="0"/>
                <w:color w:val="auto"/>
                <w:kern w:val="0"/>
                <w:sz w:val="22"/>
                <w:szCs w:val="22"/>
                <w:highlight w:val="none"/>
                <w:lang w:val="en-US" w:eastAsia="zh-CN"/>
              </w:rPr>
              <w:t>“</w:t>
            </w:r>
            <w:r>
              <w:rPr>
                <w:rFonts w:hint="default" w:ascii="Times New Roman" w:hAnsi="Times New Roman" w:cs="Times New Roman"/>
                <w:b w:val="0"/>
                <w:bCs w:val="0"/>
                <w:color w:val="auto"/>
                <w:kern w:val="0"/>
                <w:sz w:val="22"/>
                <w:szCs w:val="22"/>
                <w:highlight w:val="none"/>
                <w:lang w:val="en-US" w:eastAsia="zh-CN"/>
              </w:rPr>
              <w:t>两高</w:t>
            </w:r>
            <w:r>
              <w:rPr>
                <w:rFonts w:hint="eastAsia" w:ascii="Times New Roman" w:hAnsi="Times New Roman" w:cs="Times New Roman"/>
                <w:b w:val="0"/>
                <w:bCs w:val="0"/>
                <w:color w:val="auto"/>
                <w:kern w:val="0"/>
                <w:sz w:val="22"/>
                <w:szCs w:val="22"/>
                <w:highlight w:val="none"/>
                <w:lang w:val="en-US" w:eastAsia="zh-CN"/>
              </w:rPr>
              <w:t>”</w:t>
            </w:r>
            <w:r>
              <w:rPr>
                <w:rFonts w:hint="default" w:ascii="Times New Roman" w:hAnsi="Times New Roman" w:cs="Times New Roman"/>
                <w:b w:val="0"/>
                <w:bCs w:val="0"/>
                <w:color w:val="auto"/>
                <w:kern w:val="0"/>
                <w:sz w:val="22"/>
                <w:szCs w:val="22"/>
                <w:highlight w:val="none"/>
                <w:lang w:val="en-US" w:eastAsia="zh-CN"/>
              </w:rPr>
              <w:t>）项目盲目发展，推动绿色转型和高质量发展，</w:t>
            </w:r>
            <w:r>
              <w:rPr>
                <w:rFonts w:hint="eastAsia" w:ascii="Times New Roman" w:hAnsi="Times New Roman" w:cs="Times New Roman"/>
                <w:b w:val="0"/>
                <w:bCs w:val="0"/>
                <w:color w:val="auto"/>
                <w:kern w:val="0"/>
                <w:sz w:val="22"/>
                <w:szCs w:val="22"/>
                <w:highlight w:val="none"/>
                <w:lang w:val="en-US" w:eastAsia="zh-CN"/>
              </w:rPr>
              <w:t>新建、改建、扩建“两高”项目须符合生态环境保护法律法规和相关法定规划，满足重点污染物排放总量控制、碳排放达峰目标、生态环境准入清单、相关规划环评和相应行业建设项目环境准入条件、环评文件审批原则要求。……“两高”项目暂按煤电、石化、化工、钢铁、有色金属冶炼、建材等六个行业类别统计，后续对“两高”范围国家如有明确规定的，从其规定。</w:t>
            </w:r>
          </w:p>
          <w:p>
            <w:pPr>
              <w:pStyle w:val="14"/>
              <w:spacing w:before="0" w:after="0" w:line="360" w:lineRule="auto"/>
              <w:ind w:right="0" w:firstLine="440" w:firstLineChars="200"/>
              <w:jc w:val="left"/>
              <w:outlineLvl w:val="0"/>
              <w:rPr>
                <w:rFonts w:hint="eastAsia" w:ascii="Times New Roman" w:hAnsi="Times New Roman" w:cs="Times New Roman"/>
                <w:b w:val="0"/>
                <w:bCs/>
                <w:color w:val="auto"/>
                <w:kern w:val="2"/>
                <w:sz w:val="22"/>
                <w:szCs w:val="22"/>
                <w:highlight w:val="none"/>
                <w:lang w:val="en-US" w:eastAsia="zh-CN"/>
              </w:rPr>
            </w:pPr>
            <w:r>
              <w:rPr>
                <w:rFonts w:hint="eastAsia" w:ascii="Times New Roman" w:hAnsi="Times New Roman" w:cs="Times New Roman"/>
                <w:b w:val="0"/>
                <w:bCs/>
                <w:color w:val="auto"/>
                <w:kern w:val="2"/>
                <w:sz w:val="22"/>
                <w:szCs w:val="22"/>
                <w:highlight w:val="none"/>
                <w:lang w:val="en-US" w:eastAsia="zh-CN"/>
              </w:rPr>
              <w:t>本项目为特种玻璃制造（夹层玻璃），在平板玻璃的基础上进行进一步加工，根据《环境保护综合名录》（2021年版），本项目不属于</w:t>
            </w:r>
            <w:r>
              <w:rPr>
                <w:rFonts w:hint="eastAsia" w:ascii="Times New Roman" w:hAnsi="Times New Roman" w:cs="Times New Roman"/>
                <w:b w:val="0"/>
                <w:bCs w:val="0"/>
                <w:color w:val="auto"/>
                <w:kern w:val="0"/>
                <w:sz w:val="22"/>
                <w:szCs w:val="22"/>
                <w:highlight w:val="none"/>
                <w:lang w:val="en-US" w:eastAsia="zh-CN"/>
              </w:rPr>
              <w:t>其中的高污染、高环境风险产品，使用能源主要为电，综上所述，本项目的建设</w:t>
            </w:r>
            <w:r>
              <w:rPr>
                <w:rFonts w:hint="eastAsia" w:ascii="Times New Roman" w:hAnsi="Times New Roman" w:cs="Times New Roman"/>
                <w:color w:val="auto"/>
                <w:kern w:val="0"/>
                <w:sz w:val="22"/>
                <w:szCs w:val="22"/>
                <w:highlight w:val="none"/>
                <w:lang w:val="en-US" w:eastAsia="zh-CN"/>
              </w:rPr>
              <w:t>与《</w:t>
            </w:r>
            <w:r>
              <w:rPr>
                <w:rFonts w:hint="default" w:ascii="Times New Roman" w:hAnsi="Times New Roman" w:cs="Times New Roman"/>
                <w:color w:val="auto"/>
                <w:kern w:val="0"/>
                <w:sz w:val="22"/>
                <w:szCs w:val="22"/>
                <w:highlight w:val="none"/>
                <w:lang w:val="en-US" w:eastAsia="zh-CN"/>
              </w:rPr>
              <w:t>关于加强高耗能、高排放建设项目生态环境源头防控的指导意见</w:t>
            </w:r>
            <w:r>
              <w:rPr>
                <w:rFonts w:hint="eastAsia" w:ascii="Times New Roman" w:hAnsi="Times New Roman" w:cs="Times New Roman"/>
                <w:color w:val="auto"/>
                <w:kern w:val="0"/>
                <w:sz w:val="22"/>
                <w:szCs w:val="22"/>
                <w:highlight w:val="none"/>
                <w:lang w:val="en-US" w:eastAsia="zh-CN"/>
              </w:rPr>
              <w:t>》</w:t>
            </w:r>
            <w:r>
              <w:rPr>
                <w:rFonts w:hint="default" w:ascii="Times New Roman" w:hAnsi="Times New Roman" w:cs="Times New Roman"/>
                <w:color w:val="auto"/>
                <w:kern w:val="0"/>
                <w:sz w:val="22"/>
                <w:szCs w:val="22"/>
                <w:highlight w:val="none"/>
                <w:lang w:val="en-US" w:eastAsia="zh-CN"/>
              </w:rPr>
              <w:t>（环环评[2021]45号）</w:t>
            </w:r>
            <w:r>
              <w:rPr>
                <w:rFonts w:hint="eastAsia" w:ascii="Times New Roman" w:hAnsi="Times New Roman" w:cs="Times New Roman"/>
                <w:color w:val="auto"/>
                <w:kern w:val="0"/>
                <w:sz w:val="22"/>
                <w:szCs w:val="22"/>
                <w:highlight w:val="none"/>
                <w:lang w:val="en-US" w:eastAsia="zh-CN"/>
              </w:rPr>
              <w:t>的要求不冲突</w:t>
            </w:r>
            <w:r>
              <w:rPr>
                <w:rFonts w:hint="eastAsia" w:ascii="Times New Roman" w:hAnsi="Times New Roman" w:cs="Times New Roman"/>
                <w:b w:val="0"/>
                <w:bCs w:val="0"/>
                <w:color w:val="auto"/>
                <w:kern w:val="0"/>
                <w:sz w:val="22"/>
                <w:szCs w:val="22"/>
                <w:highlight w:val="none"/>
                <w:lang w:val="en-US" w:eastAsia="zh-CN"/>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42" w:firstLineChars="200"/>
              <w:jc w:val="left"/>
              <w:textAlignment w:val="auto"/>
              <w:outlineLvl w:val="9"/>
              <w:rPr>
                <w:rFonts w:hint="eastAsia" w:ascii="Times New Roman" w:hAnsi="Times New Roman" w:cs="Times New Roman"/>
                <w:b/>
                <w:bCs/>
                <w:color w:val="auto"/>
                <w:kern w:val="0"/>
                <w:sz w:val="22"/>
                <w:szCs w:val="22"/>
                <w:highlight w:val="none"/>
                <w:lang w:val="en-US" w:eastAsia="zh-CN"/>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42" w:firstLineChars="200"/>
              <w:jc w:val="left"/>
              <w:textAlignment w:val="auto"/>
              <w:outlineLvl w:val="9"/>
              <w:rPr>
                <w:rFonts w:hint="eastAsia" w:ascii="Times New Roman" w:hAnsi="Times New Roman" w:cs="Times New Roman"/>
                <w:b/>
                <w:bCs/>
                <w:color w:val="auto"/>
                <w:kern w:val="0"/>
                <w:sz w:val="22"/>
                <w:szCs w:val="22"/>
                <w:highlight w:val="none"/>
                <w:lang w:val="en-US" w:eastAsia="zh-CN"/>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42" w:firstLineChars="200"/>
              <w:jc w:val="left"/>
              <w:textAlignment w:val="auto"/>
              <w:outlineLvl w:val="9"/>
              <w:rPr>
                <w:rFonts w:hint="eastAsia" w:ascii="Times New Roman" w:hAnsi="Times New Roman" w:cs="Times New Roman"/>
                <w:b/>
                <w:bCs/>
                <w:color w:val="auto"/>
                <w:kern w:val="0"/>
                <w:sz w:val="22"/>
                <w:szCs w:val="22"/>
                <w:highlight w:val="none"/>
                <w:lang w:val="en-US" w:eastAsia="zh-CN"/>
              </w:rPr>
            </w:pPr>
            <w:r>
              <w:rPr>
                <w:rFonts w:hint="eastAsia" w:ascii="Times New Roman" w:hAnsi="Times New Roman" w:cs="Times New Roman"/>
                <w:b/>
                <w:bCs/>
                <w:color w:val="auto"/>
                <w:kern w:val="0"/>
                <w:sz w:val="22"/>
                <w:szCs w:val="22"/>
                <w:highlight w:val="none"/>
                <w:lang w:val="en-US" w:eastAsia="zh-CN"/>
              </w:rPr>
              <w:t>10、</w:t>
            </w:r>
            <w:r>
              <w:rPr>
                <w:rFonts w:hint="default" w:ascii="Times New Roman" w:hAnsi="Times New Roman" w:cs="Times New Roman"/>
                <w:b/>
                <w:bCs/>
                <w:color w:val="auto"/>
                <w:kern w:val="0"/>
                <w:sz w:val="22"/>
                <w:szCs w:val="22"/>
                <w:highlight w:val="none"/>
                <w:lang w:val="en-US" w:eastAsia="zh-CN"/>
              </w:rPr>
              <w:t>与</w:t>
            </w:r>
            <w:r>
              <w:rPr>
                <w:rFonts w:hint="eastAsia" w:ascii="Times New Roman" w:hAnsi="Times New Roman" w:cs="Times New Roman"/>
                <w:b/>
                <w:bCs/>
                <w:color w:val="auto"/>
                <w:kern w:val="0"/>
                <w:sz w:val="22"/>
                <w:szCs w:val="22"/>
                <w:highlight w:val="none"/>
                <w:lang w:val="en-US" w:eastAsia="zh-CN"/>
              </w:rPr>
              <w:t>《乐山市2022年大气污染防治攻坚工作方案》的</w:t>
            </w:r>
            <w:r>
              <w:rPr>
                <w:rFonts w:hint="default" w:ascii="Times New Roman" w:hAnsi="Times New Roman" w:cs="Times New Roman"/>
                <w:b/>
                <w:bCs/>
                <w:color w:val="auto"/>
                <w:kern w:val="0"/>
                <w:sz w:val="22"/>
                <w:szCs w:val="22"/>
                <w:highlight w:val="none"/>
                <w:lang w:val="en-US" w:eastAsia="zh-CN"/>
              </w:rPr>
              <w:t>符合性</w:t>
            </w:r>
            <w:r>
              <w:rPr>
                <w:rFonts w:hint="eastAsia" w:ascii="Times New Roman" w:hAnsi="Times New Roman" w:cs="Times New Roman"/>
                <w:b/>
                <w:bCs/>
                <w:color w:val="auto"/>
                <w:kern w:val="0"/>
                <w:sz w:val="22"/>
                <w:szCs w:val="22"/>
                <w:highlight w:val="none"/>
                <w:lang w:val="en-US" w:eastAsia="zh-CN"/>
              </w:rPr>
              <w:t>分析</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40" w:firstLineChars="200"/>
              <w:jc w:val="left"/>
              <w:textAlignment w:val="auto"/>
              <w:outlineLvl w:val="9"/>
              <w:rPr>
                <w:rFonts w:hint="eastAsia" w:ascii="Times New Roman" w:hAnsi="Times New Roman" w:eastAsia="宋体" w:cs="Times New Roman"/>
                <w:b w:val="0"/>
                <w:bCs w:val="0"/>
                <w:color w:val="auto"/>
                <w:kern w:val="2"/>
                <w:sz w:val="22"/>
                <w:szCs w:val="22"/>
                <w:highlight w:val="none"/>
                <w:lang w:val="en-US" w:eastAsia="zh-CN" w:bidi="ar-SA"/>
              </w:rPr>
            </w:pPr>
            <w:r>
              <w:rPr>
                <w:rFonts w:hint="eastAsia" w:ascii="Times New Roman" w:hAnsi="Times New Roman" w:eastAsia="宋体" w:cs="Times New Roman"/>
                <w:color w:val="auto"/>
                <w:kern w:val="0"/>
                <w:sz w:val="22"/>
                <w:szCs w:val="22"/>
                <w:highlight w:val="none"/>
                <w:lang w:val="en-US" w:eastAsia="zh-CN"/>
              </w:rPr>
              <w:t>2022年1月30日，乐山市污染防治攻坚战领导小组印发了《乐山市2022年大气污染防治攻坚工作方案》，工作方案</w:t>
            </w:r>
            <w:r>
              <w:rPr>
                <w:rFonts w:hint="eastAsia" w:ascii="Times New Roman" w:hAnsi="Times New Roman" w:eastAsia="宋体" w:cs="Times New Roman"/>
                <w:b w:val="0"/>
                <w:bCs w:val="0"/>
                <w:color w:val="auto"/>
                <w:kern w:val="2"/>
                <w:sz w:val="22"/>
                <w:szCs w:val="22"/>
                <w:highlight w:val="none"/>
                <w:lang w:val="en-US" w:eastAsia="zh-CN" w:bidi="ar-SA"/>
              </w:rPr>
              <w:t>提出：系统实施重点工业行业深度治理、臭氧污染防治、柴油货车污染治理、扬尘污染防治、面源污染治理、重污染天气消除、基础能力建设等七大攻坚战，推动环境空气质量持续稳定改善，人民群众蓝天幸福感、获得感进一步增强。</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40" w:firstLineChars="200"/>
              <w:jc w:val="left"/>
              <w:textAlignment w:val="auto"/>
              <w:outlineLvl w:val="9"/>
              <w:rPr>
                <w:rFonts w:hint="default" w:ascii="Times New Roman" w:hAnsi="Times New Roman" w:eastAsia="宋体" w:cs="Times New Roman"/>
                <w:b w:val="0"/>
                <w:bCs w:val="0"/>
                <w:color w:val="auto"/>
                <w:kern w:val="2"/>
                <w:sz w:val="22"/>
                <w:szCs w:val="22"/>
                <w:highlight w:val="none"/>
                <w:lang w:val="en-US" w:eastAsia="zh-CN" w:bidi="ar-SA"/>
              </w:rPr>
            </w:pPr>
            <w:r>
              <w:rPr>
                <w:rFonts w:hint="eastAsia" w:eastAsia="宋体" w:cs="Times New Roman"/>
                <w:b w:val="0"/>
                <w:bCs w:val="0"/>
                <w:color w:val="auto"/>
                <w:kern w:val="2"/>
                <w:sz w:val="22"/>
                <w:szCs w:val="22"/>
                <w:highlight w:val="none"/>
                <w:lang w:val="en-US" w:eastAsia="zh-CN" w:bidi="ar-SA"/>
              </w:rPr>
              <w:t>坚决遏制“两高”项目盲目发展，加快退出重点行业落后产能。……推动能源绿色低碳转型。大力发展新能源和清洁能源，严控煤炭消费增长。</w:t>
            </w:r>
          </w:p>
          <w:p>
            <w:pPr>
              <w:pStyle w:val="14"/>
              <w:spacing w:before="0" w:after="0" w:line="360" w:lineRule="auto"/>
              <w:ind w:right="0" w:firstLine="440" w:firstLineChars="200"/>
              <w:jc w:val="left"/>
              <w:outlineLvl w:val="0"/>
              <w:rPr>
                <w:rFonts w:hint="eastAsia" w:ascii="Times New Roman" w:hAnsi="Times New Roman" w:cs="Times New Roman"/>
                <w:b w:val="0"/>
                <w:bCs/>
                <w:color w:val="auto"/>
                <w:kern w:val="2"/>
                <w:sz w:val="22"/>
                <w:szCs w:val="22"/>
                <w:highlight w:val="none"/>
                <w:lang w:val="en-US" w:eastAsia="zh-CN"/>
              </w:rPr>
            </w:pPr>
            <w:r>
              <w:rPr>
                <w:rFonts w:hint="eastAsia" w:eastAsia="宋体" w:cs="Times New Roman"/>
                <w:b w:val="0"/>
                <w:bCs w:val="0"/>
                <w:color w:val="auto"/>
                <w:kern w:val="2"/>
                <w:sz w:val="22"/>
                <w:szCs w:val="22"/>
                <w:highlight w:val="none"/>
                <w:lang w:val="en-US" w:eastAsia="zh-CN" w:bidi="ar-SA"/>
              </w:rPr>
              <w:t>本项目主要生产夹层玻璃，并对30%夹层玻璃进行喷漆处理，喷漆房密闭，喷漆废气经“水帘柜+干式过滤+两级活性炭”处理后通过15m排气筒（DA001）排放</w:t>
            </w:r>
            <w:r>
              <w:rPr>
                <w:rFonts w:hint="eastAsia" w:ascii="Times New Roman" w:hAnsi="Times New Roman" w:cs="Times New Roman"/>
                <w:color w:val="auto"/>
                <w:kern w:val="0"/>
                <w:sz w:val="22"/>
                <w:szCs w:val="22"/>
                <w:highlight w:val="none"/>
                <w:lang w:val="en-US" w:eastAsia="zh-CN"/>
              </w:rPr>
              <w:t>，</w:t>
            </w:r>
            <w:r>
              <w:rPr>
                <w:rFonts w:hint="eastAsia" w:eastAsia="宋体" w:cs="Times New Roman"/>
                <w:b w:val="0"/>
                <w:bCs w:val="0"/>
                <w:color w:val="auto"/>
                <w:kern w:val="2"/>
                <w:sz w:val="22"/>
                <w:szCs w:val="22"/>
                <w:highlight w:val="none"/>
                <w:lang w:val="en-US" w:eastAsia="zh-CN" w:bidi="ar-SA"/>
              </w:rPr>
              <w:t>生产过程中主要使用电等清洁能源，不涉及煤炭的使用，因此本项目的建设符合乐山市污染防治攻坚战领导小组关于印发《乐山市2022年大气污染防治攻坚工作方案》的通知（乐污防攻坚[2022]1号）要求。</w:t>
            </w:r>
          </w:p>
          <w:p>
            <w:pPr>
              <w:pStyle w:val="14"/>
              <w:spacing w:before="0" w:after="0" w:line="360" w:lineRule="auto"/>
              <w:ind w:right="0" w:firstLine="442" w:firstLineChars="200"/>
              <w:jc w:val="left"/>
              <w:outlineLvl w:val="0"/>
              <w:rPr>
                <w:rFonts w:hint="default" w:ascii="Times New Roman" w:hAnsi="Times New Roman" w:eastAsia="宋体" w:cs="Times New Roman"/>
                <w:b/>
                <w:bCs/>
                <w:color w:val="auto"/>
                <w:sz w:val="22"/>
                <w:szCs w:val="22"/>
                <w:vertAlign w:val="baseline"/>
                <w:lang w:val="en-US" w:eastAsia="zh-CN"/>
              </w:rPr>
            </w:pPr>
            <w:r>
              <w:rPr>
                <w:rFonts w:hint="eastAsia" w:ascii="Times New Roman" w:hAnsi="Times New Roman" w:eastAsia="宋体" w:cs="Times New Roman"/>
                <w:b/>
                <w:bCs/>
                <w:color w:val="auto"/>
                <w:sz w:val="22"/>
                <w:szCs w:val="22"/>
                <w:vertAlign w:val="baseline"/>
                <w:lang w:val="en-US" w:eastAsia="zh-CN"/>
              </w:rPr>
              <w:t>11、与《四川省“十四五”生态环境保护规划》的符合性分析</w:t>
            </w:r>
          </w:p>
          <w:p>
            <w:pPr>
              <w:pStyle w:val="14"/>
              <w:spacing w:before="0" w:after="0" w:line="360" w:lineRule="auto"/>
              <w:ind w:right="0" w:firstLine="440" w:firstLineChars="200"/>
              <w:jc w:val="left"/>
              <w:outlineLvl w:val="0"/>
              <w:rPr>
                <w:rFonts w:hint="eastAsia" w:ascii="Times New Roman" w:hAnsi="Times New Roman" w:eastAsia="宋体" w:cs="Times New Roman"/>
                <w:color w:val="auto"/>
                <w:sz w:val="22"/>
                <w:szCs w:val="22"/>
                <w:vertAlign w:val="baseline"/>
                <w:lang w:val="en-US" w:eastAsia="zh-CN"/>
              </w:rPr>
            </w:pPr>
            <w:r>
              <w:rPr>
                <w:rFonts w:hint="eastAsia" w:ascii="Times New Roman" w:hAnsi="Times New Roman" w:eastAsia="宋体" w:cs="Times New Roman"/>
                <w:color w:val="auto"/>
                <w:sz w:val="22"/>
                <w:szCs w:val="22"/>
                <w:vertAlign w:val="baseline"/>
                <w:lang w:val="en-US" w:eastAsia="zh-CN"/>
              </w:rPr>
              <w:t>《四川省“十四五”生态环境保护规划》提出“五、深化大气污染协同控制，持续改善环境空气质量”，其中要求控制挥发性有机物（VOCs）排放。严格控制VOCs排放总量，新建VOCs项目应实施等量或倍量替代。强化VOCs源头削减，以工业涂装、家具制造、包装印刷等行业为重点，大力推进低（无）VOCs含量原辅材料替代。严格控制生产和使用高VOCs含量溶剂型涂料、油墨、胶粘剂、清洗剂等建设项目。强化VOCs综合治理，以石化、化工、工业涂装、包装印刷、电子、纺织印染、制鞋、家具制造、油品储运销等行业为重点,提升废气收集率、治污设施同步运行率和去除率，科学合理选择治理工艺,推进设施设备提标升级改造。强化无组织排放管控,加大含VOCs物料储存、转移和输送、设备与管线组件泄漏、敞开液面逸散等管控力度,开展泄漏检测与修复工作。强化企业VOCs 排放达标监管,实施季节性调控。完善挥发性有机物产品标准体系,建立低挥发性有机物含量产品标识制度。</w:t>
            </w:r>
          </w:p>
          <w:p>
            <w:pPr>
              <w:pStyle w:val="14"/>
              <w:spacing w:before="0" w:after="0" w:line="360" w:lineRule="auto"/>
              <w:ind w:right="0" w:firstLine="440" w:firstLineChars="200"/>
              <w:jc w:val="left"/>
              <w:outlineLvl w:val="0"/>
              <w:rPr>
                <w:rFonts w:hint="default" w:ascii="Times New Roman" w:hAnsi="Times New Roman" w:eastAsia="宋体" w:cs="Times New Roman"/>
                <w:color w:val="auto"/>
                <w:sz w:val="22"/>
                <w:szCs w:val="22"/>
                <w:vertAlign w:val="baseline"/>
                <w:lang w:val="en-US" w:eastAsia="zh-CN"/>
              </w:rPr>
            </w:pPr>
            <w:r>
              <w:rPr>
                <w:rFonts w:hint="eastAsia" w:eastAsia="宋体" w:cs="Times New Roman"/>
                <w:b w:val="0"/>
                <w:bCs w:val="0"/>
                <w:color w:val="auto"/>
                <w:kern w:val="2"/>
                <w:sz w:val="22"/>
                <w:szCs w:val="22"/>
                <w:highlight w:val="none"/>
                <w:lang w:val="en-US" w:eastAsia="zh-CN" w:bidi="ar-SA"/>
              </w:rPr>
              <w:t>本项目主要生产夹层玻璃，并对30%夹层玻璃进行喷漆处理，喷漆房密闭，喷漆废气经“水帘柜+干式过滤+两级活性炭”处理后通过15m排气筒（DA001）排放</w:t>
            </w:r>
            <w:r>
              <w:rPr>
                <w:rFonts w:hint="eastAsia" w:ascii="Times New Roman" w:hAnsi="Times New Roman" w:cs="Times New Roman"/>
                <w:color w:val="auto"/>
                <w:kern w:val="0"/>
                <w:sz w:val="22"/>
                <w:szCs w:val="22"/>
                <w:highlight w:val="none"/>
                <w:lang w:val="en-US" w:eastAsia="zh-CN"/>
              </w:rPr>
              <w:t>，</w:t>
            </w:r>
            <w:r>
              <w:rPr>
                <w:rFonts w:hint="eastAsia" w:eastAsia="宋体" w:cs="Times New Roman"/>
                <w:b w:val="0"/>
                <w:bCs w:val="0"/>
                <w:color w:val="auto"/>
                <w:kern w:val="2"/>
                <w:sz w:val="22"/>
                <w:szCs w:val="22"/>
                <w:highlight w:val="none"/>
                <w:lang w:val="en-US" w:eastAsia="zh-CN" w:bidi="ar-SA"/>
              </w:rPr>
              <w:t>项目的建设与《四川省“十四五”生态环境保护规划》相符。</w:t>
            </w:r>
          </w:p>
          <w:p>
            <w:pPr>
              <w:pStyle w:val="14"/>
              <w:spacing w:before="0" w:after="0" w:line="360" w:lineRule="auto"/>
              <w:ind w:right="0" w:firstLine="442" w:firstLineChars="200"/>
              <w:jc w:val="left"/>
              <w:outlineLvl w:val="0"/>
              <w:rPr>
                <w:rFonts w:hint="default" w:ascii="Times New Roman" w:hAnsi="Times New Roman" w:eastAsia="宋体" w:cs="Times New Roman"/>
                <w:b/>
                <w:bCs/>
                <w:color w:val="auto"/>
                <w:sz w:val="22"/>
                <w:szCs w:val="22"/>
                <w:vertAlign w:val="baseline"/>
                <w:lang w:val="en-US" w:eastAsia="zh-CN"/>
              </w:rPr>
            </w:pPr>
            <w:r>
              <w:rPr>
                <w:rFonts w:hint="eastAsia" w:ascii="Times New Roman" w:hAnsi="Times New Roman" w:eastAsia="宋体" w:cs="Times New Roman"/>
                <w:b/>
                <w:bCs/>
                <w:color w:val="auto"/>
                <w:sz w:val="22"/>
                <w:szCs w:val="22"/>
                <w:vertAlign w:val="baseline"/>
                <w:lang w:val="en-US" w:eastAsia="zh-CN"/>
              </w:rPr>
              <w:t>12、与《乐山市“十四五”生态环境保护规划》的符合性分析</w:t>
            </w:r>
          </w:p>
          <w:p>
            <w:pPr>
              <w:pStyle w:val="14"/>
              <w:spacing w:before="0" w:after="0" w:line="360" w:lineRule="auto"/>
              <w:ind w:right="0" w:firstLine="440" w:firstLineChars="200"/>
              <w:jc w:val="left"/>
              <w:outlineLvl w:val="0"/>
              <w:rPr>
                <w:rFonts w:hint="eastAsia" w:ascii="Times New Roman" w:hAnsi="Times New Roman" w:eastAsia="宋体" w:cs="Times New Roman"/>
                <w:color w:val="auto"/>
                <w:sz w:val="22"/>
                <w:szCs w:val="22"/>
                <w:vertAlign w:val="baseline"/>
                <w:lang w:val="en-US" w:eastAsia="zh-CN"/>
              </w:rPr>
            </w:pPr>
            <w:r>
              <w:rPr>
                <w:rFonts w:hint="eastAsia" w:ascii="Times New Roman" w:hAnsi="Times New Roman" w:eastAsia="宋体" w:cs="Times New Roman"/>
                <w:color w:val="auto"/>
                <w:sz w:val="22"/>
                <w:szCs w:val="22"/>
                <w:vertAlign w:val="baseline"/>
                <w:lang w:val="en-US" w:eastAsia="zh-CN"/>
              </w:rPr>
              <w:t>《乐山市“十四五”生态环境保护规划》提出“五、深入打好蓝天保卫战，持续改善大气环境质量”，其中要求深化VOCs污染防治。实施重点行业VOCs总量控制和源头替代。</w:t>
            </w:r>
          </w:p>
          <w:p>
            <w:pPr>
              <w:pStyle w:val="14"/>
              <w:spacing w:before="0" w:after="0" w:line="360" w:lineRule="auto"/>
              <w:ind w:right="0" w:firstLine="440" w:firstLineChars="200"/>
              <w:jc w:val="left"/>
              <w:outlineLvl w:val="0"/>
              <w:rPr>
                <w:rFonts w:hint="default" w:ascii="Times New Roman" w:hAnsi="Times New Roman" w:eastAsia="宋体" w:cs="Times New Roman"/>
                <w:color w:val="auto"/>
                <w:sz w:val="22"/>
                <w:szCs w:val="22"/>
                <w:vertAlign w:val="baseline"/>
                <w:lang w:val="en-US" w:eastAsia="zh-CN"/>
              </w:rPr>
            </w:pPr>
            <w:r>
              <w:rPr>
                <w:rFonts w:hint="eastAsia" w:ascii="Times New Roman" w:hAnsi="Times New Roman" w:eastAsia="宋体" w:cs="Times New Roman"/>
                <w:color w:val="auto"/>
                <w:sz w:val="22"/>
                <w:szCs w:val="22"/>
                <w:vertAlign w:val="baseline"/>
                <w:lang w:val="en-US" w:eastAsia="zh-CN"/>
              </w:rPr>
              <w:t>大力推进工业涂装、包装印刷等溶剂使用类行业及涂料、油墨、胶粘剂、清洗剂等行业低挥发性原辅料产品的源头替代，鼓励采购使用低VOCs含量原辅材料的产品，建立全面使用符合国家要求的低VOCs含量原辅材料的企业正面清单和政府绿色采购清单。</w:t>
            </w:r>
          </w:p>
          <w:p>
            <w:pPr>
              <w:pStyle w:val="14"/>
              <w:spacing w:before="0" w:after="0" w:line="360" w:lineRule="auto"/>
              <w:ind w:right="0" w:firstLine="440" w:firstLineChars="200"/>
              <w:jc w:val="left"/>
              <w:outlineLvl w:val="0"/>
              <w:rPr>
                <w:rFonts w:hint="eastAsia" w:ascii="Times New Roman" w:hAnsi="Times New Roman" w:eastAsia="宋体" w:cs="Times New Roman"/>
                <w:color w:val="auto"/>
                <w:sz w:val="22"/>
                <w:szCs w:val="22"/>
                <w:vertAlign w:val="baseline"/>
                <w:lang w:val="en-US" w:eastAsia="zh-CN"/>
              </w:rPr>
            </w:pPr>
            <w:r>
              <w:rPr>
                <w:rFonts w:hint="eastAsia" w:ascii="Times New Roman" w:hAnsi="Times New Roman" w:eastAsia="宋体" w:cs="Times New Roman"/>
                <w:color w:val="auto"/>
                <w:sz w:val="22"/>
                <w:szCs w:val="22"/>
                <w:vertAlign w:val="baseline"/>
                <w:lang w:val="en-US" w:eastAsia="zh-CN"/>
              </w:rPr>
              <w:t>加强重点地区、重点行业VOCs排放整治。严格控制涉VOCs排放新建项目，对新增VOCs排放项目实施等量或倍量替代。以五通桥区、井研县、夹江县、乐山高新区等区域的集中工业区为重点，推进重点区域VOCs整治。持续开展全市重点行业企业“一厂一策”综合治理，实施重点行业VOCs达标排放整治。实施化工、制药、工业涂装、塑料加工、家具制造、印刷等重点行业VOCs总量控制，深化汽车修理行业整治，促进集中高效处理，完善汽修行业管理台账和在线监测手段。</w:t>
            </w:r>
          </w:p>
          <w:p>
            <w:pPr>
              <w:pStyle w:val="14"/>
              <w:spacing w:before="0" w:after="0" w:line="360" w:lineRule="auto"/>
              <w:ind w:right="0" w:firstLine="440" w:firstLineChars="200"/>
              <w:jc w:val="left"/>
              <w:outlineLvl w:val="0"/>
              <w:rPr>
                <w:rFonts w:hint="eastAsia" w:ascii="Times New Roman" w:hAnsi="Times New Roman" w:eastAsia="宋体" w:cs="Times New Roman"/>
                <w:color w:val="auto"/>
                <w:sz w:val="22"/>
                <w:szCs w:val="22"/>
                <w:vertAlign w:val="baseline"/>
                <w:lang w:val="en-US" w:eastAsia="zh-CN"/>
              </w:rPr>
            </w:pPr>
            <w:r>
              <w:rPr>
                <w:rFonts w:hint="eastAsia" w:ascii="Times New Roman" w:hAnsi="Times New Roman" w:eastAsia="宋体" w:cs="Times New Roman"/>
                <w:color w:val="auto"/>
                <w:sz w:val="22"/>
                <w:szCs w:val="22"/>
                <w:vertAlign w:val="baseline"/>
                <w:lang w:val="en-US" w:eastAsia="zh-CN"/>
              </w:rPr>
              <w:t>加强无组织VOCs排放控制。对含VOCs物料（包括含VOCs原辅材料、含VOCs产品、含VOCs废料以及有机聚合物材料等）储存、转移和输送、设备与管线组件泄漏、敞开液面逸散以及工艺过程等五类排放源实施重点管控，通过采取设备与场所密闭、工艺改进、废气有效收集等措施，削减VOCs无组织排放。</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40" w:firstLineChars="200"/>
              <w:jc w:val="both"/>
              <w:textAlignment w:val="auto"/>
              <w:outlineLvl w:val="9"/>
              <w:rPr>
                <w:rFonts w:hint="default" w:ascii="Times New Roman" w:hAnsi="Times New Roman" w:cs="Times New Roman"/>
                <w:color w:val="auto"/>
                <w:kern w:val="0"/>
                <w:sz w:val="22"/>
                <w:szCs w:val="22"/>
                <w:highlight w:val="none"/>
                <w:lang w:val="en-US" w:eastAsia="zh-CN"/>
              </w:rPr>
            </w:pPr>
            <w:r>
              <w:rPr>
                <w:rFonts w:hint="eastAsia" w:eastAsia="宋体" w:cs="Times New Roman"/>
                <w:b w:val="0"/>
                <w:bCs w:val="0"/>
                <w:color w:val="auto"/>
                <w:kern w:val="2"/>
                <w:sz w:val="22"/>
                <w:szCs w:val="22"/>
                <w:highlight w:val="none"/>
                <w:lang w:val="en-US" w:eastAsia="zh-CN" w:bidi="ar-SA"/>
              </w:rPr>
              <w:t>本项目主要生产夹层玻璃，并对30%夹层玻璃进行喷漆处理，喷漆房密闭，喷漆废气经“水帘柜+干式过滤+两级活性炭”处理后通过15m排气筒（DA001）排放</w:t>
            </w:r>
            <w:r>
              <w:rPr>
                <w:rFonts w:hint="eastAsia" w:ascii="Times New Roman" w:hAnsi="Times New Roman" w:cs="Times New Roman"/>
                <w:color w:val="auto"/>
                <w:kern w:val="0"/>
                <w:sz w:val="22"/>
                <w:szCs w:val="22"/>
                <w:highlight w:val="none"/>
                <w:lang w:val="en-US" w:eastAsia="zh-CN"/>
              </w:rPr>
              <w:t>，</w:t>
            </w:r>
            <w:r>
              <w:rPr>
                <w:rFonts w:hint="eastAsia" w:eastAsia="宋体" w:cs="Times New Roman"/>
                <w:b w:val="0"/>
                <w:bCs w:val="0"/>
                <w:color w:val="auto"/>
                <w:kern w:val="2"/>
                <w:sz w:val="22"/>
                <w:szCs w:val="22"/>
                <w:highlight w:val="none"/>
                <w:lang w:val="en-US" w:eastAsia="zh-CN" w:bidi="ar-SA"/>
              </w:rPr>
              <w:t>项目的建设与《乐山市“十四五”生态环境保护规划》相符。</w:t>
            </w:r>
          </w:p>
          <w:p>
            <w:pPr>
              <w:pStyle w:val="14"/>
              <w:spacing w:before="0" w:after="0" w:line="360" w:lineRule="auto"/>
              <w:ind w:right="0" w:firstLine="442" w:firstLineChars="200"/>
              <w:jc w:val="left"/>
              <w:outlineLvl w:val="0"/>
              <w:rPr>
                <w:rFonts w:hint="default" w:ascii="Times New Roman" w:hAnsi="Times New Roman" w:cs="Times New Roman"/>
                <w:b/>
                <w:color w:val="auto"/>
                <w:kern w:val="2"/>
                <w:sz w:val="22"/>
                <w:szCs w:val="22"/>
                <w:highlight w:val="none"/>
                <w:lang w:val="en-US" w:eastAsia="zh-CN"/>
              </w:rPr>
            </w:pPr>
            <w:r>
              <w:rPr>
                <w:rFonts w:hint="eastAsia" w:ascii="Times New Roman" w:hAnsi="Times New Roman" w:cs="Times New Roman"/>
                <w:b/>
                <w:color w:val="auto"/>
                <w:kern w:val="2"/>
                <w:sz w:val="22"/>
                <w:szCs w:val="22"/>
                <w:highlight w:val="none"/>
                <w:lang w:val="en-US" w:eastAsia="zh-CN"/>
              </w:rPr>
              <w:t>13</w:t>
            </w:r>
            <w:r>
              <w:rPr>
                <w:rFonts w:hint="default" w:ascii="Times New Roman" w:hAnsi="Times New Roman" w:cs="Times New Roman"/>
                <w:b/>
                <w:color w:val="auto"/>
                <w:kern w:val="2"/>
                <w:sz w:val="22"/>
                <w:szCs w:val="22"/>
                <w:highlight w:val="none"/>
                <w:lang w:val="en-US" w:eastAsia="zh-CN"/>
              </w:rPr>
              <w:t>、</w:t>
            </w:r>
            <w:r>
              <w:rPr>
                <w:rFonts w:hint="eastAsia" w:ascii="Times New Roman" w:hAnsi="Times New Roman" w:cs="Times New Roman"/>
                <w:b/>
                <w:color w:val="auto"/>
                <w:kern w:val="2"/>
                <w:sz w:val="22"/>
                <w:szCs w:val="22"/>
                <w:highlight w:val="none"/>
                <w:lang w:eastAsia="zh-CN"/>
              </w:rPr>
              <w:t>“</w:t>
            </w:r>
            <w:r>
              <w:rPr>
                <w:rFonts w:hint="default" w:ascii="Times New Roman" w:hAnsi="Times New Roman" w:cs="Times New Roman"/>
                <w:b/>
                <w:color w:val="auto"/>
                <w:kern w:val="2"/>
                <w:sz w:val="22"/>
                <w:szCs w:val="22"/>
                <w:highlight w:val="none"/>
              </w:rPr>
              <w:t>三线一单</w:t>
            </w:r>
            <w:r>
              <w:rPr>
                <w:rFonts w:hint="eastAsia" w:ascii="Times New Roman" w:hAnsi="Times New Roman" w:cs="Times New Roman"/>
                <w:b/>
                <w:color w:val="auto"/>
                <w:kern w:val="2"/>
                <w:sz w:val="22"/>
                <w:szCs w:val="22"/>
                <w:highlight w:val="none"/>
                <w:lang w:eastAsia="zh-CN"/>
              </w:rPr>
              <w:t>”</w:t>
            </w:r>
            <w:r>
              <w:rPr>
                <w:rFonts w:hint="default" w:ascii="Times New Roman" w:hAnsi="Times New Roman" w:cs="Times New Roman"/>
                <w:b/>
                <w:color w:val="auto"/>
                <w:kern w:val="2"/>
                <w:sz w:val="22"/>
                <w:szCs w:val="22"/>
                <w:highlight w:val="none"/>
              </w:rPr>
              <w:t>符合性分析</w:t>
            </w:r>
          </w:p>
          <w:p>
            <w:pPr>
              <w:pStyle w:val="14"/>
              <w:spacing w:before="0" w:after="0" w:line="360" w:lineRule="auto"/>
              <w:ind w:right="0" w:firstLine="442" w:firstLineChars="200"/>
              <w:jc w:val="left"/>
              <w:outlineLvl w:val="0"/>
              <w:rPr>
                <w:rFonts w:hint="default" w:ascii="Times New Roman" w:hAnsi="Times New Roman" w:cs="Times New Roman"/>
                <w:b/>
                <w:color w:val="auto"/>
                <w:kern w:val="2"/>
                <w:sz w:val="22"/>
                <w:szCs w:val="22"/>
                <w:highlight w:val="none"/>
                <w:lang w:val="en-US" w:eastAsia="zh-CN"/>
              </w:rPr>
            </w:pPr>
            <w:r>
              <w:rPr>
                <w:rFonts w:hint="eastAsia" w:ascii="Times New Roman" w:hAnsi="Times New Roman" w:cs="Times New Roman"/>
                <w:b/>
                <w:color w:val="auto"/>
                <w:kern w:val="2"/>
                <w:sz w:val="22"/>
                <w:szCs w:val="22"/>
                <w:highlight w:val="none"/>
                <w:lang w:val="en-US" w:eastAsia="zh-CN"/>
              </w:rPr>
              <w:t>13.1生态保护红线</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40" w:firstLineChars="200"/>
              <w:jc w:val="left"/>
              <w:textAlignment w:val="auto"/>
              <w:outlineLvl w:val="9"/>
              <w:rPr>
                <w:rFonts w:hint="eastAsia" w:ascii="Times New Roman" w:hAnsi="Times New Roman" w:eastAsia="宋体" w:cs="Times New Roman"/>
                <w:color w:val="auto"/>
                <w:kern w:val="0"/>
                <w:sz w:val="22"/>
                <w:szCs w:val="22"/>
                <w:highlight w:val="none"/>
                <w:lang w:eastAsia="zh-CN"/>
              </w:rPr>
            </w:pPr>
            <w:r>
              <w:rPr>
                <w:rFonts w:hint="eastAsia" w:ascii="Times New Roman" w:hAnsi="Times New Roman" w:cs="Times New Roman"/>
                <w:color w:val="auto"/>
                <w:kern w:val="0"/>
                <w:sz w:val="22"/>
                <w:szCs w:val="22"/>
                <w:highlight w:val="none"/>
                <w:lang w:eastAsia="zh-CN"/>
              </w:rPr>
              <w:t>本项目位于嘉州工业园水口园区，根据《乐山市人民政府人民政府关于落实生态保护红线、环境质量底线、资源利用上线和生态环境准入清单要求实施生态环境分区管控的通知》（乐府发</w:t>
            </w:r>
            <w:r>
              <w:rPr>
                <w:rFonts w:hint="eastAsia" w:ascii="Times New Roman" w:hAnsi="Times New Roman" w:cs="Times New Roman"/>
                <w:color w:val="auto"/>
                <w:kern w:val="0"/>
                <w:sz w:val="22"/>
                <w:szCs w:val="22"/>
                <w:highlight w:val="none"/>
                <w:lang w:val="en-US" w:eastAsia="zh-CN"/>
              </w:rPr>
              <w:t>[2021]7号</w:t>
            </w:r>
            <w:r>
              <w:rPr>
                <w:rFonts w:hint="eastAsia" w:ascii="Times New Roman" w:hAnsi="Times New Roman" w:cs="Times New Roman"/>
                <w:color w:val="auto"/>
                <w:kern w:val="0"/>
                <w:sz w:val="22"/>
                <w:szCs w:val="22"/>
                <w:highlight w:val="none"/>
                <w:lang w:eastAsia="zh-CN"/>
              </w:rPr>
              <w:t>），项目所在区域属于</w:t>
            </w:r>
            <w:r>
              <w:rPr>
                <w:rFonts w:hint="eastAsia" w:ascii="Times New Roman" w:hAnsi="Times New Roman" w:cs="Times New Roman"/>
                <w:color w:val="auto"/>
                <w:kern w:val="0"/>
                <w:sz w:val="22"/>
                <w:szCs w:val="22"/>
                <w:highlight w:val="none"/>
                <w:lang w:val="en-US" w:eastAsia="zh-CN"/>
              </w:rPr>
              <w:t>工业重点管控单元</w:t>
            </w:r>
            <w:r>
              <w:rPr>
                <w:rFonts w:hint="eastAsia" w:ascii="Times New Roman" w:hAnsi="Times New Roman" w:cs="Times New Roman"/>
                <w:color w:val="auto"/>
                <w:kern w:val="0"/>
                <w:sz w:val="22"/>
                <w:szCs w:val="22"/>
                <w:highlight w:val="none"/>
                <w:lang w:eastAsia="zh-CN"/>
              </w:rPr>
              <w:t>。本项目建设与文件提出的区县总体生态环境管控要求符合性分析见下表：</w:t>
            </w:r>
          </w:p>
          <w:p>
            <w:pPr>
              <w:adjustRightInd w:val="0"/>
              <w:jc w:val="center"/>
              <w:textAlignment w:val="baseline"/>
              <w:rPr>
                <w:rFonts w:hint="default" w:ascii="Times New Roman" w:hAnsi="Times New Roman" w:cs="Times New Roman"/>
                <w:b/>
                <w:bCs/>
                <w:color w:val="auto"/>
                <w:szCs w:val="21"/>
                <w:highlight w:val="none"/>
                <w:lang w:val="en-US" w:eastAsia="zh-CN"/>
              </w:rPr>
            </w:pPr>
            <w:r>
              <w:rPr>
                <w:rFonts w:hint="default" w:ascii="Times New Roman" w:hAnsi="Times New Roman" w:cs="Times New Roman"/>
                <w:b/>
                <w:bCs/>
                <w:color w:val="auto"/>
                <w:szCs w:val="21"/>
                <w:highlight w:val="none"/>
                <w:lang w:val="en-US" w:eastAsia="zh-CN"/>
              </w:rPr>
              <w:t>表1-</w:t>
            </w:r>
            <w:r>
              <w:rPr>
                <w:rFonts w:hint="eastAsia" w:ascii="Times New Roman" w:hAnsi="Times New Roman" w:cs="Times New Roman"/>
                <w:b/>
                <w:bCs/>
                <w:color w:val="auto"/>
                <w:szCs w:val="21"/>
                <w:highlight w:val="none"/>
                <w:lang w:val="en-US" w:eastAsia="zh-CN"/>
              </w:rPr>
              <w:t>4</w:t>
            </w:r>
            <w:r>
              <w:rPr>
                <w:rFonts w:hint="default" w:ascii="Times New Roman" w:hAnsi="Times New Roman" w:cs="Times New Roman"/>
                <w:b/>
                <w:bCs/>
                <w:color w:val="auto"/>
                <w:szCs w:val="21"/>
                <w:highlight w:val="none"/>
                <w:lang w:val="en-US" w:eastAsia="zh-CN"/>
              </w:rPr>
              <w:t xml:space="preserve"> 与乐府发[2021]7号文件符合性分析</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2799"/>
              <w:gridCol w:w="2465"/>
              <w:gridCol w:w="8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73"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outlineLvl w:val="9"/>
                    <w:rPr>
                      <w:rFonts w:hint="default" w:ascii="Times New Roman" w:hAnsi="Times New Roman" w:cs="Times New Roman"/>
                      <w:color w:val="auto"/>
                      <w:kern w:val="0"/>
                      <w:sz w:val="21"/>
                      <w:szCs w:val="21"/>
                      <w:highlight w:val="none"/>
                      <w:vertAlign w:val="baseline"/>
                      <w:lang w:val="en-US" w:eastAsia="zh-CN"/>
                    </w:rPr>
                  </w:pPr>
                  <w:r>
                    <w:rPr>
                      <w:rFonts w:hint="default" w:ascii="Times New Roman" w:hAnsi="Times New Roman" w:cs="Times New Roman"/>
                      <w:color w:val="auto"/>
                      <w:kern w:val="0"/>
                      <w:sz w:val="21"/>
                      <w:szCs w:val="21"/>
                      <w:highlight w:val="none"/>
                      <w:vertAlign w:val="baseline"/>
                      <w:lang w:val="en-US" w:eastAsia="zh-CN"/>
                    </w:rPr>
                    <w:t>区域</w:t>
                  </w:r>
                </w:p>
              </w:tc>
              <w:tc>
                <w:tcPr>
                  <w:tcW w:w="2799"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outlineLvl w:val="9"/>
                    <w:rPr>
                      <w:rFonts w:hint="default" w:ascii="Times New Roman" w:hAnsi="Times New Roman" w:cs="Times New Roman"/>
                      <w:color w:val="auto"/>
                      <w:kern w:val="0"/>
                      <w:sz w:val="21"/>
                      <w:szCs w:val="21"/>
                      <w:highlight w:val="none"/>
                      <w:vertAlign w:val="baseline"/>
                      <w:lang w:val="en-US" w:eastAsia="zh-CN"/>
                    </w:rPr>
                  </w:pPr>
                  <w:r>
                    <w:rPr>
                      <w:rFonts w:hint="default" w:ascii="Times New Roman" w:hAnsi="Times New Roman" w:cs="Times New Roman"/>
                      <w:color w:val="auto"/>
                      <w:kern w:val="0"/>
                      <w:sz w:val="21"/>
                      <w:szCs w:val="21"/>
                      <w:highlight w:val="none"/>
                      <w:vertAlign w:val="baseline"/>
                      <w:lang w:val="en-US" w:eastAsia="zh-CN"/>
                    </w:rPr>
                    <w:t>乐府发[2021]7号</w:t>
                  </w:r>
                </w:p>
              </w:tc>
              <w:tc>
                <w:tcPr>
                  <w:tcW w:w="2465"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outlineLvl w:val="9"/>
                    <w:rPr>
                      <w:rFonts w:hint="default" w:ascii="Times New Roman" w:hAnsi="Times New Roman" w:cs="Times New Roman"/>
                      <w:color w:val="auto"/>
                      <w:kern w:val="0"/>
                      <w:sz w:val="21"/>
                      <w:szCs w:val="21"/>
                      <w:highlight w:val="none"/>
                      <w:vertAlign w:val="baseline"/>
                      <w:lang w:val="en-US" w:eastAsia="zh-CN"/>
                    </w:rPr>
                  </w:pPr>
                  <w:r>
                    <w:rPr>
                      <w:rFonts w:hint="default" w:ascii="Times New Roman" w:hAnsi="Times New Roman" w:cs="Times New Roman"/>
                      <w:color w:val="auto"/>
                      <w:kern w:val="0"/>
                      <w:sz w:val="21"/>
                      <w:szCs w:val="21"/>
                      <w:highlight w:val="none"/>
                      <w:vertAlign w:val="baseline"/>
                      <w:lang w:val="en-US" w:eastAsia="zh-CN"/>
                    </w:rPr>
                    <w:t>本项目</w:t>
                  </w:r>
                </w:p>
              </w:tc>
              <w:tc>
                <w:tcPr>
                  <w:tcW w:w="882"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outlineLvl w:val="9"/>
                    <w:rPr>
                      <w:rFonts w:hint="default" w:ascii="Times New Roman" w:hAnsi="Times New Roman" w:cs="Times New Roman"/>
                      <w:color w:val="auto"/>
                      <w:kern w:val="0"/>
                      <w:sz w:val="21"/>
                      <w:szCs w:val="21"/>
                      <w:highlight w:val="none"/>
                      <w:vertAlign w:val="baseline"/>
                      <w:lang w:val="en-US" w:eastAsia="zh-CN"/>
                    </w:rPr>
                  </w:pPr>
                  <w:r>
                    <w:rPr>
                      <w:rFonts w:hint="default" w:ascii="Times New Roman" w:hAnsi="Times New Roman" w:cs="Times New Roman"/>
                      <w:color w:val="auto"/>
                      <w:kern w:val="0"/>
                      <w:sz w:val="21"/>
                      <w:szCs w:val="21"/>
                      <w:highlight w:val="none"/>
                      <w:vertAlign w:val="baseline"/>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673" w:type="dxa"/>
                  <w:vMerge w:val="restar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outlineLvl w:val="9"/>
                    <w:rPr>
                      <w:rFonts w:hint="default" w:ascii="Times New Roman" w:hAnsi="Times New Roman" w:cs="Times New Roman"/>
                      <w:color w:val="auto"/>
                      <w:kern w:val="0"/>
                      <w:sz w:val="21"/>
                      <w:szCs w:val="21"/>
                      <w:highlight w:val="none"/>
                      <w:vertAlign w:val="baseline"/>
                      <w:lang w:val="en-US" w:eastAsia="zh-CN"/>
                    </w:rPr>
                  </w:pPr>
                  <w:r>
                    <w:rPr>
                      <w:rFonts w:hint="eastAsia" w:ascii="Times New Roman" w:hAnsi="Times New Roman" w:cs="Times New Roman"/>
                      <w:color w:val="auto"/>
                      <w:kern w:val="0"/>
                      <w:sz w:val="21"/>
                      <w:szCs w:val="21"/>
                      <w:highlight w:val="none"/>
                      <w:vertAlign w:val="baseline"/>
                      <w:lang w:val="en-US" w:eastAsia="zh-CN"/>
                    </w:rPr>
                    <w:t>市中区总体</w:t>
                  </w:r>
                  <w:r>
                    <w:rPr>
                      <w:rFonts w:hint="default" w:ascii="Times New Roman" w:hAnsi="Times New Roman" w:cs="Times New Roman"/>
                      <w:color w:val="auto"/>
                      <w:kern w:val="0"/>
                      <w:sz w:val="21"/>
                      <w:szCs w:val="21"/>
                      <w:highlight w:val="none"/>
                      <w:vertAlign w:val="baseline"/>
                      <w:lang w:val="en-US" w:eastAsia="zh-CN"/>
                    </w:rPr>
                    <w:t>生态环境</w:t>
                  </w:r>
                  <w:r>
                    <w:rPr>
                      <w:rFonts w:hint="eastAsia" w:ascii="Times New Roman" w:hAnsi="Times New Roman" w:cs="Times New Roman"/>
                      <w:color w:val="auto"/>
                      <w:kern w:val="0"/>
                      <w:sz w:val="21"/>
                      <w:szCs w:val="21"/>
                      <w:highlight w:val="none"/>
                      <w:vertAlign w:val="baseline"/>
                      <w:lang w:val="en-US" w:eastAsia="zh-CN"/>
                    </w:rPr>
                    <w:t>管控</w:t>
                  </w:r>
                  <w:r>
                    <w:rPr>
                      <w:rFonts w:hint="default" w:ascii="Times New Roman" w:hAnsi="Times New Roman" w:cs="Times New Roman"/>
                      <w:color w:val="auto"/>
                      <w:kern w:val="0"/>
                      <w:sz w:val="21"/>
                      <w:szCs w:val="21"/>
                      <w:highlight w:val="none"/>
                      <w:vertAlign w:val="baseline"/>
                      <w:lang w:val="en-US" w:eastAsia="zh-CN"/>
                    </w:rPr>
                    <w:t>要求</w:t>
                  </w:r>
                </w:p>
              </w:tc>
              <w:tc>
                <w:tcPr>
                  <w:tcW w:w="2799" w:type="dxa"/>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jc w:val="left"/>
                    <w:textAlignment w:val="auto"/>
                    <w:outlineLvl w:val="9"/>
                    <w:rPr>
                      <w:rFonts w:hint="default" w:ascii="Times New Roman" w:hAnsi="Times New Roman" w:cs="Times New Roman"/>
                      <w:color w:val="auto"/>
                      <w:kern w:val="0"/>
                      <w:sz w:val="21"/>
                      <w:szCs w:val="21"/>
                      <w:highlight w:val="none"/>
                      <w:vertAlign w:val="baseline"/>
                      <w:lang w:val="en-US" w:eastAsia="zh-CN"/>
                    </w:rPr>
                  </w:pPr>
                  <w:r>
                    <w:rPr>
                      <w:rFonts w:hint="eastAsia" w:ascii="Times New Roman" w:hAnsi="Times New Roman" w:cs="Times New Roman"/>
                      <w:color w:val="auto"/>
                      <w:kern w:val="0"/>
                      <w:sz w:val="21"/>
                      <w:szCs w:val="21"/>
                      <w:highlight w:val="none"/>
                      <w:vertAlign w:val="baseline"/>
                      <w:lang w:val="en-US" w:eastAsia="zh-CN"/>
                    </w:rPr>
                    <w:t>优化调整产业结构，严格生态环境准入要求。</w:t>
                  </w:r>
                </w:p>
              </w:tc>
              <w:tc>
                <w:tcPr>
                  <w:tcW w:w="2465"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outlineLvl w:val="9"/>
                    <w:rPr>
                      <w:rFonts w:hint="default" w:ascii="Times New Roman" w:hAnsi="Times New Roman" w:cs="Times New Roman"/>
                      <w:color w:val="auto"/>
                      <w:kern w:val="0"/>
                      <w:sz w:val="21"/>
                      <w:szCs w:val="21"/>
                      <w:highlight w:val="yellow"/>
                      <w:vertAlign w:val="baseline"/>
                      <w:lang w:val="en-US" w:eastAsia="zh-CN"/>
                    </w:rPr>
                  </w:pPr>
                  <w:r>
                    <w:rPr>
                      <w:rFonts w:hint="default" w:ascii="Times New Roman" w:hAnsi="Times New Roman" w:cs="Times New Roman"/>
                      <w:color w:val="auto"/>
                      <w:kern w:val="0"/>
                      <w:sz w:val="21"/>
                      <w:szCs w:val="21"/>
                      <w:highlight w:val="none"/>
                      <w:vertAlign w:val="baseline"/>
                      <w:lang w:val="en-US" w:eastAsia="zh-CN"/>
                    </w:rPr>
                    <w:t>本项目</w:t>
                  </w:r>
                  <w:r>
                    <w:rPr>
                      <w:rFonts w:hint="eastAsia" w:ascii="Times New Roman" w:hAnsi="Times New Roman" w:cs="Times New Roman"/>
                      <w:color w:val="auto"/>
                      <w:kern w:val="0"/>
                      <w:sz w:val="21"/>
                      <w:szCs w:val="21"/>
                      <w:highlight w:val="none"/>
                      <w:vertAlign w:val="baseline"/>
                      <w:lang w:val="en-US" w:eastAsia="zh-CN"/>
                    </w:rPr>
                    <w:t>不属于高排放、高耗能项目，符合嘉州工业园区产业规划</w:t>
                  </w:r>
                  <w:r>
                    <w:rPr>
                      <w:rFonts w:hint="default" w:ascii="Times New Roman" w:hAnsi="Times New Roman" w:cs="Times New Roman"/>
                      <w:color w:val="auto"/>
                      <w:kern w:val="0"/>
                      <w:sz w:val="21"/>
                      <w:szCs w:val="21"/>
                      <w:highlight w:val="none"/>
                      <w:vertAlign w:val="baseline"/>
                      <w:lang w:val="en-US" w:eastAsia="zh-CN"/>
                    </w:rPr>
                    <w:t>。</w:t>
                  </w:r>
                </w:p>
              </w:tc>
              <w:tc>
                <w:tcPr>
                  <w:tcW w:w="882"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outlineLvl w:val="9"/>
                    <w:rPr>
                      <w:rFonts w:hint="default" w:ascii="Times New Roman" w:hAnsi="Times New Roman" w:cs="Times New Roman"/>
                      <w:color w:val="auto"/>
                      <w:kern w:val="0"/>
                      <w:sz w:val="21"/>
                      <w:szCs w:val="21"/>
                      <w:highlight w:val="none"/>
                      <w:vertAlign w:val="baseline"/>
                      <w:lang w:val="en-US" w:eastAsia="zh-CN"/>
                    </w:rPr>
                  </w:pPr>
                  <w:r>
                    <w:rPr>
                      <w:rFonts w:hint="default" w:ascii="Times New Roman" w:hAnsi="Times New Roman" w:cs="Times New Roman"/>
                      <w:color w:val="auto"/>
                      <w:kern w:val="0"/>
                      <w:sz w:val="21"/>
                      <w:szCs w:val="21"/>
                      <w:highlight w:val="none"/>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jc w:val="center"/>
              </w:trPr>
              <w:tc>
                <w:tcPr>
                  <w:tcW w:w="673"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outlineLvl w:val="9"/>
                    <w:rPr>
                      <w:rFonts w:hint="default" w:ascii="Times New Roman" w:hAnsi="Times New Roman" w:cs="Times New Roman"/>
                      <w:color w:val="auto"/>
                      <w:kern w:val="0"/>
                      <w:sz w:val="21"/>
                      <w:szCs w:val="21"/>
                      <w:highlight w:val="none"/>
                      <w:vertAlign w:val="baseline"/>
                      <w:lang w:val="en-US" w:eastAsia="zh-CN"/>
                    </w:rPr>
                  </w:pPr>
                </w:p>
              </w:tc>
              <w:tc>
                <w:tcPr>
                  <w:tcW w:w="2799" w:type="dxa"/>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jc w:val="left"/>
                    <w:textAlignment w:val="auto"/>
                    <w:outlineLvl w:val="9"/>
                    <w:rPr>
                      <w:rFonts w:hint="default" w:ascii="Times New Roman" w:hAnsi="Times New Roman" w:cs="Times New Roman"/>
                      <w:color w:val="auto"/>
                      <w:kern w:val="0"/>
                      <w:sz w:val="21"/>
                      <w:szCs w:val="21"/>
                      <w:highlight w:val="none"/>
                      <w:vertAlign w:val="baseline"/>
                      <w:lang w:val="en-US" w:eastAsia="zh-CN"/>
                    </w:rPr>
                  </w:pPr>
                  <w:r>
                    <w:rPr>
                      <w:rFonts w:hint="eastAsia" w:ascii="Times New Roman" w:hAnsi="Times New Roman" w:cs="Times New Roman"/>
                      <w:color w:val="auto"/>
                      <w:kern w:val="0"/>
                      <w:sz w:val="21"/>
                      <w:szCs w:val="21"/>
                      <w:highlight w:val="none"/>
                      <w:vertAlign w:val="baseline"/>
                      <w:lang w:val="en-US" w:eastAsia="zh-CN"/>
                    </w:rPr>
                    <w:t>推动城市建成区内企业“退城入园”，严格控制园外企业无序扩张。</w:t>
                  </w:r>
                </w:p>
              </w:tc>
              <w:tc>
                <w:tcPr>
                  <w:tcW w:w="2465"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outlineLvl w:val="9"/>
                    <w:rPr>
                      <w:rFonts w:hint="default" w:ascii="Times New Roman" w:hAnsi="Times New Roman" w:cs="Times New Roman"/>
                      <w:color w:val="auto"/>
                      <w:kern w:val="0"/>
                      <w:sz w:val="21"/>
                      <w:szCs w:val="21"/>
                      <w:highlight w:val="yellow"/>
                      <w:vertAlign w:val="baseline"/>
                      <w:lang w:val="en-US" w:eastAsia="zh-CN"/>
                    </w:rPr>
                  </w:pPr>
                  <w:r>
                    <w:rPr>
                      <w:rFonts w:hint="default" w:ascii="Times New Roman" w:hAnsi="Times New Roman" w:cs="Times New Roman"/>
                      <w:color w:val="auto"/>
                      <w:kern w:val="0"/>
                      <w:sz w:val="21"/>
                      <w:szCs w:val="21"/>
                      <w:highlight w:val="none"/>
                      <w:vertAlign w:val="baseline"/>
                      <w:lang w:val="en-US" w:eastAsia="zh-CN"/>
                    </w:rPr>
                    <w:t>本项目</w:t>
                  </w:r>
                  <w:r>
                    <w:rPr>
                      <w:rFonts w:hint="eastAsia" w:ascii="Times New Roman" w:hAnsi="Times New Roman" w:cs="Times New Roman"/>
                      <w:color w:val="auto"/>
                      <w:kern w:val="0"/>
                      <w:sz w:val="21"/>
                      <w:szCs w:val="21"/>
                      <w:highlight w:val="none"/>
                      <w:vertAlign w:val="baseline"/>
                      <w:lang w:val="en-US" w:eastAsia="zh-CN"/>
                    </w:rPr>
                    <w:t>位于嘉州工业园区内</w:t>
                  </w:r>
                  <w:r>
                    <w:rPr>
                      <w:rFonts w:hint="default" w:ascii="Times New Roman" w:hAnsi="Times New Roman" w:cs="Times New Roman"/>
                      <w:color w:val="auto"/>
                      <w:kern w:val="0"/>
                      <w:sz w:val="21"/>
                      <w:szCs w:val="21"/>
                      <w:highlight w:val="none"/>
                      <w:vertAlign w:val="baseline"/>
                      <w:lang w:val="en-US" w:eastAsia="zh-CN"/>
                    </w:rPr>
                    <w:t>。</w:t>
                  </w:r>
                </w:p>
              </w:tc>
              <w:tc>
                <w:tcPr>
                  <w:tcW w:w="882"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outlineLvl w:val="9"/>
                    <w:rPr>
                      <w:rFonts w:hint="default" w:ascii="Times New Roman" w:hAnsi="Times New Roman" w:cs="Times New Roman"/>
                      <w:color w:val="auto"/>
                      <w:kern w:val="0"/>
                      <w:sz w:val="21"/>
                      <w:szCs w:val="21"/>
                      <w:highlight w:val="none"/>
                      <w:vertAlign w:val="baseline"/>
                      <w:lang w:val="en-US" w:eastAsia="zh-CN"/>
                    </w:rPr>
                  </w:pPr>
                  <w:r>
                    <w:rPr>
                      <w:rFonts w:hint="default" w:ascii="Times New Roman" w:hAnsi="Times New Roman" w:cs="Times New Roman"/>
                      <w:color w:val="auto"/>
                      <w:kern w:val="0"/>
                      <w:sz w:val="21"/>
                      <w:szCs w:val="21"/>
                      <w:highlight w:val="none"/>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3" w:hRule="atLeast"/>
                <w:jc w:val="center"/>
              </w:trPr>
              <w:tc>
                <w:tcPr>
                  <w:tcW w:w="673"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outlineLvl w:val="9"/>
                    <w:rPr>
                      <w:rFonts w:hint="default" w:ascii="Times New Roman" w:hAnsi="Times New Roman" w:cs="Times New Roman"/>
                      <w:color w:val="auto"/>
                      <w:kern w:val="0"/>
                      <w:sz w:val="21"/>
                      <w:szCs w:val="21"/>
                      <w:highlight w:val="none"/>
                      <w:vertAlign w:val="baseline"/>
                      <w:lang w:val="en-US" w:eastAsia="zh-CN"/>
                    </w:rPr>
                  </w:pPr>
                </w:p>
              </w:tc>
              <w:tc>
                <w:tcPr>
                  <w:tcW w:w="2799" w:type="dxa"/>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jc w:val="left"/>
                    <w:textAlignment w:val="auto"/>
                    <w:outlineLvl w:val="9"/>
                    <w:rPr>
                      <w:rFonts w:hint="default" w:ascii="Times New Roman" w:hAnsi="Times New Roman" w:cs="Times New Roman"/>
                      <w:color w:val="auto"/>
                      <w:kern w:val="0"/>
                      <w:sz w:val="21"/>
                      <w:szCs w:val="21"/>
                      <w:highlight w:val="none"/>
                      <w:vertAlign w:val="baseline"/>
                      <w:lang w:val="en-US" w:eastAsia="zh-CN"/>
                    </w:rPr>
                  </w:pPr>
                  <w:r>
                    <w:rPr>
                      <w:rFonts w:hint="eastAsia" w:ascii="Times New Roman" w:hAnsi="Times New Roman" w:cs="Times New Roman"/>
                      <w:color w:val="auto"/>
                      <w:kern w:val="0"/>
                      <w:sz w:val="21"/>
                      <w:szCs w:val="21"/>
                      <w:highlight w:val="none"/>
                      <w:vertAlign w:val="baseline"/>
                      <w:lang w:val="en-US" w:eastAsia="zh-CN"/>
                    </w:rPr>
                    <w:t>加强泥溪河、茫溪河等小流域污染治理，严控泥溪河、茫溪河流域涉水排放项目及水产养殖规模；加强农业面源污染治理，严格控制化肥农药使用量，积极推广畜禽清洁养殖和畜禽粪污无害化、资源化利用技术。</w:t>
                  </w:r>
                </w:p>
              </w:tc>
              <w:tc>
                <w:tcPr>
                  <w:tcW w:w="2465"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outlineLvl w:val="9"/>
                    <w:rPr>
                      <w:rFonts w:hint="default" w:ascii="Times New Roman" w:hAnsi="Times New Roman" w:cs="Times New Roman"/>
                      <w:color w:val="auto"/>
                      <w:kern w:val="0"/>
                      <w:sz w:val="21"/>
                      <w:szCs w:val="21"/>
                      <w:highlight w:val="yellow"/>
                      <w:vertAlign w:val="baseline"/>
                      <w:lang w:val="en-US" w:eastAsia="zh-CN"/>
                    </w:rPr>
                  </w:pPr>
                  <w:r>
                    <w:rPr>
                      <w:rFonts w:hint="eastAsia" w:ascii="Times New Roman" w:hAnsi="Times New Roman" w:cs="Times New Roman"/>
                      <w:color w:val="auto"/>
                      <w:kern w:val="0"/>
                      <w:sz w:val="21"/>
                      <w:szCs w:val="21"/>
                      <w:highlight w:val="none"/>
                      <w:vertAlign w:val="baseline"/>
                      <w:lang w:val="en-US" w:eastAsia="zh-CN"/>
                    </w:rPr>
                    <w:t>本项目磨边、清洗、冷却水循环使用，不外排；水帘柜废水循环使用，一年更换一次，排入乐山市工业集中区污水处理厂；生活污水经预处理后排入乐山市工业集中区污水处理厂处理后达标排放。</w:t>
                  </w:r>
                </w:p>
              </w:tc>
              <w:tc>
                <w:tcPr>
                  <w:tcW w:w="882"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outlineLvl w:val="9"/>
                    <w:rPr>
                      <w:rFonts w:hint="default" w:ascii="Times New Roman" w:hAnsi="Times New Roman" w:cs="Times New Roman"/>
                      <w:color w:val="auto"/>
                      <w:kern w:val="0"/>
                      <w:sz w:val="21"/>
                      <w:szCs w:val="21"/>
                      <w:highlight w:val="none"/>
                      <w:vertAlign w:val="baseline"/>
                      <w:lang w:val="en-US" w:eastAsia="zh-CN"/>
                    </w:rPr>
                  </w:pPr>
                  <w:r>
                    <w:rPr>
                      <w:rFonts w:hint="default" w:ascii="Times New Roman" w:hAnsi="Times New Roman" w:cs="Times New Roman"/>
                      <w:color w:val="auto"/>
                      <w:kern w:val="0"/>
                      <w:sz w:val="21"/>
                      <w:szCs w:val="21"/>
                      <w:highlight w:val="none"/>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0" w:hRule="atLeast"/>
                <w:jc w:val="center"/>
              </w:trPr>
              <w:tc>
                <w:tcPr>
                  <w:tcW w:w="673"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outlineLvl w:val="9"/>
                    <w:rPr>
                      <w:rFonts w:hint="default" w:ascii="Times New Roman" w:hAnsi="Times New Roman" w:cs="Times New Roman"/>
                      <w:color w:val="auto"/>
                      <w:kern w:val="0"/>
                      <w:sz w:val="21"/>
                      <w:szCs w:val="21"/>
                      <w:highlight w:val="none"/>
                      <w:vertAlign w:val="baseline"/>
                      <w:lang w:val="en-US" w:eastAsia="zh-CN"/>
                    </w:rPr>
                  </w:pPr>
                </w:p>
              </w:tc>
              <w:tc>
                <w:tcPr>
                  <w:tcW w:w="2799" w:type="dxa"/>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jc w:val="left"/>
                    <w:textAlignment w:val="auto"/>
                    <w:outlineLvl w:val="9"/>
                    <w:rPr>
                      <w:rFonts w:hint="eastAsia" w:ascii="Times New Roman" w:hAnsi="Times New Roman" w:cs="Times New Roman"/>
                      <w:color w:val="auto"/>
                      <w:kern w:val="0"/>
                      <w:sz w:val="21"/>
                      <w:szCs w:val="21"/>
                      <w:highlight w:val="none"/>
                      <w:vertAlign w:val="baseline"/>
                      <w:lang w:val="en-US" w:eastAsia="zh-CN"/>
                    </w:rPr>
                  </w:pPr>
                  <w:r>
                    <w:rPr>
                      <w:rFonts w:hint="eastAsia" w:ascii="Times New Roman" w:hAnsi="Times New Roman" w:cs="Times New Roman"/>
                      <w:color w:val="auto"/>
                      <w:kern w:val="0"/>
                      <w:sz w:val="21"/>
                      <w:szCs w:val="21"/>
                      <w:highlight w:val="none"/>
                      <w:vertAlign w:val="baseline"/>
                      <w:lang w:val="en-US" w:eastAsia="zh-CN"/>
                    </w:rPr>
                    <w:t>加强区域大气污染治理，推进涉挥发性有机物排放项目、砖瓦企业深度治理改造；执行大气污染物特别排放限值。</w:t>
                  </w:r>
                </w:p>
              </w:tc>
              <w:tc>
                <w:tcPr>
                  <w:tcW w:w="2465"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outlineLvl w:val="9"/>
                    <w:rPr>
                      <w:rFonts w:hint="default" w:ascii="Times New Roman" w:hAnsi="Times New Roman" w:cs="Times New Roman"/>
                      <w:color w:val="auto"/>
                      <w:kern w:val="0"/>
                      <w:sz w:val="21"/>
                      <w:szCs w:val="21"/>
                      <w:highlight w:val="none"/>
                      <w:vertAlign w:val="baseline"/>
                      <w:lang w:val="en-US" w:eastAsia="zh-CN"/>
                    </w:rPr>
                  </w:pPr>
                  <w:r>
                    <w:rPr>
                      <w:rFonts w:hint="eastAsia" w:ascii="Times New Roman" w:hAnsi="Times New Roman" w:cs="Times New Roman"/>
                      <w:color w:val="auto"/>
                      <w:kern w:val="0"/>
                      <w:sz w:val="21"/>
                      <w:szCs w:val="21"/>
                      <w:highlight w:val="none"/>
                      <w:vertAlign w:val="baseline"/>
                      <w:lang w:val="en-US" w:eastAsia="zh-CN"/>
                    </w:rPr>
                    <w:t>项目拟采用两级活性炭对挥发性有机物进行处理后达标排放。</w:t>
                  </w:r>
                </w:p>
              </w:tc>
              <w:tc>
                <w:tcPr>
                  <w:tcW w:w="882"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outlineLvl w:val="9"/>
                    <w:rPr>
                      <w:rFonts w:hint="default" w:ascii="Times New Roman" w:hAnsi="Times New Roman" w:cs="Times New Roman"/>
                      <w:color w:val="auto"/>
                      <w:kern w:val="0"/>
                      <w:sz w:val="21"/>
                      <w:szCs w:val="21"/>
                      <w:highlight w:val="none"/>
                      <w:vertAlign w:val="baseline"/>
                      <w:lang w:val="en-US" w:eastAsia="zh-CN"/>
                    </w:rPr>
                  </w:pPr>
                  <w:r>
                    <w:rPr>
                      <w:rFonts w:hint="default" w:ascii="Times New Roman" w:hAnsi="Times New Roman" w:cs="Times New Roman"/>
                      <w:color w:val="auto"/>
                      <w:kern w:val="0"/>
                      <w:sz w:val="21"/>
                      <w:szCs w:val="21"/>
                      <w:highlight w:val="none"/>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673"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outlineLvl w:val="9"/>
                    <w:rPr>
                      <w:rFonts w:hint="default" w:ascii="Times New Roman" w:hAnsi="Times New Roman" w:cs="Times New Roman"/>
                      <w:color w:val="auto"/>
                      <w:kern w:val="0"/>
                      <w:sz w:val="21"/>
                      <w:szCs w:val="21"/>
                      <w:highlight w:val="none"/>
                      <w:vertAlign w:val="baseline"/>
                      <w:lang w:val="en-US" w:eastAsia="zh-CN"/>
                    </w:rPr>
                  </w:pPr>
                </w:p>
              </w:tc>
              <w:tc>
                <w:tcPr>
                  <w:tcW w:w="2799" w:type="dxa"/>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jc w:val="left"/>
                    <w:textAlignment w:val="auto"/>
                    <w:outlineLvl w:val="9"/>
                    <w:rPr>
                      <w:rFonts w:hint="eastAsia" w:ascii="Times New Roman" w:hAnsi="Times New Roman" w:cs="Times New Roman"/>
                      <w:color w:val="auto"/>
                      <w:kern w:val="0"/>
                      <w:sz w:val="21"/>
                      <w:szCs w:val="21"/>
                      <w:highlight w:val="none"/>
                      <w:vertAlign w:val="baseline"/>
                      <w:lang w:val="en-US" w:eastAsia="zh-CN"/>
                    </w:rPr>
                  </w:pPr>
                  <w:r>
                    <w:rPr>
                      <w:rFonts w:hint="eastAsia" w:ascii="Times New Roman" w:hAnsi="Times New Roman" w:cs="Times New Roman"/>
                      <w:color w:val="auto"/>
                      <w:kern w:val="0"/>
                      <w:sz w:val="21"/>
                      <w:szCs w:val="21"/>
                      <w:highlight w:val="none"/>
                      <w:vertAlign w:val="baseline"/>
                      <w:lang w:val="en-US" w:eastAsia="zh-CN"/>
                    </w:rPr>
                    <w:t>加强涉危涉化企业管控，严控环境风险。</w:t>
                  </w:r>
                </w:p>
              </w:tc>
              <w:tc>
                <w:tcPr>
                  <w:tcW w:w="2465"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outlineLvl w:val="9"/>
                    <w:rPr>
                      <w:rFonts w:hint="default" w:ascii="Times New Roman" w:hAnsi="Times New Roman" w:cs="Times New Roman"/>
                      <w:color w:val="auto"/>
                      <w:kern w:val="0"/>
                      <w:sz w:val="21"/>
                      <w:szCs w:val="21"/>
                      <w:highlight w:val="none"/>
                      <w:vertAlign w:val="baseline"/>
                      <w:lang w:val="en-US" w:eastAsia="zh-CN"/>
                    </w:rPr>
                  </w:pPr>
                  <w:r>
                    <w:rPr>
                      <w:rFonts w:hint="eastAsia" w:ascii="Times New Roman" w:hAnsi="Times New Roman" w:cs="Times New Roman"/>
                      <w:color w:val="auto"/>
                      <w:kern w:val="0"/>
                      <w:sz w:val="21"/>
                      <w:szCs w:val="21"/>
                      <w:highlight w:val="none"/>
                      <w:vertAlign w:val="baseline"/>
                      <w:lang w:val="en-US" w:eastAsia="zh-CN"/>
                    </w:rPr>
                    <w:t>项目采取分区防渗，做好相应的风险防范措施。</w:t>
                  </w:r>
                </w:p>
              </w:tc>
              <w:tc>
                <w:tcPr>
                  <w:tcW w:w="882"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outlineLvl w:val="9"/>
                    <w:rPr>
                      <w:rFonts w:hint="default" w:ascii="Times New Roman" w:hAnsi="Times New Roman" w:cs="Times New Roman"/>
                      <w:color w:val="auto"/>
                      <w:kern w:val="0"/>
                      <w:sz w:val="21"/>
                      <w:szCs w:val="21"/>
                      <w:highlight w:val="none"/>
                      <w:vertAlign w:val="baseline"/>
                      <w:lang w:val="en-US" w:eastAsia="zh-CN"/>
                    </w:rPr>
                  </w:pPr>
                  <w:r>
                    <w:rPr>
                      <w:rFonts w:hint="default" w:ascii="Times New Roman" w:hAnsi="Times New Roman" w:cs="Times New Roman"/>
                      <w:color w:val="auto"/>
                      <w:kern w:val="0"/>
                      <w:sz w:val="21"/>
                      <w:szCs w:val="21"/>
                      <w:highlight w:val="none"/>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673"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outlineLvl w:val="9"/>
                    <w:rPr>
                      <w:rFonts w:hint="default" w:ascii="Times New Roman" w:hAnsi="Times New Roman" w:cs="Times New Roman"/>
                      <w:color w:val="auto"/>
                      <w:kern w:val="0"/>
                      <w:sz w:val="21"/>
                      <w:szCs w:val="21"/>
                      <w:highlight w:val="none"/>
                      <w:vertAlign w:val="baseline"/>
                      <w:lang w:val="en-US" w:eastAsia="zh-CN"/>
                    </w:rPr>
                  </w:pPr>
                </w:p>
              </w:tc>
              <w:tc>
                <w:tcPr>
                  <w:tcW w:w="2799" w:type="dxa"/>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jc w:val="left"/>
                    <w:textAlignment w:val="auto"/>
                    <w:outlineLvl w:val="9"/>
                    <w:rPr>
                      <w:rFonts w:hint="eastAsia" w:ascii="Times New Roman" w:hAnsi="Times New Roman" w:cs="Times New Roman"/>
                      <w:color w:val="auto"/>
                      <w:kern w:val="0"/>
                      <w:sz w:val="21"/>
                      <w:szCs w:val="21"/>
                      <w:highlight w:val="none"/>
                      <w:vertAlign w:val="baseline"/>
                      <w:lang w:val="en-US" w:eastAsia="zh-CN"/>
                    </w:rPr>
                  </w:pPr>
                  <w:r>
                    <w:rPr>
                      <w:rFonts w:hint="eastAsia" w:ascii="Times New Roman" w:hAnsi="Times New Roman" w:cs="Times New Roman"/>
                      <w:color w:val="auto"/>
                      <w:kern w:val="0"/>
                      <w:sz w:val="21"/>
                      <w:szCs w:val="21"/>
                      <w:highlight w:val="none"/>
                      <w:vertAlign w:val="baseline"/>
                      <w:lang w:val="en-US" w:eastAsia="zh-CN"/>
                    </w:rPr>
                    <w:t>加强城乡生态环境保护基础设施建设。</w:t>
                  </w:r>
                </w:p>
              </w:tc>
              <w:tc>
                <w:tcPr>
                  <w:tcW w:w="2465"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outlineLvl w:val="9"/>
                    <w:rPr>
                      <w:rFonts w:hint="default" w:ascii="Times New Roman" w:hAnsi="Times New Roman" w:cs="Times New Roman"/>
                      <w:color w:val="auto"/>
                      <w:kern w:val="0"/>
                      <w:sz w:val="21"/>
                      <w:szCs w:val="21"/>
                      <w:highlight w:val="yellow"/>
                      <w:vertAlign w:val="baseline"/>
                      <w:lang w:val="en-US" w:eastAsia="zh-CN"/>
                    </w:rPr>
                  </w:pPr>
                  <w:r>
                    <w:rPr>
                      <w:rFonts w:hint="eastAsia" w:ascii="Times New Roman" w:hAnsi="Times New Roman" w:cs="Times New Roman"/>
                      <w:color w:val="auto"/>
                      <w:kern w:val="0"/>
                      <w:sz w:val="21"/>
                      <w:szCs w:val="21"/>
                      <w:highlight w:val="none"/>
                      <w:vertAlign w:val="baseline"/>
                      <w:lang w:val="en-US" w:eastAsia="zh-CN"/>
                    </w:rPr>
                    <w:t>本项目位于工业园区内，符合园区产业规划。</w:t>
                  </w:r>
                </w:p>
              </w:tc>
              <w:tc>
                <w:tcPr>
                  <w:tcW w:w="882"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outlineLvl w:val="9"/>
                    <w:rPr>
                      <w:rFonts w:hint="default" w:ascii="Times New Roman" w:hAnsi="Times New Roman" w:cs="Times New Roman"/>
                      <w:color w:val="auto"/>
                      <w:kern w:val="0"/>
                      <w:sz w:val="21"/>
                      <w:szCs w:val="21"/>
                      <w:highlight w:val="none"/>
                      <w:vertAlign w:val="baseline"/>
                      <w:lang w:val="en-US" w:eastAsia="zh-CN"/>
                    </w:rPr>
                  </w:pPr>
                  <w:r>
                    <w:rPr>
                      <w:rFonts w:hint="default" w:ascii="Times New Roman" w:hAnsi="Times New Roman" w:cs="Times New Roman"/>
                      <w:color w:val="auto"/>
                      <w:kern w:val="0"/>
                      <w:sz w:val="21"/>
                      <w:szCs w:val="21"/>
                      <w:highlight w:val="none"/>
                      <w:vertAlign w:val="baseline"/>
                      <w:lang w:val="en-US" w:eastAsia="zh-CN"/>
                    </w:rPr>
                    <w:t>符合</w:t>
                  </w:r>
                </w:p>
              </w:tc>
            </w:tr>
          </w:tbl>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outlineLvl w:val="9"/>
              <w:rPr>
                <w:rFonts w:hint="eastAsia" w:ascii="Times New Roman" w:hAnsi="Times New Roman" w:cs="Times New Roman"/>
                <w:color w:val="auto"/>
                <w:kern w:val="0"/>
                <w:sz w:val="22"/>
                <w:szCs w:val="22"/>
                <w:highlight w:val="none"/>
                <w:lang w:eastAsia="zh-CN"/>
              </w:rPr>
            </w:pPr>
            <w:r>
              <w:drawing>
                <wp:inline distT="0" distB="0" distL="114300" distR="114300">
                  <wp:extent cx="4284345" cy="3029585"/>
                  <wp:effectExtent l="0" t="0" r="1905" b="18415"/>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pic:cNvPicPr>
                            <a:picLocks noChangeAspect="1"/>
                          </pic:cNvPicPr>
                        </pic:nvPicPr>
                        <pic:blipFill>
                          <a:blip r:embed="rId9"/>
                          <a:stretch>
                            <a:fillRect/>
                          </a:stretch>
                        </pic:blipFill>
                        <pic:spPr>
                          <a:xfrm>
                            <a:off x="0" y="0"/>
                            <a:ext cx="4284345" cy="302958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outlineLvl w:val="9"/>
              <w:rPr>
                <w:rFonts w:hint="eastAsia" w:ascii="Times New Roman" w:hAnsi="Times New Roman" w:cs="Times New Roman"/>
                <w:color w:val="auto"/>
                <w:kern w:val="0"/>
                <w:sz w:val="22"/>
                <w:szCs w:val="22"/>
                <w:highlight w:val="none"/>
                <w:lang w:eastAsia="zh-CN"/>
              </w:rPr>
            </w:pPr>
            <w:r>
              <w:rPr>
                <w:rFonts w:hint="eastAsia" w:ascii="Times New Roman" w:hAnsi="Times New Roman" w:cs="Times New Roman"/>
                <w:b/>
                <w:bCs/>
                <w:color w:val="auto"/>
                <w:szCs w:val="21"/>
                <w:highlight w:val="none"/>
                <w:lang w:val="en-US" w:eastAsia="zh-CN"/>
              </w:rPr>
              <w:t>图1-1 与乐山市环境管控单元位置关系图</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40" w:firstLineChars="200"/>
              <w:jc w:val="both"/>
              <w:textAlignment w:val="auto"/>
              <w:outlineLvl w:val="9"/>
              <w:rPr>
                <w:rFonts w:hint="eastAsia" w:ascii="Times New Roman" w:hAnsi="Times New Roman" w:cs="Times New Roman"/>
                <w:color w:val="auto"/>
                <w:kern w:val="0"/>
                <w:sz w:val="22"/>
                <w:szCs w:val="22"/>
                <w:highlight w:val="none"/>
                <w:lang w:eastAsia="zh-CN"/>
              </w:rPr>
            </w:pPr>
            <w:r>
              <w:rPr>
                <w:rFonts w:hint="eastAsia" w:ascii="Times New Roman" w:hAnsi="Times New Roman" w:cs="Times New Roman"/>
                <w:color w:val="auto"/>
                <w:kern w:val="0"/>
                <w:sz w:val="22"/>
                <w:szCs w:val="22"/>
                <w:highlight w:val="none"/>
                <w:lang w:eastAsia="zh-CN"/>
              </w:rPr>
              <w:t>综上，项目废气废水均设置有效的防治设施，建设单位落实到各环保要求的前提下，对周围环境影响较小，符合乐山市人民政府人民政府关于落实生态保护红线、环境质量底线、资源利用上线和生态环境准入清单要求实施生态环境分区管控的通知》（乐府发</w:t>
            </w:r>
            <w:r>
              <w:rPr>
                <w:rFonts w:hint="eastAsia" w:ascii="Times New Roman" w:hAnsi="Times New Roman" w:cs="Times New Roman"/>
                <w:color w:val="auto"/>
                <w:kern w:val="0"/>
                <w:sz w:val="22"/>
                <w:szCs w:val="22"/>
                <w:highlight w:val="none"/>
                <w:lang w:val="en-US" w:eastAsia="zh-CN"/>
              </w:rPr>
              <w:t>[2021]7号</w:t>
            </w:r>
            <w:r>
              <w:rPr>
                <w:rFonts w:hint="eastAsia" w:ascii="Times New Roman" w:hAnsi="Times New Roman" w:cs="Times New Roman"/>
                <w:color w:val="auto"/>
                <w:kern w:val="0"/>
                <w:sz w:val="22"/>
                <w:szCs w:val="22"/>
                <w:highlight w:val="none"/>
                <w:lang w:eastAsia="zh-CN"/>
              </w:rPr>
              <w:t>）提出的管控要求。</w:t>
            </w:r>
          </w:p>
          <w:p>
            <w:pPr>
              <w:autoSpaceDE w:val="0"/>
              <w:autoSpaceDN w:val="0"/>
              <w:adjustRightInd w:val="0"/>
              <w:snapToGrid w:val="0"/>
              <w:spacing w:line="360" w:lineRule="auto"/>
              <w:ind w:firstLine="442" w:firstLineChars="200"/>
              <w:jc w:val="left"/>
              <w:rPr>
                <w:rFonts w:hint="default" w:ascii="Times New Roman" w:hAnsi="Times New Roman" w:cs="Times New Roman"/>
                <w:b/>
                <w:bCs/>
                <w:color w:val="auto"/>
                <w:kern w:val="0"/>
                <w:sz w:val="22"/>
                <w:szCs w:val="22"/>
                <w:highlight w:val="none"/>
              </w:rPr>
            </w:pPr>
            <w:r>
              <w:rPr>
                <w:rFonts w:hint="eastAsia" w:ascii="Times New Roman" w:hAnsi="Times New Roman" w:cs="Times New Roman"/>
                <w:b/>
                <w:bCs/>
                <w:color w:val="auto"/>
                <w:kern w:val="0"/>
                <w:sz w:val="22"/>
                <w:szCs w:val="22"/>
                <w:highlight w:val="none"/>
                <w:lang w:val="en-US" w:eastAsia="zh-CN"/>
              </w:rPr>
              <w:t>13</w:t>
            </w:r>
            <w:r>
              <w:rPr>
                <w:rFonts w:hint="default" w:ascii="Times New Roman" w:hAnsi="Times New Roman" w:cs="Times New Roman"/>
                <w:b/>
                <w:bCs/>
                <w:color w:val="auto"/>
                <w:kern w:val="0"/>
                <w:sz w:val="22"/>
                <w:szCs w:val="22"/>
                <w:highlight w:val="none"/>
              </w:rPr>
              <w:t>.2 环境质量底线</w:t>
            </w:r>
          </w:p>
          <w:p>
            <w:pPr>
              <w:autoSpaceDE w:val="0"/>
              <w:autoSpaceDN w:val="0"/>
              <w:adjustRightInd w:val="0"/>
              <w:snapToGrid w:val="0"/>
              <w:spacing w:line="360" w:lineRule="auto"/>
              <w:ind w:firstLine="442" w:firstLineChars="200"/>
              <w:jc w:val="left"/>
              <w:rPr>
                <w:rFonts w:hint="default" w:ascii="Times New Roman" w:hAnsi="Times New Roman" w:cs="Times New Roman"/>
                <w:color w:val="auto"/>
                <w:kern w:val="0"/>
                <w:sz w:val="22"/>
                <w:szCs w:val="22"/>
                <w:highlight w:val="yellow"/>
              </w:rPr>
            </w:pPr>
            <w:r>
              <w:rPr>
                <w:rFonts w:hint="default" w:ascii="Times New Roman" w:hAnsi="Times New Roman" w:cs="Times New Roman"/>
                <w:b/>
                <w:bCs/>
                <w:color w:val="auto"/>
                <w:kern w:val="0"/>
                <w:sz w:val="22"/>
                <w:szCs w:val="22"/>
                <w:highlight w:val="none"/>
              </w:rPr>
              <w:t>大气：</w:t>
            </w:r>
            <w:r>
              <w:rPr>
                <w:rFonts w:hint="eastAsia" w:ascii="Times New Roman" w:hAnsi="Times New Roman" w:cs="Times New Roman"/>
                <w:color w:val="auto"/>
                <w:kern w:val="0"/>
                <w:sz w:val="22"/>
                <w:szCs w:val="22"/>
                <w:highlight w:val="none"/>
                <w:lang w:val="en-US" w:eastAsia="zh-CN"/>
              </w:rPr>
              <w:t>根据《</w:t>
            </w:r>
            <w:r>
              <w:rPr>
                <w:rFonts w:hint="default" w:ascii="Times New Roman" w:hAnsi="Times New Roman" w:eastAsia="宋体" w:cs="Times New Roman"/>
                <w:color w:val="auto"/>
                <w:kern w:val="0"/>
                <w:sz w:val="22"/>
                <w:szCs w:val="22"/>
                <w:highlight w:val="none"/>
                <w:lang w:eastAsia="zh-CN"/>
              </w:rPr>
              <w:t>乐山市污染防治攻坚战工作通报》</w:t>
            </w:r>
            <w:r>
              <w:rPr>
                <w:rFonts w:hint="eastAsia" w:ascii="Times New Roman" w:hAnsi="Times New Roman" w:eastAsia="宋体" w:cs="Times New Roman"/>
                <w:color w:val="auto"/>
                <w:kern w:val="0"/>
                <w:sz w:val="22"/>
                <w:szCs w:val="22"/>
                <w:highlight w:val="none"/>
                <w:lang w:eastAsia="zh-CN"/>
              </w:rPr>
              <w:t>（</w:t>
            </w:r>
            <w:r>
              <w:rPr>
                <w:rFonts w:hint="default" w:ascii="Times New Roman" w:hAnsi="Times New Roman" w:eastAsia="宋体" w:cs="Times New Roman"/>
                <w:color w:val="auto"/>
                <w:kern w:val="0"/>
                <w:sz w:val="22"/>
                <w:szCs w:val="22"/>
                <w:highlight w:val="none"/>
                <w:lang w:eastAsia="zh-CN"/>
              </w:rPr>
              <w:t>2022年第2期</w:t>
            </w:r>
            <w:r>
              <w:rPr>
                <w:rFonts w:hint="eastAsia" w:ascii="Times New Roman" w:hAnsi="Times New Roman" w:eastAsia="宋体" w:cs="Times New Roman"/>
                <w:color w:val="auto"/>
                <w:kern w:val="0"/>
                <w:sz w:val="22"/>
                <w:szCs w:val="22"/>
                <w:highlight w:val="none"/>
                <w:lang w:eastAsia="zh-CN"/>
              </w:rPr>
              <w:t>）</w:t>
            </w:r>
            <w:r>
              <w:rPr>
                <w:rFonts w:hint="default" w:ascii="Times New Roman" w:hAnsi="Times New Roman" w:eastAsia="宋体" w:cs="Times New Roman"/>
                <w:color w:val="auto"/>
                <w:kern w:val="0"/>
                <w:sz w:val="22"/>
                <w:szCs w:val="22"/>
                <w:highlight w:val="none"/>
                <w:lang w:eastAsia="zh-CN"/>
              </w:rPr>
              <w:t>，乐山市属于环境空气为不达标区，并根据《乐山市空气质量限期达标规划（2017-2025）》，乐山市近期采取产业和能源结构调整措施、大气污染治理的措施等一系列措施后，在2025年底前实现空气质量6项主要污染物（二氧化硫、二氧化氮、可吸入颗粒物、细颗粒物、一氧化碳、臭氧）全面达标；本项目为</w:t>
            </w:r>
            <w:r>
              <w:rPr>
                <w:rFonts w:hint="eastAsia" w:ascii="Times New Roman" w:hAnsi="Times New Roman" w:eastAsia="宋体" w:cs="Times New Roman"/>
                <w:color w:val="auto"/>
                <w:kern w:val="0"/>
                <w:sz w:val="22"/>
                <w:szCs w:val="22"/>
                <w:highlight w:val="none"/>
                <w:lang w:eastAsia="zh-CN"/>
              </w:rPr>
              <w:t>技改</w:t>
            </w:r>
            <w:r>
              <w:rPr>
                <w:rFonts w:hint="default" w:ascii="Times New Roman" w:hAnsi="Times New Roman" w:eastAsia="宋体" w:cs="Times New Roman"/>
                <w:color w:val="auto"/>
                <w:kern w:val="0"/>
                <w:sz w:val="22"/>
                <w:szCs w:val="22"/>
                <w:highlight w:val="none"/>
                <w:lang w:eastAsia="zh-CN"/>
              </w:rPr>
              <w:t>项目，根据工程分析，在采取本次评价提出的各项污染物治理措施的前提下，污染物排放在排放限值内，因此不会影响达标规划的实现。</w:t>
            </w:r>
          </w:p>
          <w:p>
            <w:pPr>
              <w:autoSpaceDE w:val="0"/>
              <w:autoSpaceDN w:val="0"/>
              <w:adjustRightInd w:val="0"/>
              <w:snapToGrid w:val="0"/>
              <w:spacing w:line="360" w:lineRule="auto"/>
              <w:ind w:firstLine="442" w:firstLineChars="200"/>
              <w:jc w:val="left"/>
              <w:rPr>
                <w:rFonts w:hint="default" w:ascii="Times New Roman" w:hAnsi="Times New Roman" w:cs="Times New Roman"/>
                <w:color w:val="auto"/>
                <w:kern w:val="0"/>
                <w:sz w:val="22"/>
                <w:szCs w:val="22"/>
                <w:highlight w:val="none"/>
              </w:rPr>
            </w:pPr>
            <w:r>
              <w:rPr>
                <w:rFonts w:hint="default" w:ascii="Times New Roman" w:hAnsi="Times New Roman" w:cs="Times New Roman"/>
                <w:b/>
                <w:bCs/>
                <w:color w:val="auto"/>
                <w:kern w:val="0"/>
                <w:sz w:val="22"/>
                <w:szCs w:val="22"/>
                <w:highlight w:val="none"/>
              </w:rPr>
              <w:t>地表水：</w:t>
            </w:r>
            <w:r>
              <w:rPr>
                <w:rFonts w:hint="eastAsia" w:ascii="Times New Roman" w:hAnsi="Times New Roman" w:cs="Times New Roman"/>
                <w:color w:val="auto"/>
                <w:kern w:val="0"/>
                <w:sz w:val="22"/>
                <w:szCs w:val="22"/>
                <w:highlight w:val="none"/>
                <w:lang w:eastAsia="zh-CN"/>
              </w:rPr>
              <w:t>根据乐山市生态环境局于202</w:t>
            </w:r>
            <w:r>
              <w:rPr>
                <w:rFonts w:hint="eastAsia" w:ascii="Times New Roman" w:hAnsi="Times New Roman" w:cs="Times New Roman"/>
                <w:color w:val="auto"/>
                <w:kern w:val="0"/>
                <w:sz w:val="22"/>
                <w:szCs w:val="22"/>
                <w:highlight w:val="none"/>
                <w:lang w:val="en-US" w:eastAsia="zh-CN"/>
              </w:rPr>
              <w:t>3</w:t>
            </w:r>
            <w:r>
              <w:rPr>
                <w:rFonts w:hint="eastAsia" w:ascii="Times New Roman" w:hAnsi="Times New Roman" w:cs="Times New Roman"/>
                <w:color w:val="auto"/>
                <w:kern w:val="0"/>
                <w:sz w:val="22"/>
                <w:szCs w:val="22"/>
                <w:highlight w:val="none"/>
                <w:lang w:eastAsia="zh-CN"/>
              </w:rPr>
              <w:t>年</w:t>
            </w:r>
            <w:r>
              <w:rPr>
                <w:rFonts w:hint="eastAsia" w:ascii="Times New Roman" w:hAnsi="Times New Roman" w:cs="Times New Roman"/>
                <w:color w:val="auto"/>
                <w:kern w:val="0"/>
                <w:sz w:val="22"/>
                <w:szCs w:val="22"/>
                <w:highlight w:val="none"/>
                <w:lang w:val="en-US" w:eastAsia="zh-CN"/>
              </w:rPr>
              <w:t>3</w:t>
            </w:r>
            <w:r>
              <w:rPr>
                <w:rFonts w:hint="eastAsia" w:ascii="Times New Roman" w:hAnsi="Times New Roman" w:cs="Times New Roman"/>
                <w:color w:val="auto"/>
                <w:kern w:val="0"/>
                <w:sz w:val="22"/>
                <w:szCs w:val="22"/>
                <w:highlight w:val="none"/>
                <w:lang w:eastAsia="zh-CN"/>
              </w:rPr>
              <w:t>月</w:t>
            </w:r>
            <w:r>
              <w:rPr>
                <w:rFonts w:hint="eastAsia" w:ascii="Times New Roman" w:hAnsi="Times New Roman" w:cs="Times New Roman"/>
                <w:color w:val="auto"/>
                <w:kern w:val="0"/>
                <w:sz w:val="22"/>
                <w:szCs w:val="22"/>
                <w:highlight w:val="none"/>
                <w:lang w:val="en-US" w:eastAsia="zh-CN"/>
              </w:rPr>
              <w:t>8</w:t>
            </w:r>
            <w:r>
              <w:rPr>
                <w:rFonts w:hint="eastAsia" w:ascii="Times New Roman" w:hAnsi="Times New Roman" w:cs="Times New Roman"/>
                <w:color w:val="auto"/>
                <w:kern w:val="0"/>
                <w:sz w:val="22"/>
                <w:szCs w:val="22"/>
                <w:highlight w:val="none"/>
                <w:lang w:eastAsia="zh-CN"/>
              </w:rPr>
              <w:t>日发布的《乐山市地表水水质质量月报（202</w:t>
            </w:r>
            <w:r>
              <w:rPr>
                <w:rFonts w:hint="eastAsia" w:ascii="Times New Roman" w:hAnsi="Times New Roman" w:cs="Times New Roman"/>
                <w:color w:val="auto"/>
                <w:kern w:val="0"/>
                <w:sz w:val="22"/>
                <w:szCs w:val="22"/>
                <w:highlight w:val="none"/>
                <w:lang w:val="en-US" w:eastAsia="zh-CN"/>
              </w:rPr>
              <w:t>3</w:t>
            </w:r>
            <w:r>
              <w:rPr>
                <w:rFonts w:hint="eastAsia" w:ascii="Times New Roman" w:hAnsi="Times New Roman" w:cs="Times New Roman"/>
                <w:color w:val="auto"/>
                <w:kern w:val="0"/>
                <w:sz w:val="22"/>
                <w:szCs w:val="22"/>
                <w:highlight w:val="none"/>
                <w:lang w:eastAsia="zh-CN"/>
              </w:rPr>
              <w:t>年</w:t>
            </w:r>
            <w:r>
              <w:rPr>
                <w:rFonts w:hint="eastAsia" w:ascii="Times New Roman" w:hAnsi="Times New Roman" w:cs="Times New Roman"/>
                <w:color w:val="auto"/>
                <w:kern w:val="0"/>
                <w:sz w:val="22"/>
                <w:szCs w:val="22"/>
                <w:highlight w:val="none"/>
                <w:lang w:val="en-US" w:eastAsia="zh-CN"/>
              </w:rPr>
              <w:t>2</w:t>
            </w:r>
            <w:r>
              <w:rPr>
                <w:rFonts w:hint="eastAsia" w:ascii="Times New Roman" w:hAnsi="Times New Roman" w:cs="Times New Roman"/>
                <w:color w:val="auto"/>
                <w:kern w:val="0"/>
                <w:sz w:val="22"/>
                <w:szCs w:val="22"/>
                <w:highlight w:val="none"/>
                <w:lang w:eastAsia="zh-CN"/>
              </w:rPr>
              <w:t>月）》可知：</w:t>
            </w:r>
            <w:r>
              <w:rPr>
                <w:rFonts w:hint="eastAsia" w:ascii="Times New Roman" w:hAnsi="Times New Roman" w:cs="Times New Roman"/>
                <w:color w:val="auto"/>
                <w:kern w:val="0"/>
                <w:sz w:val="22"/>
                <w:szCs w:val="22"/>
                <w:highlight w:val="none"/>
                <w:lang w:val="en-US" w:eastAsia="zh-CN"/>
              </w:rPr>
              <w:t>大渡河水质满足Ⅲ类水质标准，为达标区。</w:t>
            </w:r>
          </w:p>
          <w:p>
            <w:pPr>
              <w:autoSpaceDE w:val="0"/>
              <w:autoSpaceDN w:val="0"/>
              <w:adjustRightInd w:val="0"/>
              <w:snapToGrid w:val="0"/>
              <w:spacing w:line="360" w:lineRule="auto"/>
              <w:ind w:firstLine="442" w:firstLineChars="200"/>
              <w:jc w:val="left"/>
              <w:rPr>
                <w:rFonts w:hint="default" w:ascii="Times New Roman" w:hAnsi="Times New Roman" w:cs="Times New Roman"/>
                <w:color w:val="auto"/>
                <w:kern w:val="0"/>
                <w:sz w:val="22"/>
                <w:szCs w:val="22"/>
                <w:highlight w:val="none"/>
              </w:rPr>
            </w:pPr>
            <w:r>
              <w:rPr>
                <w:rFonts w:hint="eastAsia" w:ascii="Times New Roman" w:hAnsi="Times New Roman" w:cs="Times New Roman"/>
                <w:b/>
                <w:bCs/>
                <w:color w:val="auto"/>
                <w:kern w:val="0"/>
                <w:sz w:val="22"/>
                <w:szCs w:val="22"/>
                <w:highlight w:val="none"/>
                <w:lang w:eastAsia="zh-CN"/>
              </w:rPr>
              <w:t>声环境：</w:t>
            </w:r>
            <w:r>
              <w:rPr>
                <w:rFonts w:hint="default" w:ascii="Times New Roman" w:hAnsi="Times New Roman" w:cs="Times New Roman"/>
                <w:color w:val="auto"/>
                <w:kern w:val="0"/>
                <w:sz w:val="22"/>
                <w:szCs w:val="22"/>
                <w:highlight w:val="none"/>
              </w:rPr>
              <w:t>根据环境质量现状检测结果，本项目</w:t>
            </w:r>
            <w:r>
              <w:rPr>
                <w:rFonts w:hint="eastAsia" w:ascii="Times New Roman" w:hAnsi="Times New Roman" w:cs="Times New Roman"/>
                <w:color w:val="auto"/>
                <w:kern w:val="0"/>
                <w:sz w:val="22"/>
                <w:szCs w:val="22"/>
                <w:highlight w:val="none"/>
                <w:lang w:eastAsia="zh-CN"/>
              </w:rPr>
              <w:t>声环境</w:t>
            </w:r>
            <w:r>
              <w:rPr>
                <w:rFonts w:hint="default" w:ascii="Times New Roman" w:hAnsi="Times New Roman" w:cs="Times New Roman"/>
                <w:color w:val="auto"/>
                <w:kern w:val="0"/>
                <w:sz w:val="22"/>
                <w:szCs w:val="22"/>
                <w:highlight w:val="none"/>
              </w:rPr>
              <w:t>符合</w:t>
            </w:r>
            <w:r>
              <w:rPr>
                <w:rFonts w:hint="eastAsia" w:ascii="Times New Roman" w:hAnsi="Times New Roman" w:cs="Times New Roman"/>
                <w:color w:val="auto"/>
                <w:kern w:val="0"/>
                <w:sz w:val="22"/>
                <w:szCs w:val="22"/>
                <w:highlight w:val="none"/>
                <w:lang w:val="en-US" w:eastAsia="zh-CN"/>
              </w:rPr>
              <w:t>3类区质量标准</w:t>
            </w:r>
            <w:r>
              <w:rPr>
                <w:rFonts w:hint="default" w:ascii="Times New Roman" w:hAnsi="Times New Roman" w:cs="Times New Roman"/>
                <w:color w:val="auto"/>
                <w:kern w:val="0"/>
                <w:sz w:val="22"/>
                <w:szCs w:val="22"/>
                <w:highlight w:val="none"/>
              </w:rPr>
              <w:t>。</w:t>
            </w:r>
          </w:p>
          <w:p>
            <w:pPr>
              <w:autoSpaceDE w:val="0"/>
              <w:autoSpaceDN w:val="0"/>
              <w:adjustRightInd w:val="0"/>
              <w:snapToGrid w:val="0"/>
              <w:spacing w:line="360" w:lineRule="auto"/>
              <w:ind w:firstLine="440" w:firstLineChars="200"/>
              <w:jc w:val="left"/>
              <w:rPr>
                <w:rFonts w:hint="default" w:ascii="Times New Roman" w:hAnsi="Times New Roman" w:cs="Times New Roman"/>
                <w:color w:val="auto"/>
                <w:kern w:val="0"/>
                <w:sz w:val="22"/>
                <w:szCs w:val="22"/>
                <w:highlight w:val="none"/>
              </w:rPr>
            </w:pPr>
            <w:r>
              <w:rPr>
                <w:rFonts w:hint="default" w:ascii="Times New Roman" w:hAnsi="Times New Roman" w:cs="Times New Roman"/>
                <w:color w:val="auto"/>
                <w:kern w:val="0"/>
                <w:sz w:val="22"/>
                <w:szCs w:val="22"/>
                <w:highlight w:val="none"/>
              </w:rPr>
              <w:t>根据本项目环境影响相关内容，本项目在各项环保措施正常运行时，污染物均能达标排放，对各环境要素的影响较小，不会改变各环境要素的环境质量现状级别/类别。</w:t>
            </w:r>
          </w:p>
          <w:p>
            <w:pPr>
              <w:autoSpaceDE w:val="0"/>
              <w:autoSpaceDN w:val="0"/>
              <w:adjustRightInd w:val="0"/>
              <w:snapToGrid w:val="0"/>
              <w:spacing w:line="360" w:lineRule="auto"/>
              <w:ind w:firstLine="442" w:firstLineChars="200"/>
              <w:jc w:val="left"/>
              <w:rPr>
                <w:rFonts w:hint="default" w:ascii="Times New Roman" w:hAnsi="Times New Roman" w:cs="Times New Roman"/>
                <w:b/>
                <w:bCs/>
                <w:color w:val="auto"/>
                <w:kern w:val="0"/>
                <w:sz w:val="22"/>
                <w:szCs w:val="22"/>
                <w:highlight w:val="none"/>
              </w:rPr>
            </w:pPr>
            <w:r>
              <w:rPr>
                <w:rFonts w:hint="eastAsia" w:ascii="Times New Roman" w:hAnsi="Times New Roman" w:cs="Times New Roman"/>
                <w:b/>
                <w:bCs/>
                <w:color w:val="auto"/>
                <w:kern w:val="0"/>
                <w:sz w:val="22"/>
                <w:szCs w:val="22"/>
                <w:highlight w:val="none"/>
                <w:lang w:val="en-US" w:eastAsia="zh-CN"/>
              </w:rPr>
              <w:t>13</w:t>
            </w:r>
            <w:r>
              <w:rPr>
                <w:rFonts w:hint="default" w:ascii="Times New Roman" w:hAnsi="Times New Roman" w:cs="Times New Roman"/>
                <w:b/>
                <w:bCs/>
                <w:color w:val="auto"/>
                <w:kern w:val="0"/>
                <w:sz w:val="22"/>
                <w:szCs w:val="22"/>
                <w:highlight w:val="none"/>
              </w:rPr>
              <w:t>.3 资源利用上线</w:t>
            </w:r>
          </w:p>
          <w:p>
            <w:pPr>
              <w:autoSpaceDE w:val="0"/>
              <w:autoSpaceDN w:val="0"/>
              <w:adjustRightInd w:val="0"/>
              <w:snapToGrid w:val="0"/>
              <w:spacing w:line="360" w:lineRule="auto"/>
              <w:ind w:firstLine="440" w:firstLineChars="200"/>
              <w:jc w:val="left"/>
              <w:rPr>
                <w:rFonts w:hint="default" w:ascii="Times New Roman" w:hAnsi="Times New Roman" w:cs="Times New Roman"/>
                <w:color w:val="auto"/>
                <w:kern w:val="0"/>
                <w:sz w:val="22"/>
                <w:szCs w:val="22"/>
                <w:highlight w:val="none"/>
              </w:rPr>
            </w:pPr>
            <w:r>
              <w:rPr>
                <w:rFonts w:hint="default" w:ascii="Times New Roman" w:hAnsi="Times New Roman" w:cs="Times New Roman"/>
                <w:color w:val="auto"/>
                <w:kern w:val="0"/>
                <w:sz w:val="22"/>
                <w:szCs w:val="22"/>
                <w:highlight w:val="none"/>
              </w:rPr>
              <w:t>项目</w:t>
            </w:r>
            <w:r>
              <w:rPr>
                <w:rFonts w:hint="eastAsia" w:ascii="Times New Roman" w:hAnsi="Times New Roman" w:cs="Times New Roman"/>
                <w:color w:val="auto"/>
                <w:kern w:val="0"/>
                <w:sz w:val="22"/>
                <w:szCs w:val="22"/>
                <w:highlight w:val="none"/>
                <w:lang w:eastAsia="zh-CN"/>
              </w:rPr>
              <w:t>不使用高污染能源，</w:t>
            </w:r>
            <w:r>
              <w:rPr>
                <w:rFonts w:hint="default" w:ascii="Times New Roman" w:hAnsi="Times New Roman" w:cs="Times New Roman"/>
                <w:color w:val="auto"/>
                <w:kern w:val="0"/>
                <w:sz w:val="22"/>
                <w:szCs w:val="22"/>
                <w:highlight w:val="none"/>
              </w:rPr>
              <w:t>在运营过程中消耗一定</w:t>
            </w:r>
            <w:r>
              <w:rPr>
                <w:rFonts w:hint="eastAsia" w:ascii="Times New Roman" w:hAnsi="Times New Roman" w:cs="Times New Roman"/>
                <w:color w:val="auto"/>
                <w:kern w:val="0"/>
                <w:sz w:val="22"/>
                <w:szCs w:val="22"/>
                <w:highlight w:val="none"/>
                <w:lang w:val="en-US" w:eastAsia="zh-CN"/>
              </w:rPr>
              <w:t>量</w:t>
            </w:r>
            <w:r>
              <w:rPr>
                <w:rFonts w:hint="default" w:ascii="Times New Roman" w:hAnsi="Times New Roman" w:cs="Times New Roman"/>
                <w:color w:val="auto"/>
                <w:kern w:val="0"/>
                <w:sz w:val="22"/>
                <w:szCs w:val="22"/>
                <w:highlight w:val="none"/>
              </w:rPr>
              <w:t>的</w:t>
            </w:r>
            <w:r>
              <w:rPr>
                <w:rFonts w:hint="eastAsia" w:ascii="Times New Roman" w:hAnsi="Times New Roman" w:cs="Times New Roman"/>
                <w:color w:val="auto"/>
                <w:kern w:val="0"/>
                <w:sz w:val="22"/>
                <w:szCs w:val="22"/>
                <w:highlight w:val="none"/>
                <w:lang w:val="en-US" w:eastAsia="zh-CN"/>
              </w:rPr>
              <w:t>水、</w:t>
            </w:r>
            <w:r>
              <w:rPr>
                <w:rFonts w:hint="eastAsia" w:ascii="Times New Roman" w:hAnsi="Times New Roman" w:cs="Times New Roman"/>
                <w:color w:val="auto"/>
                <w:kern w:val="0"/>
                <w:sz w:val="22"/>
                <w:szCs w:val="22"/>
                <w:highlight w:val="none"/>
                <w:lang w:eastAsia="zh-CN"/>
              </w:rPr>
              <w:t>电</w:t>
            </w:r>
            <w:r>
              <w:rPr>
                <w:rFonts w:hint="default" w:ascii="Times New Roman" w:hAnsi="Times New Roman" w:cs="Times New Roman"/>
                <w:color w:val="auto"/>
                <w:kern w:val="0"/>
                <w:sz w:val="22"/>
                <w:szCs w:val="22"/>
                <w:highlight w:val="none"/>
              </w:rPr>
              <w:t>资源，消耗量相对于区域资源利用总量较小，符合资源利用上线要求。</w:t>
            </w:r>
          </w:p>
          <w:p>
            <w:pPr>
              <w:autoSpaceDE w:val="0"/>
              <w:autoSpaceDN w:val="0"/>
              <w:adjustRightInd w:val="0"/>
              <w:snapToGrid w:val="0"/>
              <w:spacing w:line="360" w:lineRule="auto"/>
              <w:ind w:firstLine="442" w:firstLineChars="200"/>
              <w:jc w:val="left"/>
              <w:rPr>
                <w:rFonts w:hint="default" w:ascii="Times New Roman" w:hAnsi="Times New Roman" w:cs="Times New Roman"/>
                <w:b/>
                <w:bCs/>
                <w:color w:val="auto"/>
                <w:kern w:val="0"/>
                <w:sz w:val="22"/>
                <w:szCs w:val="22"/>
                <w:highlight w:val="none"/>
              </w:rPr>
            </w:pPr>
            <w:r>
              <w:rPr>
                <w:rFonts w:hint="eastAsia" w:ascii="Times New Roman" w:hAnsi="Times New Roman" w:cs="Times New Roman"/>
                <w:b/>
                <w:bCs/>
                <w:color w:val="auto"/>
                <w:kern w:val="0"/>
                <w:sz w:val="22"/>
                <w:szCs w:val="22"/>
                <w:highlight w:val="none"/>
                <w:lang w:val="en-US" w:eastAsia="zh-CN"/>
              </w:rPr>
              <w:t>13</w:t>
            </w:r>
            <w:r>
              <w:rPr>
                <w:rFonts w:hint="default" w:ascii="Times New Roman" w:hAnsi="Times New Roman" w:cs="Times New Roman"/>
                <w:b/>
                <w:bCs/>
                <w:color w:val="auto"/>
                <w:kern w:val="0"/>
                <w:sz w:val="22"/>
                <w:szCs w:val="22"/>
                <w:highlight w:val="none"/>
              </w:rPr>
              <w:t>.4 产业准入负面清单</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40" w:firstLineChars="200"/>
              <w:jc w:val="left"/>
              <w:textAlignment w:val="auto"/>
              <w:outlineLvl w:val="9"/>
              <w:rPr>
                <w:rFonts w:hint="eastAsia" w:ascii="Times New Roman" w:hAnsi="Times New Roman" w:cs="Times New Roman"/>
                <w:color w:val="auto"/>
                <w:kern w:val="0"/>
                <w:sz w:val="22"/>
                <w:szCs w:val="22"/>
                <w:highlight w:val="none"/>
                <w:lang w:eastAsia="zh-CN"/>
              </w:rPr>
            </w:pPr>
            <w:r>
              <w:rPr>
                <w:rFonts w:hint="default" w:ascii="Times New Roman" w:hAnsi="Times New Roman" w:cs="Times New Roman"/>
                <w:color w:val="auto"/>
                <w:kern w:val="0"/>
                <w:sz w:val="22"/>
                <w:szCs w:val="22"/>
                <w:highlight w:val="none"/>
              </w:rPr>
              <w:t>本项目属于</w:t>
            </w:r>
            <w:r>
              <w:rPr>
                <w:rFonts w:hint="eastAsia" w:ascii="Times New Roman" w:hAnsi="Times New Roman" w:cs="Times New Roman"/>
                <w:color w:val="auto"/>
                <w:kern w:val="0"/>
                <w:sz w:val="22"/>
                <w:szCs w:val="22"/>
                <w:highlight w:val="none"/>
                <w:lang w:eastAsia="zh-CN"/>
              </w:rPr>
              <w:t>《产业结构调整指导目录（2019年本）》（2021年修改本）</w:t>
            </w:r>
            <w:r>
              <w:rPr>
                <w:rFonts w:hint="default" w:ascii="Times New Roman" w:hAnsi="Times New Roman" w:cs="Times New Roman"/>
                <w:color w:val="auto"/>
                <w:kern w:val="0"/>
                <w:sz w:val="22"/>
                <w:szCs w:val="22"/>
                <w:highlight w:val="none"/>
              </w:rPr>
              <w:t>中</w:t>
            </w:r>
            <w:r>
              <w:rPr>
                <w:rFonts w:hint="eastAsia" w:ascii="Times New Roman" w:hAnsi="Times New Roman" w:cs="Times New Roman"/>
                <w:color w:val="auto"/>
                <w:kern w:val="0"/>
                <w:sz w:val="22"/>
                <w:szCs w:val="22"/>
                <w:highlight w:val="none"/>
                <w:lang w:eastAsia="zh-CN"/>
              </w:rPr>
              <w:t>允许</w:t>
            </w:r>
            <w:r>
              <w:rPr>
                <w:rFonts w:hint="default" w:ascii="Times New Roman" w:hAnsi="Times New Roman" w:cs="Times New Roman"/>
                <w:color w:val="auto"/>
                <w:kern w:val="0"/>
                <w:sz w:val="22"/>
                <w:szCs w:val="22"/>
                <w:highlight w:val="none"/>
              </w:rPr>
              <w:t>类项目。根据《四川省长江经济带发展准入负面清单实施细则（试行）》（川长江办[2019]8号）</w:t>
            </w:r>
            <w:r>
              <w:rPr>
                <w:rFonts w:hint="eastAsia" w:ascii="Times New Roman" w:hAnsi="Times New Roman" w:cs="Times New Roman"/>
                <w:color w:val="auto"/>
                <w:kern w:val="0"/>
                <w:sz w:val="22"/>
                <w:szCs w:val="22"/>
                <w:highlight w:val="none"/>
                <w:lang w:eastAsia="zh-CN"/>
              </w:rPr>
              <w:t>、《长江经济带发展负面清单指南（试行，</w:t>
            </w:r>
            <w:r>
              <w:rPr>
                <w:rFonts w:hint="eastAsia" w:ascii="Times New Roman" w:hAnsi="Times New Roman" w:cs="Times New Roman"/>
                <w:color w:val="auto"/>
                <w:kern w:val="0"/>
                <w:sz w:val="22"/>
                <w:szCs w:val="22"/>
                <w:highlight w:val="none"/>
                <w:lang w:val="en-US" w:eastAsia="zh-CN"/>
              </w:rPr>
              <w:t>2022年版</w:t>
            </w:r>
            <w:r>
              <w:rPr>
                <w:rFonts w:hint="eastAsia" w:ascii="Times New Roman" w:hAnsi="Times New Roman" w:cs="Times New Roman"/>
                <w:color w:val="auto"/>
                <w:kern w:val="0"/>
                <w:sz w:val="22"/>
                <w:szCs w:val="22"/>
                <w:highlight w:val="none"/>
                <w:lang w:eastAsia="zh-CN"/>
              </w:rPr>
              <w:t>）》（长江办</w:t>
            </w:r>
            <w:r>
              <w:rPr>
                <w:rFonts w:hint="eastAsia" w:ascii="Times New Roman" w:hAnsi="Times New Roman" w:cs="Times New Roman"/>
                <w:color w:val="auto"/>
                <w:kern w:val="0"/>
                <w:sz w:val="22"/>
                <w:szCs w:val="22"/>
                <w:highlight w:val="none"/>
                <w:lang w:val="en-US" w:eastAsia="zh-CN"/>
              </w:rPr>
              <w:t>[2022]7号</w:t>
            </w:r>
            <w:r>
              <w:rPr>
                <w:rFonts w:hint="eastAsia" w:ascii="Times New Roman" w:hAnsi="Times New Roman" w:cs="Times New Roman"/>
                <w:color w:val="auto"/>
                <w:kern w:val="0"/>
                <w:sz w:val="22"/>
                <w:szCs w:val="22"/>
                <w:highlight w:val="none"/>
                <w:lang w:eastAsia="zh-CN"/>
              </w:rPr>
              <w:t>）、</w:t>
            </w:r>
            <w:r>
              <w:rPr>
                <w:rFonts w:hint="default" w:ascii="Times New Roman" w:hAnsi="Times New Roman" w:cs="Times New Roman"/>
                <w:color w:val="auto"/>
                <w:kern w:val="0"/>
                <w:sz w:val="22"/>
                <w:szCs w:val="22"/>
                <w:highlight w:val="none"/>
              </w:rPr>
              <w:t>《四川省国家重点生态功能区产业准入负面清单第一批（试行）》和《四川省重点生态功能区产业准入负面清单第二批（试行）》的内容，项目不属于其中规定的产业准入负面清单。</w:t>
            </w:r>
          </w:p>
          <w:p>
            <w:pPr>
              <w:pStyle w:val="14"/>
              <w:spacing w:before="0" w:after="0" w:line="360" w:lineRule="auto"/>
              <w:ind w:right="0" w:firstLine="442" w:firstLineChars="200"/>
              <w:jc w:val="left"/>
              <w:outlineLvl w:val="0"/>
              <w:rPr>
                <w:rFonts w:hint="default" w:ascii="Times New Roman" w:hAnsi="Times New Roman" w:cs="Times New Roman"/>
                <w:b/>
                <w:color w:val="auto"/>
                <w:kern w:val="2"/>
                <w:sz w:val="22"/>
                <w:szCs w:val="22"/>
                <w:highlight w:val="none"/>
                <w:lang w:val="en-US" w:eastAsia="zh-CN"/>
              </w:rPr>
            </w:pPr>
            <w:r>
              <w:rPr>
                <w:rFonts w:hint="eastAsia" w:ascii="Times New Roman" w:hAnsi="Times New Roman" w:cs="Times New Roman"/>
                <w:b/>
                <w:color w:val="auto"/>
                <w:kern w:val="2"/>
                <w:sz w:val="22"/>
                <w:szCs w:val="22"/>
                <w:highlight w:val="none"/>
                <w:lang w:val="en-US" w:eastAsia="zh-CN"/>
              </w:rPr>
              <w:t>13.5与四川省“三线一单”数据分析及“三线一单”符合性分析</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40" w:firstLineChars="200"/>
              <w:jc w:val="left"/>
              <w:textAlignment w:val="auto"/>
              <w:outlineLvl w:val="9"/>
              <w:rPr>
                <w:rFonts w:hint="default" w:ascii="Times New Roman" w:hAnsi="Times New Roman" w:cs="Times New Roman"/>
                <w:color w:val="auto"/>
                <w:kern w:val="0"/>
                <w:sz w:val="22"/>
                <w:szCs w:val="22"/>
                <w:highlight w:val="none"/>
                <w:lang w:eastAsia="zh-CN"/>
              </w:rPr>
            </w:pPr>
            <w:r>
              <w:rPr>
                <w:rFonts w:hint="eastAsia" w:ascii="Times New Roman" w:hAnsi="Times New Roman" w:cs="Times New Roman"/>
                <w:color w:val="auto"/>
                <w:kern w:val="0"/>
                <w:sz w:val="22"/>
                <w:szCs w:val="22"/>
                <w:highlight w:val="none"/>
                <w:lang w:eastAsia="zh-CN"/>
              </w:rPr>
              <w:t>根据四川省政务服务网-四川省生态环境厅-四川省“三线一单”数据分析系及“三线一单”符合性分析</w:t>
            </w:r>
            <w:r>
              <w:rPr>
                <w:rFonts w:hint="eastAsia" w:ascii="Times New Roman" w:hAnsi="Times New Roman" w:cs="Times New Roman"/>
                <w:color w:val="auto"/>
                <w:kern w:val="0"/>
                <w:sz w:val="22"/>
                <w:szCs w:val="22"/>
                <w:highlight w:val="none"/>
                <w:lang w:val="en-US" w:eastAsia="zh-CN"/>
              </w:rPr>
              <w:t>（网址：https://tftb.sczwfw.gov.cn:8085/hos-server/pub/jmas/jmasbucket/jmopen_files/webapp/html5/sxydctfx/index.html?areaCode=510000000000），</w:t>
            </w:r>
            <w:r>
              <w:rPr>
                <w:rFonts w:hint="eastAsia" w:ascii="Times New Roman" w:hAnsi="Times New Roman" w:cs="Times New Roman"/>
                <w:color w:val="auto"/>
                <w:kern w:val="0"/>
                <w:sz w:val="22"/>
                <w:szCs w:val="22"/>
                <w:highlight w:val="none"/>
                <w:lang w:eastAsia="zh-CN"/>
              </w:rPr>
              <w:t>本项目“三线一单”符合性分析成果如下：</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40" w:firstLineChars="200"/>
              <w:jc w:val="left"/>
              <w:textAlignment w:val="auto"/>
              <w:outlineLvl w:val="9"/>
              <w:rPr>
                <w:rFonts w:hint="eastAsia" w:ascii="Times New Roman" w:hAnsi="Times New Roman" w:cs="Times New Roman"/>
                <w:color w:val="auto"/>
                <w:kern w:val="0"/>
                <w:sz w:val="22"/>
                <w:szCs w:val="22"/>
                <w:highlight w:val="none"/>
                <w:lang w:val="en-US" w:eastAsia="zh-CN"/>
              </w:rPr>
            </w:pPr>
            <w:r>
              <w:rPr>
                <w:rFonts w:hint="eastAsia" w:ascii="Times New Roman" w:hAnsi="Times New Roman" w:cs="Times New Roman"/>
                <w:color w:val="auto"/>
                <w:kern w:val="0"/>
                <w:sz w:val="22"/>
                <w:szCs w:val="22"/>
                <w:highlight w:val="none"/>
                <w:lang w:val="en-US" w:eastAsia="zh-CN"/>
              </w:rPr>
              <w:t>（1）概述</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40" w:firstLineChars="200"/>
              <w:jc w:val="left"/>
              <w:textAlignment w:val="auto"/>
              <w:outlineLvl w:val="9"/>
              <w:rPr>
                <w:rFonts w:hint="eastAsia" w:ascii="Times New Roman" w:hAnsi="Times New Roman" w:cs="Times New Roman"/>
                <w:color w:val="auto"/>
                <w:kern w:val="0"/>
                <w:sz w:val="22"/>
                <w:szCs w:val="22"/>
                <w:highlight w:val="none"/>
                <w:lang w:val="en-US" w:eastAsia="zh-CN"/>
              </w:rPr>
            </w:pPr>
            <w:r>
              <w:rPr>
                <w:rFonts w:hint="eastAsia" w:ascii="Times New Roman" w:hAnsi="Times New Roman" w:cs="Times New Roman"/>
                <w:color w:val="auto"/>
                <w:kern w:val="0"/>
                <w:sz w:val="22"/>
                <w:szCs w:val="22"/>
                <w:highlight w:val="none"/>
                <w:lang w:val="en-US" w:eastAsia="zh-CN"/>
              </w:rPr>
              <w:t>该项目涉及到环境管控单元4个，涉及到管控单元见下表。</w:t>
            </w:r>
          </w:p>
          <w:p>
            <w:pPr>
              <w:adjustRightInd w:val="0"/>
              <w:jc w:val="center"/>
              <w:textAlignment w:val="baseline"/>
              <w:rPr>
                <w:rFonts w:hint="default" w:ascii="Times New Roman" w:hAnsi="Times New Roman" w:cs="Times New Roman"/>
                <w:b/>
                <w:bCs/>
                <w:color w:val="auto"/>
                <w:szCs w:val="21"/>
                <w:highlight w:val="none"/>
                <w:lang w:val="en-US" w:eastAsia="zh-CN"/>
              </w:rPr>
            </w:pPr>
            <w:r>
              <w:rPr>
                <w:rFonts w:hint="default" w:ascii="Times New Roman" w:hAnsi="Times New Roman" w:cs="Times New Roman"/>
                <w:b/>
                <w:bCs/>
                <w:color w:val="auto"/>
                <w:szCs w:val="21"/>
                <w:highlight w:val="none"/>
                <w:lang w:val="en-US" w:eastAsia="zh-CN"/>
              </w:rPr>
              <w:t>表1-</w:t>
            </w:r>
            <w:r>
              <w:rPr>
                <w:rFonts w:hint="eastAsia" w:ascii="Times New Roman" w:hAnsi="Times New Roman" w:cs="Times New Roman"/>
                <w:b/>
                <w:bCs/>
                <w:color w:val="auto"/>
                <w:szCs w:val="21"/>
                <w:highlight w:val="none"/>
                <w:lang w:val="en-US" w:eastAsia="zh-CN"/>
              </w:rPr>
              <w:t>5</w:t>
            </w:r>
            <w:r>
              <w:rPr>
                <w:rFonts w:hint="default" w:ascii="Times New Roman" w:hAnsi="Times New Roman" w:cs="Times New Roman"/>
                <w:b/>
                <w:bCs/>
                <w:color w:val="auto"/>
                <w:szCs w:val="21"/>
                <w:highlight w:val="none"/>
                <w:lang w:val="en-US" w:eastAsia="zh-CN"/>
              </w:rPr>
              <w:t xml:space="preserve"> </w:t>
            </w:r>
            <w:r>
              <w:rPr>
                <w:rFonts w:hint="eastAsia" w:ascii="Times New Roman" w:hAnsi="Times New Roman" w:cs="Times New Roman"/>
                <w:b/>
                <w:bCs/>
                <w:color w:val="auto"/>
                <w:szCs w:val="21"/>
                <w:highlight w:val="none"/>
                <w:lang w:val="en-US" w:eastAsia="zh-CN"/>
              </w:rPr>
              <w:t>本项目涉及环境</w:t>
            </w:r>
            <w:r>
              <w:rPr>
                <w:rFonts w:hint="default" w:ascii="Times New Roman" w:hAnsi="Times New Roman" w:cs="Times New Roman"/>
                <w:b/>
                <w:bCs/>
                <w:color w:val="auto"/>
                <w:szCs w:val="21"/>
                <w:highlight w:val="none"/>
                <w:lang w:val="en-US" w:eastAsia="zh-CN"/>
              </w:rPr>
              <w:t>管控单元</w:t>
            </w:r>
            <w:r>
              <w:rPr>
                <w:rFonts w:hint="eastAsia" w:ascii="Times New Roman" w:hAnsi="Times New Roman" w:cs="Times New Roman"/>
                <w:b/>
                <w:bCs/>
                <w:color w:val="auto"/>
                <w:szCs w:val="21"/>
                <w:highlight w:val="none"/>
                <w:lang w:val="en-US" w:eastAsia="zh-CN"/>
              </w:rPr>
              <w:t>一览表</w:t>
            </w:r>
          </w:p>
          <w:tbl>
            <w:tblPr>
              <w:tblStyle w:val="42"/>
              <w:tblW w:w="68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7"/>
              <w:gridCol w:w="1703"/>
              <w:gridCol w:w="758"/>
              <w:gridCol w:w="681"/>
              <w:gridCol w:w="1110"/>
              <w:gridCol w:w="15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7" w:hRule="atLeast"/>
                <w:tblHeader/>
                <w:jc w:val="center"/>
              </w:trPr>
              <w:tc>
                <w:tcPr>
                  <w:tcW w:w="1107" w:type="dxa"/>
                  <w:noWrap w:val="0"/>
                  <w:vAlign w:val="center"/>
                </w:tcPr>
                <w:p>
                  <w:pPr>
                    <w:widowControl/>
                    <w:spacing w:line="240" w:lineRule="auto"/>
                    <w:ind w:firstLine="0" w:firstLineChars="0"/>
                    <w:jc w:val="center"/>
                    <w:rPr>
                      <w:rStyle w:val="44"/>
                      <w:rFonts w:ascii="宋体" w:hAnsi="宋体" w:eastAsia="宋体" w:cs="宋体"/>
                      <w:b/>
                      <w:bCs/>
                      <w:color w:val="000000"/>
                      <w:kern w:val="0"/>
                      <w:sz w:val="21"/>
                      <w:szCs w:val="21"/>
                      <w:highlight w:val="none"/>
                      <w:lang w:val="en-US" w:eastAsia="zh-CN" w:bidi="ar-SA"/>
                    </w:rPr>
                  </w:pPr>
                  <w:r>
                    <w:rPr>
                      <w:rFonts w:hint="eastAsia" w:ascii="宋体" w:hAnsi="宋体" w:eastAsia="宋体" w:cs="宋体"/>
                      <w:b/>
                      <w:bCs/>
                      <w:color w:val="000000"/>
                      <w:kern w:val="0"/>
                      <w:sz w:val="21"/>
                      <w:szCs w:val="21"/>
                      <w:highlight w:val="none"/>
                      <w:lang w:val="en-US" w:eastAsia="zh-CN" w:bidi="ar-SA"/>
                    </w:rPr>
                    <w:t>环境管控单元编码</w:t>
                  </w:r>
                </w:p>
              </w:tc>
              <w:tc>
                <w:tcPr>
                  <w:tcW w:w="1703" w:type="dxa"/>
                  <w:noWrap w:val="0"/>
                  <w:vAlign w:val="center"/>
                </w:tcPr>
                <w:p>
                  <w:pPr>
                    <w:widowControl/>
                    <w:spacing w:line="240" w:lineRule="auto"/>
                    <w:ind w:firstLine="0" w:firstLineChars="0"/>
                    <w:jc w:val="center"/>
                    <w:rPr>
                      <w:rStyle w:val="44"/>
                      <w:rFonts w:ascii="宋体" w:hAnsi="宋体" w:eastAsia="宋体" w:cs="宋体"/>
                      <w:b/>
                      <w:bCs/>
                      <w:color w:val="000000"/>
                      <w:kern w:val="0"/>
                      <w:sz w:val="21"/>
                      <w:szCs w:val="21"/>
                      <w:highlight w:val="none"/>
                      <w:lang w:val="en-US" w:eastAsia="zh-CN" w:bidi="ar-SA"/>
                    </w:rPr>
                  </w:pPr>
                  <w:r>
                    <w:rPr>
                      <w:rFonts w:hint="eastAsia" w:ascii="宋体" w:hAnsi="宋体" w:eastAsia="宋体" w:cs="宋体"/>
                      <w:b/>
                      <w:bCs/>
                      <w:color w:val="000000"/>
                      <w:kern w:val="0"/>
                      <w:sz w:val="21"/>
                      <w:szCs w:val="21"/>
                      <w:highlight w:val="none"/>
                      <w:lang w:val="en-US" w:eastAsia="zh-CN" w:bidi="ar-SA"/>
                    </w:rPr>
                    <w:t>环境管控单元名称</w:t>
                  </w:r>
                </w:p>
              </w:tc>
              <w:tc>
                <w:tcPr>
                  <w:tcW w:w="758" w:type="dxa"/>
                  <w:noWrap w:val="0"/>
                  <w:vAlign w:val="center"/>
                </w:tcPr>
                <w:p>
                  <w:pPr>
                    <w:widowControl/>
                    <w:spacing w:line="240" w:lineRule="auto"/>
                    <w:ind w:firstLine="0" w:firstLineChars="0"/>
                    <w:jc w:val="center"/>
                    <w:rPr>
                      <w:rStyle w:val="44"/>
                      <w:rFonts w:ascii="宋体" w:hAnsi="宋体" w:eastAsia="宋体" w:cs="宋体"/>
                      <w:b/>
                      <w:bCs/>
                      <w:color w:val="000000"/>
                      <w:kern w:val="0"/>
                      <w:sz w:val="21"/>
                      <w:szCs w:val="21"/>
                      <w:highlight w:val="none"/>
                      <w:lang w:val="en-US" w:eastAsia="zh-CN" w:bidi="ar-SA"/>
                    </w:rPr>
                  </w:pPr>
                  <w:r>
                    <w:rPr>
                      <w:rFonts w:hint="eastAsia" w:ascii="宋体" w:hAnsi="宋体" w:eastAsia="宋体" w:cs="宋体"/>
                      <w:b/>
                      <w:bCs/>
                      <w:color w:val="000000"/>
                      <w:kern w:val="0"/>
                      <w:sz w:val="21"/>
                      <w:szCs w:val="21"/>
                      <w:highlight w:val="none"/>
                      <w:lang w:val="en-US" w:eastAsia="zh-CN" w:bidi="ar-SA"/>
                    </w:rPr>
                    <w:t>所属城市</w:t>
                  </w:r>
                </w:p>
              </w:tc>
              <w:tc>
                <w:tcPr>
                  <w:tcW w:w="681" w:type="dxa"/>
                  <w:noWrap w:val="0"/>
                  <w:vAlign w:val="center"/>
                </w:tcPr>
                <w:p>
                  <w:pPr>
                    <w:widowControl/>
                    <w:spacing w:line="240" w:lineRule="auto"/>
                    <w:ind w:firstLine="0" w:firstLineChars="0"/>
                    <w:jc w:val="center"/>
                    <w:rPr>
                      <w:rStyle w:val="44"/>
                      <w:rFonts w:ascii="宋体" w:hAnsi="宋体" w:eastAsia="宋体" w:cs="宋体"/>
                      <w:b/>
                      <w:bCs/>
                      <w:color w:val="000000"/>
                      <w:kern w:val="0"/>
                      <w:sz w:val="21"/>
                      <w:szCs w:val="21"/>
                      <w:highlight w:val="none"/>
                      <w:lang w:val="en-US" w:eastAsia="zh-CN" w:bidi="ar-SA"/>
                    </w:rPr>
                  </w:pPr>
                  <w:r>
                    <w:rPr>
                      <w:rFonts w:hint="eastAsia" w:ascii="宋体" w:hAnsi="宋体" w:eastAsia="宋体" w:cs="宋体"/>
                      <w:b/>
                      <w:bCs/>
                      <w:color w:val="000000"/>
                      <w:kern w:val="0"/>
                      <w:sz w:val="21"/>
                      <w:szCs w:val="21"/>
                      <w:highlight w:val="none"/>
                      <w:lang w:val="en-US" w:eastAsia="zh-CN" w:bidi="ar-SA"/>
                    </w:rPr>
                    <w:t>所属区县</w:t>
                  </w:r>
                </w:p>
              </w:tc>
              <w:tc>
                <w:tcPr>
                  <w:tcW w:w="1110" w:type="dxa"/>
                  <w:noWrap w:val="0"/>
                  <w:vAlign w:val="center"/>
                </w:tcPr>
                <w:p>
                  <w:pPr>
                    <w:widowControl/>
                    <w:spacing w:line="240" w:lineRule="auto"/>
                    <w:ind w:firstLine="0" w:firstLineChars="0"/>
                    <w:jc w:val="center"/>
                    <w:rPr>
                      <w:rStyle w:val="44"/>
                      <w:rFonts w:ascii="宋体" w:hAnsi="宋体" w:eastAsia="宋体" w:cs="宋体"/>
                      <w:b/>
                      <w:bCs/>
                      <w:color w:val="000000"/>
                      <w:kern w:val="0"/>
                      <w:sz w:val="21"/>
                      <w:szCs w:val="21"/>
                      <w:highlight w:val="none"/>
                      <w:lang w:val="en-US" w:eastAsia="zh-CN" w:bidi="ar-SA"/>
                    </w:rPr>
                  </w:pPr>
                  <w:r>
                    <w:rPr>
                      <w:rFonts w:hint="eastAsia" w:ascii="宋体" w:hAnsi="宋体" w:eastAsia="宋体" w:cs="宋体"/>
                      <w:b/>
                      <w:bCs/>
                      <w:color w:val="000000"/>
                      <w:kern w:val="0"/>
                      <w:sz w:val="21"/>
                      <w:szCs w:val="21"/>
                      <w:highlight w:val="none"/>
                      <w:lang w:val="en-US" w:eastAsia="zh-CN" w:bidi="ar-SA"/>
                    </w:rPr>
                    <w:t>准入清单类型</w:t>
                  </w:r>
                </w:p>
              </w:tc>
              <w:tc>
                <w:tcPr>
                  <w:tcW w:w="1502" w:type="dxa"/>
                  <w:noWrap w:val="0"/>
                  <w:vAlign w:val="center"/>
                </w:tcPr>
                <w:p>
                  <w:pPr>
                    <w:widowControl/>
                    <w:spacing w:line="240" w:lineRule="auto"/>
                    <w:ind w:firstLine="0" w:firstLineChars="0"/>
                    <w:jc w:val="center"/>
                    <w:rPr>
                      <w:rStyle w:val="44"/>
                      <w:rFonts w:ascii="宋体" w:hAnsi="宋体" w:eastAsia="宋体" w:cs="宋体"/>
                      <w:b/>
                      <w:bCs/>
                      <w:color w:val="000000"/>
                      <w:kern w:val="0"/>
                      <w:sz w:val="21"/>
                      <w:szCs w:val="21"/>
                      <w:highlight w:val="none"/>
                      <w:lang w:val="en-US" w:eastAsia="zh-CN" w:bidi="ar-SA"/>
                    </w:rPr>
                  </w:pPr>
                  <w:r>
                    <w:rPr>
                      <w:rFonts w:hint="eastAsia" w:ascii="宋体" w:hAnsi="宋体" w:eastAsia="宋体" w:cs="宋体"/>
                      <w:b/>
                      <w:bCs/>
                      <w:color w:val="000000"/>
                      <w:kern w:val="0"/>
                      <w:sz w:val="21"/>
                      <w:szCs w:val="21"/>
                      <w:highlight w:val="none"/>
                      <w:lang w:val="en-US" w:eastAsia="zh-CN" w:bidi="ar-SA"/>
                    </w:rPr>
                    <w:t>管控类型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3" w:hRule="atLeast"/>
                <w:tblHeader/>
                <w:jc w:val="center"/>
              </w:trPr>
              <w:tc>
                <w:tcPr>
                  <w:tcW w:w="1107" w:type="dxa"/>
                  <w:noWrap w:val="0"/>
                  <w:vAlign w:val="center"/>
                </w:tcPr>
                <w:p>
                  <w:pPr>
                    <w:pStyle w:val="191"/>
                    <w:widowControl/>
                    <w:spacing w:line="240" w:lineRule="auto"/>
                    <w:ind w:firstLine="0" w:firstLineChars="0"/>
                    <w:jc w:val="center"/>
                    <w:rPr>
                      <w:rStyle w:val="44"/>
                      <w:rFonts w:hint="default" w:ascii="Times New Roman" w:hAnsi="Times New Roman" w:eastAsia="宋体" w:cs="Times New Roman"/>
                      <w:kern w:val="2"/>
                      <w:sz w:val="21"/>
                      <w:szCs w:val="21"/>
                      <w:highlight w:val="yellow"/>
                      <w:lang w:val="en-US" w:eastAsia="zh-CN" w:bidi="ar-SA"/>
                    </w:rPr>
                  </w:pPr>
                  <w:r>
                    <w:rPr>
                      <w:rStyle w:val="44"/>
                      <w:rFonts w:hint="default" w:ascii="Times New Roman" w:hAnsi="Times New Roman" w:eastAsia="宋体" w:cs="Times New Roman"/>
                      <w:kern w:val="2"/>
                      <w:sz w:val="21"/>
                      <w:szCs w:val="21"/>
                      <w:lang w:val="en-US" w:eastAsia="zh-CN" w:bidi="ar-SA"/>
                    </w:rPr>
                    <w:t>ZH51110220002</w:t>
                  </w:r>
                </w:p>
              </w:tc>
              <w:tc>
                <w:tcPr>
                  <w:tcW w:w="1703" w:type="dxa"/>
                  <w:noWrap w:val="0"/>
                  <w:vAlign w:val="center"/>
                </w:tcPr>
                <w:p>
                  <w:pPr>
                    <w:pStyle w:val="191"/>
                    <w:widowControl/>
                    <w:spacing w:line="240" w:lineRule="auto"/>
                    <w:ind w:firstLine="0" w:firstLineChars="0"/>
                    <w:jc w:val="center"/>
                    <w:rPr>
                      <w:rStyle w:val="44"/>
                      <w:rFonts w:hint="default" w:ascii="Times New Roman" w:hAnsi="Times New Roman" w:eastAsia="宋体" w:cs="Times New Roman"/>
                      <w:kern w:val="2"/>
                      <w:sz w:val="21"/>
                      <w:szCs w:val="21"/>
                      <w:highlight w:val="yellow"/>
                      <w:lang w:val="en-US" w:eastAsia="zh-CN" w:bidi="ar-SA"/>
                    </w:rPr>
                  </w:pPr>
                  <w:r>
                    <w:rPr>
                      <w:rStyle w:val="44"/>
                      <w:rFonts w:hint="default" w:ascii="Times New Roman" w:hAnsi="Times New Roman" w:eastAsia="宋体" w:cs="Times New Roman"/>
                      <w:kern w:val="2"/>
                      <w:sz w:val="21"/>
                      <w:szCs w:val="21"/>
                      <w:lang w:val="en-US" w:eastAsia="zh-CN" w:bidi="ar-SA"/>
                    </w:rPr>
                    <w:t>乐山高新技术产业开发区嘉州工业园</w:t>
                  </w:r>
                </w:p>
              </w:tc>
              <w:tc>
                <w:tcPr>
                  <w:tcW w:w="758" w:type="dxa"/>
                  <w:noWrap w:val="0"/>
                  <w:vAlign w:val="center"/>
                </w:tcPr>
                <w:p>
                  <w:pPr>
                    <w:pStyle w:val="191"/>
                    <w:widowControl/>
                    <w:spacing w:line="240" w:lineRule="auto"/>
                    <w:ind w:firstLine="0" w:firstLineChars="0"/>
                    <w:jc w:val="center"/>
                    <w:rPr>
                      <w:rStyle w:val="44"/>
                      <w:rFonts w:hint="default" w:ascii="Times New Roman" w:hAnsi="Times New Roman" w:eastAsia="宋体" w:cs="Times New Roman"/>
                      <w:kern w:val="2"/>
                      <w:sz w:val="21"/>
                      <w:szCs w:val="21"/>
                      <w:highlight w:val="yellow"/>
                      <w:lang w:val="en-US" w:eastAsia="zh-CN" w:bidi="ar-SA"/>
                    </w:rPr>
                  </w:pPr>
                  <w:r>
                    <w:rPr>
                      <w:rStyle w:val="44"/>
                      <w:rFonts w:hint="default" w:ascii="Times New Roman" w:hAnsi="Times New Roman" w:eastAsia="宋体" w:cs="Times New Roman"/>
                      <w:kern w:val="2"/>
                      <w:sz w:val="21"/>
                      <w:szCs w:val="21"/>
                      <w:lang w:val="en-US" w:eastAsia="zh-CN" w:bidi="ar-SA"/>
                    </w:rPr>
                    <w:t>乐山市</w:t>
                  </w:r>
                </w:p>
              </w:tc>
              <w:tc>
                <w:tcPr>
                  <w:tcW w:w="681" w:type="dxa"/>
                  <w:noWrap w:val="0"/>
                  <w:vAlign w:val="center"/>
                </w:tcPr>
                <w:p>
                  <w:pPr>
                    <w:pStyle w:val="191"/>
                    <w:widowControl/>
                    <w:spacing w:line="240" w:lineRule="auto"/>
                    <w:ind w:firstLine="0" w:firstLineChars="0"/>
                    <w:jc w:val="center"/>
                    <w:rPr>
                      <w:rStyle w:val="44"/>
                      <w:rFonts w:hint="default" w:ascii="Times New Roman" w:hAnsi="Times New Roman" w:eastAsia="宋体" w:cs="Times New Roman"/>
                      <w:kern w:val="2"/>
                      <w:sz w:val="21"/>
                      <w:szCs w:val="21"/>
                      <w:highlight w:val="yellow"/>
                      <w:lang w:val="en-US" w:eastAsia="zh-CN" w:bidi="ar-SA"/>
                    </w:rPr>
                  </w:pPr>
                  <w:r>
                    <w:rPr>
                      <w:rStyle w:val="44"/>
                      <w:rFonts w:hint="default" w:ascii="Times New Roman" w:hAnsi="Times New Roman" w:eastAsia="宋体" w:cs="Times New Roman"/>
                      <w:kern w:val="2"/>
                      <w:sz w:val="21"/>
                      <w:szCs w:val="21"/>
                      <w:lang w:val="en-US" w:eastAsia="zh-CN" w:bidi="ar-SA"/>
                    </w:rPr>
                    <w:t>市中区</w:t>
                  </w:r>
                </w:p>
              </w:tc>
              <w:tc>
                <w:tcPr>
                  <w:tcW w:w="1110" w:type="dxa"/>
                  <w:noWrap w:val="0"/>
                  <w:vAlign w:val="center"/>
                </w:tcPr>
                <w:p>
                  <w:pPr>
                    <w:pStyle w:val="191"/>
                    <w:widowControl/>
                    <w:spacing w:line="240" w:lineRule="auto"/>
                    <w:ind w:firstLine="0" w:firstLineChars="0"/>
                    <w:jc w:val="center"/>
                    <w:rPr>
                      <w:rStyle w:val="44"/>
                      <w:rFonts w:hint="default" w:ascii="Times New Roman" w:hAnsi="Times New Roman" w:eastAsia="宋体" w:cs="Times New Roman"/>
                      <w:kern w:val="2"/>
                      <w:sz w:val="21"/>
                      <w:szCs w:val="21"/>
                      <w:highlight w:val="yellow"/>
                      <w:lang w:val="en-US" w:eastAsia="zh-CN" w:bidi="ar-SA"/>
                    </w:rPr>
                  </w:pPr>
                  <w:r>
                    <w:rPr>
                      <w:rStyle w:val="44"/>
                      <w:rFonts w:hint="default" w:ascii="Times New Roman" w:hAnsi="Times New Roman" w:eastAsia="宋体" w:cs="Times New Roman"/>
                      <w:kern w:val="2"/>
                      <w:sz w:val="21"/>
                      <w:szCs w:val="21"/>
                      <w:lang w:val="en-US" w:eastAsia="zh-CN" w:bidi="ar-SA"/>
                    </w:rPr>
                    <w:t>环境管控单元</w:t>
                  </w:r>
                </w:p>
              </w:tc>
              <w:tc>
                <w:tcPr>
                  <w:tcW w:w="1502" w:type="dxa"/>
                  <w:noWrap w:val="0"/>
                  <w:vAlign w:val="center"/>
                </w:tcPr>
                <w:p>
                  <w:pPr>
                    <w:pStyle w:val="191"/>
                    <w:widowControl/>
                    <w:spacing w:line="240" w:lineRule="auto"/>
                    <w:ind w:firstLine="0" w:firstLineChars="0"/>
                    <w:jc w:val="center"/>
                    <w:rPr>
                      <w:rStyle w:val="44"/>
                      <w:rFonts w:hint="default" w:ascii="Times New Roman" w:hAnsi="Times New Roman" w:eastAsia="宋体" w:cs="Times New Roman"/>
                      <w:kern w:val="2"/>
                      <w:sz w:val="21"/>
                      <w:szCs w:val="21"/>
                      <w:highlight w:val="yellow"/>
                      <w:lang w:val="en-US" w:eastAsia="zh-CN" w:bidi="ar-SA"/>
                    </w:rPr>
                  </w:pPr>
                  <w:r>
                    <w:rPr>
                      <w:rStyle w:val="44"/>
                      <w:rFonts w:hint="default" w:ascii="Times New Roman" w:hAnsi="Times New Roman" w:eastAsia="宋体" w:cs="Times New Roman"/>
                      <w:kern w:val="2"/>
                      <w:sz w:val="21"/>
                      <w:szCs w:val="21"/>
                      <w:lang w:val="en-US" w:eastAsia="zh-CN" w:bidi="ar-SA"/>
                    </w:rPr>
                    <w:t>环境综合管控单元工业重点管控单元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8" w:hRule="atLeast"/>
                <w:tblHeader/>
                <w:jc w:val="center"/>
              </w:trPr>
              <w:tc>
                <w:tcPr>
                  <w:tcW w:w="1107" w:type="dxa"/>
                  <w:noWrap w:val="0"/>
                  <w:vAlign w:val="center"/>
                </w:tcPr>
                <w:p>
                  <w:pPr>
                    <w:pStyle w:val="191"/>
                    <w:widowControl/>
                    <w:spacing w:line="240" w:lineRule="auto"/>
                    <w:ind w:firstLine="0" w:firstLineChars="0"/>
                    <w:jc w:val="center"/>
                    <w:rPr>
                      <w:rStyle w:val="44"/>
                      <w:rFonts w:hint="default" w:ascii="Times New Roman" w:hAnsi="Times New Roman" w:eastAsia="宋体" w:cs="Times New Roman"/>
                      <w:kern w:val="2"/>
                      <w:sz w:val="21"/>
                      <w:szCs w:val="21"/>
                      <w:highlight w:val="yellow"/>
                      <w:lang w:val="en-US" w:eastAsia="zh-CN" w:bidi="ar-SA"/>
                    </w:rPr>
                  </w:pPr>
                  <w:r>
                    <w:rPr>
                      <w:rStyle w:val="44"/>
                      <w:rFonts w:hint="default" w:ascii="Times New Roman" w:hAnsi="Times New Roman" w:eastAsia="宋体" w:cs="Times New Roman"/>
                      <w:kern w:val="2"/>
                      <w:sz w:val="21"/>
                      <w:szCs w:val="21"/>
                      <w:lang w:val="en-US" w:eastAsia="zh-CN" w:bidi="ar-SA"/>
                    </w:rPr>
                    <w:t>YS5111022210018</w:t>
                  </w:r>
                </w:p>
              </w:tc>
              <w:tc>
                <w:tcPr>
                  <w:tcW w:w="1703" w:type="dxa"/>
                  <w:noWrap w:val="0"/>
                  <w:vAlign w:val="center"/>
                </w:tcPr>
                <w:p>
                  <w:pPr>
                    <w:pStyle w:val="191"/>
                    <w:widowControl/>
                    <w:spacing w:line="240" w:lineRule="auto"/>
                    <w:ind w:firstLine="0" w:firstLineChars="0"/>
                    <w:jc w:val="center"/>
                    <w:rPr>
                      <w:rStyle w:val="44"/>
                      <w:rFonts w:hint="default" w:ascii="Times New Roman" w:hAnsi="Times New Roman" w:eastAsia="宋体" w:cs="Times New Roman"/>
                      <w:kern w:val="2"/>
                      <w:sz w:val="21"/>
                      <w:szCs w:val="21"/>
                      <w:highlight w:val="yellow"/>
                      <w:lang w:val="en-US" w:eastAsia="zh-CN" w:bidi="ar-SA"/>
                    </w:rPr>
                  </w:pPr>
                  <w:r>
                    <w:rPr>
                      <w:rStyle w:val="44"/>
                      <w:rFonts w:hint="default" w:ascii="Times New Roman" w:hAnsi="Times New Roman" w:eastAsia="宋体" w:cs="Times New Roman"/>
                      <w:kern w:val="2"/>
                      <w:sz w:val="21"/>
                      <w:szCs w:val="21"/>
                      <w:lang w:val="en-US" w:eastAsia="zh-CN" w:bidi="ar-SA"/>
                    </w:rPr>
                    <w:t>大渡河市中区李码头控制单元</w:t>
                  </w:r>
                </w:p>
              </w:tc>
              <w:tc>
                <w:tcPr>
                  <w:tcW w:w="758" w:type="dxa"/>
                  <w:noWrap w:val="0"/>
                  <w:vAlign w:val="center"/>
                </w:tcPr>
                <w:p>
                  <w:pPr>
                    <w:pStyle w:val="191"/>
                    <w:widowControl/>
                    <w:spacing w:line="240" w:lineRule="auto"/>
                    <w:ind w:firstLine="0" w:firstLineChars="0"/>
                    <w:jc w:val="center"/>
                    <w:rPr>
                      <w:rStyle w:val="44"/>
                      <w:rFonts w:hint="default" w:ascii="Times New Roman" w:hAnsi="Times New Roman" w:eastAsia="宋体" w:cs="Times New Roman"/>
                      <w:kern w:val="2"/>
                      <w:sz w:val="21"/>
                      <w:szCs w:val="21"/>
                      <w:highlight w:val="yellow"/>
                      <w:lang w:val="en-US" w:eastAsia="zh-CN" w:bidi="ar-SA"/>
                    </w:rPr>
                  </w:pPr>
                  <w:r>
                    <w:rPr>
                      <w:rStyle w:val="44"/>
                      <w:rFonts w:hint="default" w:ascii="Times New Roman" w:hAnsi="Times New Roman" w:eastAsia="宋体" w:cs="Times New Roman"/>
                      <w:kern w:val="2"/>
                      <w:sz w:val="21"/>
                      <w:szCs w:val="21"/>
                      <w:lang w:val="en-US" w:eastAsia="zh-CN" w:bidi="ar-SA"/>
                    </w:rPr>
                    <w:t>乐山市</w:t>
                  </w:r>
                </w:p>
              </w:tc>
              <w:tc>
                <w:tcPr>
                  <w:tcW w:w="681" w:type="dxa"/>
                  <w:noWrap w:val="0"/>
                  <w:vAlign w:val="center"/>
                </w:tcPr>
                <w:p>
                  <w:pPr>
                    <w:pStyle w:val="191"/>
                    <w:widowControl/>
                    <w:spacing w:line="240" w:lineRule="auto"/>
                    <w:ind w:firstLine="0" w:firstLineChars="0"/>
                    <w:jc w:val="center"/>
                    <w:rPr>
                      <w:rStyle w:val="44"/>
                      <w:rFonts w:hint="default" w:ascii="Times New Roman" w:hAnsi="Times New Roman" w:eastAsia="宋体" w:cs="Times New Roman"/>
                      <w:kern w:val="2"/>
                      <w:sz w:val="21"/>
                      <w:szCs w:val="21"/>
                      <w:highlight w:val="yellow"/>
                      <w:lang w:val="en-US" w:eastAsia="zh-CN" w:bidi="ar-SA"/>
                    </w:rPr>
                  </w:pPr>
                  <w:r>
                    <w:rPr>
                      <w:rStyle w:val="44"/>
                      <w:rFonts w:hint="default" w:ascii="Times New Roman" w:hAnsi="Times New Roman" w:eastAsia="宋体" w:cs="Times New Roman"/>
                      <w:kern w:val="2"/>
                      <w:sz w:val="21"/>
                      <w:szCs w:val="21"/>
                      <w:lang w:val="en-US" w:eastAsia="zh-CN" w:bidi="ar-SA"/>
                    </w:rPr>
                    <w:t>市中区</w:t>
                  </w:r>
                </w:p>
              </w:tc>
              <w:tc>
                <w:tcPr>
                  <w:tcW w:w="1110" w:type="dxa"/>
                  <w:noWrap w:val="0"/>
                  <w:vAlign w:val="center"/>
                </w:tcPr>
                <w:p>
                  <w:pPr>
                    <w:pStyle w:val="191"/>
                    <w:widowControl/>
                    <w:spacing w:line="240" w:lineRule="auto"/>
                    <w:ind w:firstLine="0" w:firstLineChars="0"/>
                    <w:jc w:val="center"/>
                    <w:rPr>
                      <w:rStyle w:val="44"/>
                      <w:rFonts w:hint="default" w:ascii="Times New Roman" w:hAnsi="Times New Roman" w:eastAsia="宋体" w:cs="Times New Roman"/>
                      <w:kern w:val="2"/>
                      <w:sz w:val="21"/>
                      <w:szCs w:val="21"/>
                      <w:highlight w:val="yellow"/>
                      <w:lang w:val="en-US" w:eastAsia="zh-CN" w:bidi="ar-SA"/>
                    </w:rPr>
                  </w:pPr>
                  <w:r>
                    <w:rPr>
                      <w:rStyle w:val="44"/>
                      <w:rFonts w:hint="default" w:ascii="Times New Roman" w:hAnsi="Times New Roman" w:eastAsia="宋体" w:cs="Times New Roman"/>
                      <w:kern w:val="2"/>
                      <w:sz w:val="21"/>
                      <w:szCs w:val="21"/>
                      <w:lang w:val="en-US" w:eastAsia="zh-CN" w:bidi="ar-SA"/>
                    </w:rPr>
                    <w:t>水环境管控分区</w:t>
                  </w:r>
                </w:p>
              </w:tc>
              <w:tc>
                <w:tcPr>
                  <w:tcW w:w="1502" w:type="dxa"/>
                  <w:noWrap w:val="0"/>
                  <w:vAlign w:val="center"/>
                </w:tcPr>
                <w:p>
                  <w:pPr>
                    <w:pStyle w:val="191"/>
                    <w:widowControl/>
                    <w:spacing w:line="240" w:lineRule="auto"/>
                    <w:ind w:firstLine="0" w:firstLineChars="0"/>
                    <w:jc w:val="center"/>
                    <w:rPr>
                      <w:rStyle w:val="44"/>
                      <w:rFonts w:hint="default" w:ascii="Times New Roman" w:hAnsi="Times New Roman" w:eastAsia="宋体" w:cs="Times New Roman"/>
                      <w:kern w:val="2"/>
                      <w:sz w:val="21"/>
                      <w:szCs w:val="21"/>
                      <w:highlight w:val="yellow"/>
                      <w:lang w:val="en-US" w:eastAsia="zh-CN" w:bidi="ar-SA"/>
                    </w:rPr>
                  </w:pPr>
                  <w:r>
                    <w:rPr>
                      <w:rStyle w:val="44"/>
                      <w:rFonts w:hint="default" w:ascii="Times New Roman" w:hAnsi="Times New Roman" w:eastAsia="宋体" w:cs="Times New Roman"/>
                      <w:kern w:val="2"/>
                      <w:sz w:val="21"/>
                      <w:szCs w:val="21"/>
                      <w:lang w:val="en-US" w:eastAsia="zh-CN" w:bidi="ar-SA"/>
                    </w:rPr>
                    <w:t>水环境工业污染重点管控区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9" w:hRule="atLeast"/>
                <w:tblHeader/>
                <w:jc w:val="center"/>
              </w:trPr>
              <w:tc>
                <w:tcPr>
                  <w:tcW w:w="1107" w:type="dxa"/>
                  <w:noWrap w:val="0"/>
                  <w:vAlign w:val="center"/>
                </w:tcPr>
                <w:p>
                  <w:pPr>
                    <w:pStyle w:val="191"/>
                    <w:widowControl/>
                    <w:spacing w:line="240" w:lineRule="auto"/>
                    <w:ind w:firstLine="0" w:firstLineChars="0"/>
                    <w:jc w:val="center"/>
                    <w:rPr>
                      <w:rStyle w:val="44"/>
                      <w:rFonts w:hint="default" w:ascii="Times New Roman" w:hAnsi="Times New Roman" w:eastAsia="宋体" w:cs="Times New Roman"/>
                      <w:kern w:val="2"/>
                      <w:sz w:val="21"/>
                      <w:szCs w:val="21"/>
                      <w:highlight w:val="yellow"/>
                      <w:lang w:val="en-US" w:eastAsia="zh-CN" w:bidi="ar-SA"/>
                    </w:rPr>
                  </w:pPr>
                  <w:r>
                    <w:rPr>
                      <w:rStyle w:val="44"/>
                      <w:rFonts w:hint="default" w:ascii="Times New Roman" w:hAnsi="Times New Roman" w:eastAsia="宋体" w:cs="Times New Roman"/>
                      <w:kern w:val="2"/>
                      <w:sz w:val="21"/>
                      <w:szCs w:val="21"/>
                      <w:lang w:val="en-US" w:eastAsia="zh-CN" w:bidi="ar-SA"/>
                    </w:rPr>
                    <w:t>YS5111022310002</w:t>
                  </w:r>
                </w:p>
              </w:tc>
              <w:tc>
                <w:tcPr>
                  <w:tcW w:w="1703" w:type="dxa"/>
                  <w:noWrap w:val="0"/>
                  <w:vAlign w:val="center"/>
                </w:tcPr>
                <w:p>
                  <w:pPr>
                    <w:pStyle w:val="191"/>
                    <w:widowControl/>
                    <w:spacing w:line="240" w:lineRule="auto"/>
                    <w:ind w:firstLine="0" w:firstLineChars="0"/>
                    <w:jc w:val="center"/>
                    <w:rPr>
                      <w:rStyle w:val="44"/>
                      <w:rFonts w:hint="default" w:ascii="Times New Roman" w:hAnsi="Times New Roman" w:eastAsia="宋体" w:cs="Times New Roman"/>
                      <w:kern w:val="2"/>
                      <w:sz w:val="21"/>
                      <w:szCs w:val="21"/>
                      <w:highlight w:val="yellow"/>
                      <w:lang w:val="en-US" w:eastAsia="zh-CN" w:bidi="ar-SA"/>
                    </w:rPr>
                  </w:pPr>
                  <w:r>
                    <w:rPr>
                      <w:rStyle w:val="44"/>
                      <w:rFonts w:hint="default" w:ascii="Times New Roman" w:hAnsi="Times New Roman" w:eastAsia="宋体" w:cs="Times New Roman"/>
                      <w:kern w:val="2"/>
                      <w:sz w:val="21"/>
                      <w:szCs w:val="21"/>
                      <w:lang w:val="en-US" w:eastAsia="zh-CN" w:bidi="ar-SA"/>
                    </w:rPr>
                    <w:t>乐山高新技术产业开发区嘉州工业园</w:t>
                  </w:r>
                </w:p>
              </w:tc>
              <w:tc>
                <w:tcPr>
                  <w:tcW w:w="758" w:type="dxa"/>
                  <w:noWrap w:val="0"/>
                  <w:vAlign w:val="center"/>
                </w:tcPr>
                <w:p>
                  <w:pPr>
                    <w:pStyle w:val="191"/>
                    <w:widowControl/>
                    <w:spacing w:line="240" w:lineRule="auto"/>
                    <w:ind w:firstLine="0" w:firstLineChars="0"/>
                    <w:jc w:val="center"/>
                    <w:rPr>
                      <w:rStyle w:val="44"/>
                      <w:rFonts w:hint="default" w:ascii="Times New Roman" w:hAnsi="Times New Roman" w:eastAsia="宋体" w:cs="Times New Roman"/>
                      <w:kern w:val="2"/>
                      <w:sz w:val="21"/>
                      <w:szCs w:val="21"/>
                      <w:highlight w:val="yellow"/>
                      <w:lang w:val="en-US" w:eastAsia="zh-CN" w:bidi="ar-SA"/>
                    </w:rPr>
                  </w:pPr>
                  <w:r>
                    <w:rPr>
                      <w:rStyle w:val="44"/>
                      <w:rFonts w:hint="default" w:ascii="Times New Roman" w:hAnsi="Times New Roman" w:eastAsia="宋体" w:cs="Times New Roman"/>
                      <w:kern w:val="2"/>
                      <w:sz w:val="21"/>
                      <w:szCs w:val="21"/>
                      <w:lang w:val="en-US" w:eastAsia="zh-CN" w:bidi="ar-SA"/>
                    </w:rPr>
                    <w:t>乐山市</w:t>
                  </w:r>
                </w:p>
              </w:tc>
              <w:tc>
                <w:tcPr>
                  <w:tcW w:w="681" w:type="dxa"/>
                  <w:noWrap w:val="0"/>
                  <w:vAlign w:val="center"/>
                </w:tcPr>
                <w:p>
                  <w:pPr>
                    <w:pStyle w:val="191"/>
                    <w:widowControl/>
                    <w:spacing w:line="240" w:lineRule="auto"/>
                    <w:ind w:firstLine="0" w:firstLineChars="0"/>
                    <w:jc w:val="center"/>
                    <w:rPr>
                      <w:rStyle w:val="44"/>
                      <w:rFonts w:hint="default" w:ascii="Times New Roman" w:hAnsi="Times New Roman" w:eastAsia="宋体" w:cs="Times New Roman"/>
                      <w:kern w:val="2"/>
                      <w:sz w:val="21"/>
                      <w:szCs w:val="21"/>
                      <w:highlight w:val="yellow"/>
                      <w:lang w:val="en-US" w:eastAsia="zh-CN" w:bidi="ar-SA"/>
                    </w:rPr>
                  </w:pPr>
                  <w:r>
                    <w:rPr>
                      <w:rStyle w:val="44"/>
                      <w:rFonts w:hint="default" w:ascii="Times New Roman" w:hAnsi="Times New Roman" w:eastAsia="宋体" w:cs="Times New Roman"/>
                      <w:kern w:val="2"/>
                      <w:sz w:val="21"/>
                      <w:szCs w:val="21"/>
                      <w:lang w:val="en-US" w:eastAsia="zh-CN" w:bidi="ar-SA"/>
                    </w:rPr>
                    <w:t>市中区</w:t>
                  </w:r>
                </w:p>
              </w:tc>
              <w:tc>
                <w:tcPr>
                  <w:tcW w:w="1110" w:type="dxa"/>
                  <w:noWrap w:val="0"/>
                  <w:vAlign w:val="center"/>
                </w:tcPr>
                <w:p>
                  <w:pPr>
                    <w:pStyle w:val="191"/>
                    <w:widowControl/>
                    <w:spacing w:line="240" w:lineRule="auto"/>
                    <w:ind w:firstLine="0" w:firstLineChars="0"/>
                    <w:jc w:val="center"/>
                    <w:rPr>
                      <w:rStyle w:val="44"/>
                      <w:rFonts w:hint="default" w:ascii="Times New Roman" w:hAnsi="Times New Roman" w:eastAsia="宋体" w:cs="Times New Roman"/>
                      <w:kern w:val="2"/>
                      <w:sz w:val="21"/>
                      <w:szCs w:val="21"/>
                      <w:highlight w:val="yellow"/>
                      <w:lang w:val="en-US" w:eastAsia="zh-CN" w:bidi="ar-SA"/>
                    </w:rPr>
                  </w:pPr>
                  <w:r>
                    <w:rPr>
                      <w:rStyle w:val="44"/>
                      <w:rFonts w:hint="default" w:ascii="Times New Roman" w:hAnsi="Times New Roman" w:eastAsia="宋体" w:cs="Times New Roman"/>
                      <w:kern w:val="2"/>
                      <w:sz w:val="21"/>
                      <w:szCs w:val="21"/>
                      <w:lang w:val="en-US" w:eastAsia="zh-CN" w:bidi="ar-SA"/>
                    </w:rPr>
                    <w:t>大气环境管控分区</w:t>
                  </w:r>
                </w:p>
              </w:tc>
              <w:tc>
                <w:tcPr>
                  <w:tcW w:w="1502" w:type="dxa"/>
                  <w:noWrap w:val="0"/>
                  <w:vAlign w:val="center"/>
                </w:tcPr>
                <w:p>
                  <w:pPr>
                    <w:pStyle w:val="191"/>
                    <w:widowControl/>
                    <w:spacing w:line="240" w:lineRule="auto"/>
                    <w:ind w:firstLine="0" w:firstLineChars="0"/>
                    <w:jc w:val="center"/>
                    <w:rPr>
                      <w:rStyle w:val="44"/>
                      <w:rFonts w:hint="default" w:ascii="Times New Roman" w:hAnsi="Times New Roman" w:eastAsia="宋体" w:cs="Times New Roman"/>
                      <w:kern w:val="2"/>
                      <w:sz w:val="21"/>
                      <w:szCs w:val="21"/>
                      <w:highlight w:val="yellow"/>
                      <w:lang w:val="en-US" w:eastAsia="zh-CN" w:bidi="ar-SA"/>
                    </w:rPr>
                  </w:pPr>
                  <w:r>
                    <w:rPr>
                      <w:rStyle w:val="44"/>
                      <w:rFonts w:hint="default" w:ascii="Times New Roman" w:hAnsi="Times New Roman" w:eastAsia="宋体" w:cs="Times New Roman"/>
                      <w:kern w:val="2"/>
                      <w:sz w:val="21"/>
                      <w:szCs w:val="21"/>
                      <w:lang w:val="en-US" w:eastAsia="zh-CN" w:bidi="ar-SA"/>
                    </w:rPr>
                    <w:t>大气环境高排放重点管控区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710" w:hRule="atLeast"/>
                <w:tblHeader/>
                <w:jc w:val="center"/>
              </w:trPr>
              <w:tc>
                <w:tcPr>
                  <w:tcW w:w="1107" w:type="dxa"/>
                  <w:noWrap w:val="0"/>
                  <w:vAlign w:val="center"/>
                </w:tcPr>
                <w:p>
                  <w:pPr>
                    <w:pStyle w:val="191"/>
                    <w:widowControl/>
                    <w:spacing w:line="240" w:lineRule="auto"/>
                    <w:ind w:firstLine="0" w:firstLineChars="0"/>
                    <w:jc w:val="center"/>
                    <w:rPr>
                      <w:rStyle w:val="44"/>
                      <w:rFonts w:hint="default" w:ascii="Times New Roman" w:hAnsi="Times New Roman" w:eastAsia="宋体" w:cs="Times New Roman"/>
                      <w:kern w:val="2"/>
                      <w:sz w:val="21"/>
                      <w:szCs w:val="21"/>
                      <w:highlight w:val="yellow"/>
                      <w:lang w:val="en-US" w:eastAsia="zh-CN" w:bidi="ar-SA"/>
                    </w:rPr>
                  </w:pPr>
                  <w:r>
                    <w:rPr>
                      <w:rStyle w:val="44"/>
                      <w:rFonts w:hint="default" w:ascii="Times New Roman" w:hAnsi="Times New Roman" w:eastAsia="宋体" w:cs="Times New Roman"/>
                      <w:kern w:val="2"/>
                      <w:sz w:val="21"/>
                      <w:szCs w:val="21"/>
                      <w:lang w:val="en-US" w:eastAsia="zh-CN" w:bidi="ar-SA"/>
                    </w:rPr>
                    <w:t>YS5111022420002</w:t>
                  </w:r>
                </w:p>
              </w:tc>
              <w:tc>
                <w:tcPr>
                  <w:tcW w:w="1703" w:type="dxa"/>
                  <w:noWrap w:val="0"/>
                  <w:vAlign w:val="center"/>
                </w:tcPr>
                <w:p>
                  <w:pPr>
                    <w:pStyle w:val="191"/>
                    <w:widowControl/>
                    <w:spacing w:line="240" w:lineRule="auto"/>
                    <w:ind w:firstLine="0" w:firstLineChars="0"/>
                    <w:jc w:val="center"/>
                    <w:rPr>
                      <w:rStyle w:val="44"/>
                      <w:rFonts w:hint="default" w:ascii="Times New Roman" w:hAnsi="Times New Roman" w:eastAsia="宋体" w:cs="Times New Roman"/>
                      <w:kern w:val="2"/>
                      <w:sz w:val="21"/>
                      <w:szCs w:val="21"/>
                      <w:highlight w:val="yellow"/>
                      <w:lang w:val="en-US" w:eastAsia="zh-CN" w:bidi="ar-SA"/>
                    </w:rPr>
                  </w:pPr>
                  <w:r>
                    <w:rPr>
                      <w:rStyle w:val="44"/>
                      <w:rFonts w:hint="default" w:ascii="Times New Roman" w:hAnsi="Times New Roman" w:eastAsia="宋体" w:cs="Times New Roman"/>
                      <w:kern w:val="2"/>
                      <w:sz w:val="21"/>
                      <w:szCs w:val="21"/>
                      <w:lang w:val="en-US" w:eastAsia="zh-CN" w:bidi="ar-SA"/>
                    </w:rPr>
                    <w:t>乐山市市中区建设用地污染风险重点管控区2</w:t>
                  </w:r>
                </w:p>
              </w:tc>
              <w:tc>
                <w:tcPr>
                  <w:tcW w:w="758" w:type="dxa"/>
                  <w:noWrap w:val="0"/>
                  <w:vAlign w:val="center"/>
                </w:tcPr>
                <w:p>
                  <w:pPr>
                    <w:pStyle w:val="191"/>
                    <w:widowControl/>
                    <w:spacing w:line="240" w:lineRule="auto"/>
                    <w:ind w:firstLine="0" w:firstLineChars="0"/>
                    <w:jc w:val="center"/>
                    <w:rPr>
                      <w:rStyle w:val="44"/>
                      <w:rFonts w:hint="default" w:ascii="Times New Roman" w:hAnsi="Times New Roman" w:eastAsia="宋体" w:cs="Times New Roman"/>
                      <w:kern w:val="2"/>
                      <w:sz w:val="21"/>
                      <w:szCs w:val="21"/>
                      <w:highlight w:val="yellow"/>
                      <w:lang w:val="en-US" w:eastAsia="zh-CN" w:bidi="ar-SA"/>
                    </w:rPr>
                  </w:pPr>
                  <w:r>
                    <w:rPr>
                      <w:rStyle w:val="44"/>
                      <w:rFonts w:hint="default" w:ascii="Times New Roman" w:hAnsi="Times New Roman" w:eastAsia="宋体" w:cs="Times New Roman"/>
                      <w:kern w:val="2"/>
                      <w:sz w:val="21"/>
                      <w:szCs w:val="21"/>
                      <w:lang w:val="en-US" w:eastAsia="zh-CN" w:bidi="ar-SA"/>
                    </w:rPr>
                    <w:t>乐山市</w:t>
                  </w:r>
                </w:p>
              </w:tc>
              <w:tc>
                <w:tcPr>
                  <w:tcW w:w="681" w:type="dxa"/>
                  <w:noWrap w:val="0"/>
                  <w:vAlign w:val="center"/>
                </w:tcPr>
                <w:p>
                  <w:pPr>
                    <w:pStyle w:val="191"/>
                    <w:widowControl/>
                    <w:spacing w:line="240" w:lineRule="auto"/>
                    <w:ind w:firstLine="0" w:firstLineChars="0"/>
                    <w:jc w:val="center"/>
                    <w:rPr>
                      <w:rStyle w:val="44"/>
                      <w:rFonts w:hint="default" w:ascii="Times New Roman" w:hAnsi="Times New Roman" w:eastAsia="宋体" w:cs="Times New Roman"/>
                      <w:kern w:val="2"/>
                      <w:sz w:val="21"/>
                      <w:szCs w:val="21"/>
                      <w:highlight w:val="yellow"/>
                      <w:lang w:val="en-US" w:eastAsia="zh-CN" w:bidi="ar-SA"/>
                    </w:rPr>
                  </w:pPr>
                  <w:r>
                    <w:rPr>
                      <w:rStyle w:val="44"/>
                      <w:rFonts w:hint="default" w:ascii="Times New Roman" w:hAnsi="Times New Roman" w:eastAsia="宋体" w:cs="Times New Roman"/>
                      <w:kern w:val="2"/>
                      <w:sz w:val="21"/>
                      <w:szCs w:val="21"/>
                      <w:lang w:val="en-US" w:eastAsia="zh-CN" w:bidi="ar-SA"/>
                    </w:rPr>
                    <w:t>市中区</w:t>
                  </w:r>
                </w:p>
              </w:tc>
              <w:tc>
                <w:tcPr>
                  <w:tcW w:w="1110" w:type="dxa"/>
                  <w:noWrap w:val="0"/>
                  <w:vAlign w:val="center"/>
                </w:tcPr>
                <w:p>
                  <w:pPr>
                    <w:pStyle w:val="191"/>
                    <w:widowControl/>
                    <w:spacing w:line="240" w:lineRule="auto"/>
                    <w:ind w:firstLine="0" w:firstLineChars="0"/>
                    <w:jc w:val="center"/>
                    <w:rPr>
                      <w:rStyle w:val="44"/>
                      <w:rFonts w:hint="default" w:ascii="Times New Roman" w:hAnsi="Times New Roman" w:eastAsia="宋体" w:cs="Times New Roman"/>
                      <w:kern w:val="2"/>
                      <w:sz w:val="21"/>
                      <w:szCs w:val="21"/>
                      <w:highlight w:val="yellow"/>
                      <w:lang w:val="en-US" w:eastAsia="zh-CN" w:bidi="ar-SA"/>
                    </w:rPr>
                  </w:pPr>
                  <w:r>
                    <w:rPr>
                      <w:rStyle w:val="44"/>
                      <w:rFonts w:hint="default" w:ascii="Times New Roman" w:hAnsi="Times New Roman" w:eastAsia="宋体" w:cs="Times New Roman"/>
                      <w:kern w:val="2"/>
                      <w:sz w:val="21"/>
                      <w:szCs w:val="21"/>
                      <w:lang w:val="en-US" w:eastAsia="zh-CN" w:bidi="ar-SA"/>
                    </w:rPr>
                    <w:t>土壤污染风险管控分区</w:t>
                  </w:r>
                </w:p>
              </w:tc>
              <w:tc>
                <w:tcPr>
                  <w:tcW w:w="1502" w:type="dxa"/>
                  <w:noWrap w:val="0"/>
                  <w:vAlign w:val="center"/>
                </w:tcPr>
                <w:p>
                  <w:pPr>
                    <w:pStyle w:val="191"/>
                    <w:widowControl/>
                    <w:spacing w:line="240" w:lineRule="auto"/>
                    <w:ind w:firstLine="0" w:firstLineChars="0"/>
                    <w:jc w:val="center"/>
                    <w:rPr>
                      <w:rStyle w:val="44"/>
                      <w:rFonts w:hint="default" w:ascii="Times New Roman" w:hAnsi="Times New Roman" w:eastAsia="宋体" w:cs="Times New Roman"/>
                      <w:kern w:val="2"/>
                      <w:sz w:val="21"/>
                      <w:szCs w:val="21"/>
                      <w:highlight w:val="yellow"/>
                      <w:lang w:val="en-US" w:eastAsia="zh-CN" w:bidi="ar-SA"/>
                    </w:rPr>
                  </w:pPr>
                  <w:r>
                    <w:rPr>
                      <w:rStyle w:val="44"/>
                      <w:rFonts w:hint="default" w:ascii="Times New Roman" w:hAnsi="Times New Roman" w:eastAsia="宋体" w:cs="Times New Roman"/>
                      <w:kern w:val="2"/>
                      <w:sz w:val="21"/>
                      <w:szCs w:val="21"/>
                      <w:lang w:val="en-US" w:eastAsia="zh-CN" w:bidi="ar-SA"/>
                    </w:rPr>
                    <w:t>建设用地污染风险重点管控区</w:t>
                  </w:r>
                </w:p>
              </w:tc>
            </w:tr>
          </w:tbl>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outlineLvl w:val="9"/>
              <w:rPr>
                <w:rFonts w:hint="eastAsia" w:ascii="Times New Roman" w:hAnsi="Times New Roman" w:eastAsia="宋体" w:cs="Times New Roman"/>
                <w:color w:val="000000"/>
                <w:highlight w:val="none"/>
                <w:lang w:eastAsia="zh-CN"/>
              </w:rPr>
            </w:pPr>
            <w:r>
              <w:rPr>
                <w:rFonts w:hint="eastAsia" w:ascii="Times New Roman" w:hAnsi="Times New Roman" w:eastAsia="宋体" w:cs="Times New Roman"/>
                <w:color w:val="000000"/>
                <w:highlight w:val="none"/>
                <w:lang w:eastAsia="zh-CN"/>
              </w:rPr>
              <w:drawing>
                <wp:inline distT="0" distB="0" distL="114300" distR="114300">
                  <wp:extent cx="4287520" cy="3128645"/>
                  <wp:effectExtent l="0" t="0" r="17780" b="14605"/>
                  <wp:docPr id="18" name="图片 9" descr="三线一单分析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descr="三线一单分析图片"/>
                          <pic:cNvPicPr>
                            <a:picLocks noChangeAspect="1"/>
                          </pic:cNvPicPr>
                        </pic:nvPicPr>
                        <pic:blipFill>
                          <a:blip r:embed="rId10"/>
                          <a:srcRect b="2878"/>
                          <a:stretch>
                            <a:fillRect/>
                          </a:stretch>
                        </pic:blipFill>
                        <pic:spPr>
                          <a:xfrm>
                            <a:off x="0" y="0"/>
                            <a:ext cx="4287520" cy="312864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outlineLvl w:val="9"/>
              <w:rPr>
                <w:rFonts w:hint="default" w:ascii="Times New Roman" w:hAnsi="Times New Roman" w:eastAsia="宋体" w:cs="Times New Roman"/>
                <w:b/>
                <w:bCs/>
                <w:color w:val="000000"/>
                <w:szCs w:val="21"/>
                <w:highlight w:val="none"/>
                <w:lang w:val="en-US" w:eastAsia="zh-CN"/>
              </w:rPr>
            </w:pPr>
            <w:r>
              <w:rPr>
                <w:rFonts w:hint="default" w:ascii="Times New Roman" w:hAnsi="Times New Roman" w:eastAsia="宋体" w:cs="Times New Roman"/>
                <w:b/>
                <w:bCs/>
                <w:color w:val="000000"/>
                <w:szCs w:val="21"/>
                <w:highlight w:val="none"/>
                <w:lang w:val="en-US" w:eastAsia="zh-CN"/>
              </w:rPr>
              <w:t>图1-</w:t>
            </w:r>
            <w:r>
              <w:rPr>
                <w:rFonts w:hint="eastAsia" w:ascii="Times New Roman" w:hAnsi="Times New Roman" w:eastAsia="宋体" w:cs="Times New Roman"/>
                <w:b/>
                <w:bCs/>
                <w:color w:val="000000"/>
                <w:szCs w:val="21"/>
                <w:highlight w:val="none"/>
                <w:lang w:val="en-US" w:eastAsia="zh-CN"/>
              </w:rPr>
              <w:t>2</w:t>
            </w:r>
            <w:r>
              <w:rPr>
                <w:rFonts w:hint="default" w:ascii="Times New Roman" w:hAnsi="Times New Roman" w:eastAsia="宋体" w:cs="Times New Roman"/>
                <w:b/>
                <w:bCs/>
                <w:color w:val="000000"/>
                <w:szCs w:val="21"/>
                <w:highlight w:val="none"/>
                <w:lang w:val="en-US" w:eastAsia="zh-CN"/>
              </w:rPr>
              <w:t xml:space="preserve"> “三线一单”系统管控分区识别结果</w:t>
            </w:r>
          </w:p>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outlineLvl w:val="9"/>
              <w:rPr>
                <w:rFonts w:hint="default" w:ascii="Times New Roman" w:hAnsi="Times New Roman" w:eastAsia="宋体" w:cs="Times New Roman"/>
                <w:color w:val="000000"/>
                <w:kern w:val="0"/>
                <w:sz w:val="22"/>
                <w:szCs w:val="22"/>
                <w:highlight w:val="none"/>
                <w:lang w:val="en-US" w:eastAsia="zh-CN"/>
              </w:rPr>
            </w:pPr>
            <w:r>
              <w:rPr>
                <w:rFonts w:hint="default" w:ascii="Helvetica" w:hAnsi="Helvetica" w:eastAsia="Helvetica"/>
                <w:sz w:val="28"/>
                <w:szCs w:val="24"/>
                <w:highlight w:val="none"/>
              </w:rPr>
              <w:drawing>
                <wp:inline distT="0" distB="0" distL="114300" distR="114300">
                  <wp:extent cx="4298950" cy="2580005"/>
                  <wp:effectExtent l="0" t="0" r="6350" b="1079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pic:cNvPicPr>
                        </pic:nvPicPr>
                        <pic:blipFill>
                          <a:blip r:embed="rId11"/>
                          <a:stretch>
                            <a:fillRect/>
                          </a:stretch>
                        </pic:blipFill>
                        <pic:spPr>
                          <a:xfrm>
                            <a:off x="0" y="0"/>
                            <a:ext cx="4298950" cy="258000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outlineLvl w:val="9"/>
              <w:rPr>
                <w:rFonts w:hint="default" w:ascii="Times New Roman" w:hAnsi="Times New Roman" w:eastAsia="宋体" w:cs="Times New Roman"/>
                <w:color w:val="000000"/>
                <w:kern w:val="0"/>
                <w:sz w:val="22"/>
                <w:szCs w:val="22"/>
                <w:highlight w:val="none"/>
                <w:lang w:val="en-US" w:eastAsia="zh-CN"/>
              </w:rPr>
            </w:pPr>
            <w:r>
              <w:rPr>
                <w:rFonts w:hint="default" w:ascii="Times New Roman" w:hAnsi="Times New Roman" w:eastAsia="宋体" w:cs="Times New Roman"/>
                <w:b/>
                <w:bCs/>
                <w:color w:val="000000"/>
                <w:szCs w:val="21"/>
                <w:highlight w:val="none"/>
                <w:lang w:val="en-US" w:eastAsia="zh-CN"/>
              </w:rPr>
              <w:t>图1-</w:t>
            </w:r>
            <w:r>
              <w:rPr>
                <w:rFonts w:hint="eastAsia" w:ascii="Times New Roman" w:hAnsi="Times New Roman" w:eastAsia="宋体" w:cs="Times New Roman"/>
                <w:b/>
                <w:bCs/>
                <w:color w:val="000000"/>
                <w:szCs w:val="21"/>
                <w:highlight w:val="none"/>
                <w:lang w:val="en-US" w:eastAsia="zh-CN"/>
              </w:rPr>
              <w:t>3</w:t>
            </w:r>
            <w:r>
              <w:rPr>
                <w:rFonts w:hint="default" w:ascii="Times New Roman" w:hAnsi="Times New Roman" w:eastAsia="宋体" w:cs="Times New Roman"/>
                <w:b/>
                <w:bCs/>
                <w:color w:val="000000"/>
                <w:szCs w:val="21"/>
                <w:highlight w:val="none"/>
                <w:lang w:val="en-US" w:eastAsia="zh-CN"/>
              </w:rPr>
              <w:t xml:space="preserve"> 与环境综合管控单元的位置关系图</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40" w:firstLineChars="200"/>
              <w:jc w:val="left"/>
              <w:textAlignment w:val="auto"/>
              <w:outlineLvl w:val="9"/>
              <w:rPr>
                <w:rFonts w:hint="eastAsia" w:ascii="Times New Roman" w:hAnsi="Times New Roman" w:cs="Times New Roman"/>
                <w:color w:val="auto"/>
                <w:kern w:val="0"/>
                <w:sz w:val="22"/>
                <w:szCs w:val="22"/>
                <w:highlight w:val="none"/>
                <w:lang w:val="en-US" w:eastAsia="zh-CN"/>
              </w:rPr>
            </w:pPr>
            <w:r>
              <w:rPr>
                <w:rFonts w:hint="eastAsia" w:ascii="Times New Roman" w:hAnsi="Times New Roman" w:cs="Times New Roman"/>
                <w:color w:val="auto"/>
                <w:kern w:val="0"/>
                <w:sz w:val="22"/>
                <w:szCs w:val="22"/>
                <w:highlight w:val="none"/>
                <w:lang w:val="en-US" w:eastAsia="zh-CN"/>
              </w:rPr>
              <w:t>（2）生态环境准入清单</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40" w:firstLineChars="200"/>
              <w:jc w:val="left"/>
              <w:textAlignment w:val="auto"/>
              <w:outlineLvl w:val="9"/>
              <w:rPr>
                <w:rFonts w:hint="eastAsia" w:ascii="Times New Roman" w:hAnsi="Times New Roman" w:cs="Times New Roman"/>
                <w:color w:val="auto"/>
                <w:kern w:val="0"/>
                <w:sz w:val="22"/>
                <w:szCs w:val="22"/>
                <w:highlight w:val="none"/>
                <w:lang w:val="en-US" w:eastAsia="zh-CN"/>
              </w:rPr>
            </w:pPr>
            <w:r>
              <w:rPr>
                <w:rFonts w:hint="eastAsia" w:ascii="Times New Roman" w:hAnsi="Times New Roman" w:cs="Times New Roman"/>
                <w:color w:val="auto"/>
                <w:kern w:val="0"/>
                <w:sz w:val="22"/>
                <w:szCs w:val="22"/>
                <w:highlight w:val="none"/>
                <w:lang w:val="en-US" w:eastAsia="zh-CN"/>
              </w:rPr>
              <w:t>本项目生态环境准入清单符合性分析见下表。</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40" w:firstLineChars="200"/>
              <w:jc w:val="left"/>
              <w:textAlignment w:val="auto"/>
              <w:outlineLvl w:val="9"/>
              <w:rPr>
                <w:rFonts w:hint="eastAsia" w:ascii="Times New Roman" w:hAnsi="Times New Roman" w:cs="Times New Roman"/>
                <w:color w:val="auto"/>
                <w:kern w:val="0"/>
                <w:sz w:val="22"/>
                <w:szCs w:val="22"/>
                <w:highlight w:val="none"/>
                <w:lang w:val="en-US" w:eastAsia="zh-CN"/>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40" w:firstLineChars="200"/>
              <w:jc w:val="left"/>
              <w:textAlignment w:val="auto"/>
              <w:outlineLvl w:val="9"/>
              <w:rPr>
                <w:rFonts w:hint="eastAsia" w:ascii="Times New Roman" w:hAnsi="Times New Roman" w:cs="Times New Roman"/>
                <w:color w:val="auto"/>
                <w:kern w:val="0"/>
                <w:sz w:val="22"/>
                <w:szCs w:val="22"/>
                <w:highlight w:val="none"/>
                <w:lang w:val="en-US" w:eastAsia="zh-CN"/>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40" w:firstLineChars="200"/>
              <w:jc w:val="left"/>
              <w:textAlignment w:val="auto"/>
              <w:outlineLvl w:val="9"/>
              <w:rPr>
                <w:rFonts w:hint="eastAsia" w:ascii="Times New Roman" w:hAnsi="Times New Roman" w:cs="Times New Roman"/>
                <w:color w:val="auto"/>
                <w:kern w:val="0"/>
                <w:sz w:val="22"/>
                <w:szCs w:val="22"/>
                <w:highlight w:val="none"/>
                <w:lang w:val="en-US" w:eastAsia="zh-CN"/>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40" w:firstLineChars="200"/>
              <w:jc w:val="left"/>
              <w:textAlignment w:val="auto"/>
              <w:outlineLvl w:val="9"/>
              <w:rPr>
                <w:rFonts w:hint="eastAsia" w:ascii="Times New Roman" w:hAnsi="Times New Roman" w:cs="Times New Roman"/>
                <w:color w:val="auto"/>
                <w:kern w:val="0"/>
                <w:sz w:val="22"/>
                <w:szCs w:val="22"/>
                <w:highlight w:val="none"/>
                <w:lang w:val="en-US" w:eastAsia="zh-CN"/>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40" w:firstLineChars="200"/>
              <w:jc w:val="left"/>
              <w:textAlignment w:val="auto"/>
              <w:outlineLvl w:val="9"/>
              <w:rPr>
                <w:rFonts w:hint="eastAsia" w:ascii="Times New Roman" w:hAnsi="Times New Roman" w:cs="Times New Roman"/>
                <w:color w:val="auto"/>
                <w:kern w:val="0"/>
                <w:sz w:val="22"/>
                <w:szCs w:val="22"/>
                <w:highlight w:val="none"/>
                <w:lang w:val="en-US" w:eastAsia="zh-CN"/>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40" w:firstLineChars="200"/>
              <w:jc w:val="left"/>
              <w:textAlignment w:val="auto"/>
              <w:outlineLvl w:val="9"/>
              <w:rPr>
                <w:rFonts w:hint="eastAsia" w:ascii="Times New Roman" w:hAnsi="Times New Roman" w:cs="Times New Roman"/>
                <w:color w:val="auto"/>
                <w:kern w:val="0"/>
                <w:sz w:val="22"/>
                <w:szCs w:val="22"/>
                <w:highlight w:val="none"/>
                <w:lang w:val="en-US" w:eastAsia="zh-CN"/>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40" w:firstLineChars="200"/>
              <w:jc w:val="left"/>
              <w:textAlignment w:val="auto"/>
              <w:outlineLvl w:val="9"/>
              <w:rPr>
                <w:rFonts w:hint="eastAsia" w:ascii="Times New Roman" w:hAnsi="Times New Roman" w:cs="Times New Roman"/>
                <w:color w:val="auto"/>
                <w:kern w:val="0"/>
                <w:sz w:val="22"/>
                <w:szCs w:val="22"/>
                <w:highlight w:val="none"/>
                <w:lang w:val="en-US" w:eastAsia="zh-CN"/>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40" w:firstLineChars="200"/>
              <w:jc w:val="left"/>
              <w:textAlignment w:val="auto"/>
              <w:outlineLvl w:val="9"/>
              <w:rPr>
                <w:rFonts w:hint="eastAsia" w:ascii="Times New Roman" w:hAnsi="Times New Roman" w:cs="Times New Roman"/>
                <w:color w:val="auto"/>
                <w:kern w:val="0"/>
                <w:sz w:val="22"/>
                <w:szCs w:val="22"/>
                <w:highlight w:val="none"/>
                <w:lang w:val="en-US" w:eastAsia="zh-CN"/>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40" w:firstLineChars="200"/>
              <w:jc w:val="left"/>
              <w:textAlignment w:val="auto"/>
              <w:outlineLvl w:val="9"/>
              <w:rPr>
                <w:rFonts w:hint="eastAsia" w:ascii="Times New Roman" w:hAnsi="Times New Roman" w:cs="Times New Roman"/>
                <w:color w:val="auto"/>
                <w:kern w:val="0"/>
                <w:sz w:val="22"/>
                <w:szCs w:val="22"/>
                <w:highlight w:val="none"/>
                <w:lang w:val="en-US" w:eastAsia="zh-CN"/>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40" w:firstLineChars="200"/>
              <w:jc w:val="left"/>
              <w:textAlignment w:val="auto"/>
              <w:outlineLvl w:val="9"/>
              <w:rPr>
                <w:rFonts w:hint="eastAsia" w:ascii="Times New Roman" w:hAnsi="Times New Roman" w:cs="Times New Roman"/>
                <w:color w:val="auto"/>
                <w:kern w:val="0"/>
                <w:sz w:val="22"/>
                <w:szCs w:val="22"/>
                <w:highlight w:val="none"/>
                <w:lang w:val="en-US" w:eastAsia="zh-CN"/>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40" w:firstLineChars="200"/>
              <w:jc w:val="left"/>
              <w:textAlignment w:val="auto"/>
              <w:outlineLvl w:val="9"/>
              <w:rPr>
                <w:rFonts w:hint="eastAsia" w:ascii="Times New Roman" w:hAnsi="Times New Roman" w:cs="Times New Roman"/>
                <w:color w:val="auto"/>
                <w:kern w:val="0"/>
                <w:sz w:val="22"/>
                <w:szCs w:val="22"/>
                <w:highlight w:val="none"/>
                <w:lang w:val="en-US" w:eastAsia="zh-CN"/>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40" w:firstLineChars="200"/>
              <w:jc w:val="left"/>
              <w:textAlignment w:val="auto"/>
              <w:outlineLvl w:val="9"/>
              <w:rPr>
                <w:rFonts w:hint="eastAsia" w:ascii="Times New Roman" w:hAnsi="Times New Roman" w:cs="Times New Roman"/>
                <w:color w:val="auto"/>
                <w:kern w:val="0"/>
                <w:sz w:val="22"/>
                <w:szCs w:val="22"/>
                <w:highlight w:val="none"/>
                <w:lang w:val="en-US" w:eastAsia="zh-CN"/>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40" w:firstLineChars="200"/>
              <w:jc w:val="left"/>
              <w:textAlignment w:val="auto"/>
              <w:outlineLvl w:val="9"/>
              <w:rPr>
                <w:rFonts w:hint="eastAsia" w:ascii="Times New Roman" w:hAnsi="Times New Roman" w:cs="Times New Roman"/>
                <w:color w:val="auto"/>
                <w:kern w:val="0"/>
                <w:sz w:val="22"/>
                <w:szCs w:val="22"/>
                <w:highlight w:val="none"/>
                <w:lang w:val="en-US" w:eastAsia="zh-CN"/>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40" w:firstLineChars="200"/>
              <w:jc w:val="left"/>
              <w:textAlignment w:val="auto"/>
              <w:outlineLvl w:val="9"/>
              <w:rPr>
                <w:rFonts w:hint="eastAsia" w:ascii="Times New Roman" w:hAnsi="Times New Roman" w:cs="Times New Roman"/>
                <w:color w:val="auto"/>
                <w:kern w:val="0"/>
                <w:sz w:val="22"/>
                <w:szCs w:val="22"/>
                <w:highlight w:val="none"/>
                <w:lang w:val="en-US" w:eastAsia="zh-CN"/>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40" w:firstLineChars="200"/>
              <w:jc w:val="left"/>
              <w:textAlignment w:val="auto"/>
              <w:outlineLvl w:val="9"/>
              <w:rPr>
                <w:rFonts w:hint="eastAsia" w:ascii="Times New Roman" w:hAnsi="Times New Roman" w:cs="Times New Roman"/>
                <w:color w:val="auto"/>
                <w:kern w:val="0"/>
                <w:sz w:val="22"/>
                <w:szCs w:val="22"/>
                <w:highlight w:val="none"/>
                <w:lang w:val="en-US" w:eastAsia="zh-CN"/>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40" w:firstLineChars="200"/>
              <w:jc w:val="left"/>
              <w:textAlignment w:val="auto"/>
              <w:outlineLvl w:val="9"/>
              <w:rPr>
                <w:rFonts w:hint="default" w:ascii="Times New Roman" w:hAnsi="Times New Roman" w:cs="Times New Roman"/>
                <w:color w:val="auto"/>
                <w:kern w:val="0"/>
                <w:sz w:val="22"/>
                <w:szCs w:val="22"/>
                <w:highlight w:val="none"/>
                <w:lang w:val="en-US" w:eastAsia="zh-CN"/>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40" w:firstLineChars="200"/>
              <w:jc w:val="left"/>
              <w:textAlignment w:val="auto"/>
              <w:outlineLvl w:val="9"/>
              <w:rPr>
                <w:rFonts w:hint="eastAsia" w:ascii="Times New Roman" w:hAnsi="Times New Roman" w:cs="Times New Roman"/>
                <w:color w:val="auto"/>
                <w:kern w:val="0"/>
                <w:sz w:val="22"/>
                <w:szCs w:val="22"/>
                <w:highlight w:val="none"/>
                <w:lang w:val="en-US" w:eastAsia="zh-CN"/>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40" w:firstLineChars="200"/>
              <w:jc w:val="left"/>
              <w:textAlignment w:val="auto"/>
              <w:outlineLvl w:val="9"/>
              <w:rPr>
                <w:rFonts w:hint="eastAsia" w:ascii="Times New Roman" w:hAnsi="Times New Roman" w:cs="Times New Roman"/>
                <w:color w:val="auto"/>
                <w:kern w:val="0"/>
                <w:sz w:val="22"/>
                <w:szCs w:val="22"/>
                <w:highlight w:val="none"/>
                <w:lang w:val="en-US" w:eastAsia="zh-CN"/>
              </w:rPr>
            </w:pPr>
          </w:p>
          <w:p>
            <w:pPr>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outlineLvl w:val="9"/>
              <w:rPr>
                <w:rFonts w:hint="eastAsia" w:ascii="Times New Roman" w:hAnsi="Times New Roman" w:cs="Times New Roman"/>
                <w:color w:val="auto"/>
                <w:kern w:val="0"/>
                <w:sz w:val="22"/>
                <w:szCs w:val="22"/>
                <w:highlight w:val="none"/>
                <w:lang w:val="en-US" w:eastAsia="zh-CN"/>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40" w:firstLineChars="200"/>
              <w:jc w:val="left"/>
              <w:textAlignment w:val="auto"/>
              <w:outlineLvl w:val="9"/>
              <w:rPr>
                <w:rFonts w:hint="eastAsia" w:ascii="Times New Roman" w:hAnsi="Times New Roman" w:cs="Times New Roman"/>
                <w:color w:val="auto"/>
                <w:kern w:val="0"/>
                <w:sz w:val="22"/>
                <w:szCs w:val="22"/>
                <w:highlight w:val="none"/>
                <w:lang w:val="en-US" w:eastAsia="zh-CN"/>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color w:val="auto"/>
                <w:kern w:val="0"/>
                <w:szCs w:val="21"/>
                <w:highlight w:val="none"/>
                <w:lang w:val="en-US" w:eastAsia="zh-CN"/>
              </w:rPr>
            </w:pPr>
          </w:p>
        </w:tc>
      </w:tr>
    </w:tbl>
    <w:p>
      <w:pPr>
        <w:spacing w:line="360" w:lineRule="auto"/>
        <w:outlineLvl w:val="0"/>
        <w:rPr>
          <w:rFonts w:hint="default" w:ascii="Times New Roman" w:hAnsi="Times New Roman" w:eastAsia="黑体" w:cs="Times New Roman"/>
          <w:color w:val="auto"/>
          <w:sz w:val="30"/>
          <w:highlight w:val="none"/>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pPr>
        <w:adjustRightInd w:val="0"/>
        <w:jc w:val="center"/>
        <w:textAlignment w:val="baseline"/>
        <w:rPr>
          <w:rFonts w:hint="eastAsia"/>
          <w:lang w:val="en-US" w:eastAsia="zh-CN"/>
        </w:rPr>
      </w:pPr>
      <w:r>
        <w:rPr>
          <w:rFonts w:hint="default" w:ascii="Times New Roman" w:hAnsi="Times New Roman" w:cs="Times New Roman"/>
          <w:b/>
          <w:bCs/>
          <w:color w:val="auto"/>
          <w:szCs w:val="21"/>
          <w:highlight w:val="none"/>
          <w:lang w:val="en-US" w:eastAsia="zh-CN"/>
        </w:rPr>
        <w:t>表1-</w:t>
      </w:r>
      <w:r>
        <w:rPr>
          <w:rFonts w:hint="eastAsia" w:ascii="Times New Roman" w:hAnsi="Times New Roman" w:cs="Times New Roman"/>
          <w:b/>
          <w:bCs/>
          <w:color w:val="auto"/>
          <w:szCs w:val="21"/>
          <w:highlight w:val="none"/>
          <w:lang w:val="en-US" w:eastAsia="zh-CN"/>
        </w:rPr>
        <w:t>6</w:t>
      </w:r>
      <w:r>
        <w:rPr>
          <w:rFonts w:hint="default" w:ascii="Times New Roman" w:hAnsi="Times New Roman" w:cs="Times New Roman"/>
          <w:b/>
          <w:bCs/>
          <w:color w:val="auto"/>
          <w:szCs w:val="21"/>
          <w:highlight w:val="none"/>
          <w:lang w:val="en-US" w:eastAsia="zh-CN"/>
        </w:rPr>
        <w:t xml:space="preserve"> </w:t>
      </w:r>
      <w:r>
        <w:rPr>
          <w:rFonts w:hint="eastAsia" w:ascii="Times New Roman" w:hAnsi="Times New Roman" w:cs="Times New Roman"/>
          <w:b/>
          <w:bCs/>
          <w:color w:val="auto"/>
          <w:szCs w:val="21"/>
          <w:highlight w:val="none"/>
          <w:lang w:val="en-US" w:eastAsia="zh-CN"/>
        </w:rPr>
        <w:t>本项目生态环境准入清单符合性分析一览表</w:t>
      </w:r>
    </w:p>
    <w:tbl>
      <w:tblPr>
        <w:tblStyle w:val="201"/>
        <w:tblW w:w="145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
        <w:gridCol w:w="708"/>
        <w:gridCol w:w="5324"/>
        <w:gridCol w:w="1232"/>
        <w:gridCol w:w="3661"/>
        <w:gridCol w:w="1952"/>
        <w:gridCol w:w="7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1" w:type="dxa"/>
            <w:noWrap w:val="0"/>
            <w:vAlign w:val="center"/>
          </w:tcPr>
          <w:p>
            <w:pPr>
              <w:widowControl/>
              <w:spacing w:line="240" w:lineRule="auto"/>
              <w:ind w:firstLine="0" w:firstLineChars="0"/>
              <w:jc w:val="center"/>
              <w:rPr>
                <w:rStyle w:val="44"/>
                <w:rFonts w:hint="eastAsia" w:ascii="宋体" w:hAnsi="宋体" w:eastAsia="宋体" w:cs="Times New Roman"/>
                <w:kern w:val="2"/>
                <w:sz w:val="21"/>
                <w:szCs w:val="21"/>
                <w:lang w:val="en-US" w:eastAsia="zh-CN" w:bidi="ar-SA"/>
              </w:rPr>
            </w:pPr>
            <w:r>
              <w:rPr>
                <w:rFonts w:hint="eastAsia" w:ascii="宋体" w:hAnsi="宋体" w:eastAsia="宋体" w:cs="宋体"/>
                <w:b/>
                <w:bCs/>
                <w:color w:val="000000"/>
                <w:kern w:val="0"/>
                <w:sz w:val="21"/>
                <w:szCs w:val="21"/>
                <w:lang w:val="en-US" w:eastAsia="zh-CN" w:bidi="ar-SA"/>
              </w:rPr>
              <w:t>环境管控单元编码</w:t>
            </w:r>
          </w:p>
        </w:tc>
        <w:tc>
          <w:tcPr>
            <w:tcW w:w="708" w:type="dxa"/>
            <w:noWrap w:val="0"/>
            <w:vAlign w:val="center"/>
          </w:tcPr>
          <w:p>
            <w:pPr>
              <w:widowControl/>
              <w:spacing w:line="240" w:lineRule="auto"/>
              <w:ind w:firstLine="0" w:firstLineChars="0"/>
              <w:jc w:val="center"/>
              <w:rPr>
                <w:rStyle w:val="44"/>
                <w:rFonts w:hint="eastAsia" w:ascii="宋体" w:hAnsi="宋体" w:eastAsia="宋体" w:cs="Times New Roman"/>
                <w:kern w:val="2"/>
                <w:sz w:val="21"/>
                <w:szCs w:val="21"/>
                <w:lang w:val="en-US" w:eastAsia="zh-CN" w:bidi="ar-SA"/>
              </w:rPr>
            </w:pPr>
            <w:r>
              <w:rPr>
                <w:rFonts w:hint="eastAsia" w:ascii="宋体" w:hAnsi="宋体" w:eastAsia="宋体" w:cs="宋体"/>
                <w:b/>
                <w:bCs/>
                <w:color w:val="000000"/>
                <w:kern w:val="0"/>
                <w:sz w:val="21"/>
                <w:szCs w:val="21"/>
                <w:lang w:val="en-US" w:eastAsia="zh-CN" w:bidi="ar-SA"/>
              </w:rPr>
              <w:t>环境管控单元名称</w:t>
            </w:r>
          </w:p>
        </w:tc>
        <w:tc>
          <w:tcPr>
            <w:tcW w:w="5324" w:type="dxa"/>
            <w:noWrap w:val="0"/>
            <w:vAlign w:val="center"/>
          </w:tcPr>
          <w:p>
            <w:pPr>
              <w:widowControl w:val="0"/>
              <w:spacing w:line="360" w:lineRule="auto"/>
              <w:ind w:firstLine="0" w:firstLineChars="0"/>
              <w:jc w:val="center"/>
              <w:rPr>
                <w:rStyle w:val="44"/>
                <w:rFonts w:hint="eastAsia" w:ascii="宋体" w:hAnsi="宋体" w:eastAsia="宋体" w:cs="宋体"/>
                <w:color w:val="000000"/>
                <w:kern w:val="0"/>
                <w:sz w:val="21"/>
                <w:szCs w:val="21"/>
                <w:lang w:val="en-US" w:eastAsia="zh-CN" w:bidi="ar-SA"/>
              </w:rPr>
            </w:pPr>
            <w:r>
              <w:rPr>
                <w:rFonts w:hint="eastAsia" w:ascii="宋体" w:hAnsi="宋体" w:eastAsia="宋体" w:cs="宋体"/>
                <w:b/>
                <w:bCs/>
                <w:color w:val="000000"/>
                <w:kern w:val="0"/>
                <w:sz w:val="21"/>
                <w:szCs w:val="21"/>
                <w:lang w:val="en-US" w:eastAsia="zh-CN" w:bidi="ar-SA"/>
              </w:rPr>
              <w:t>乐山市普适性清单</w:t>
            </w:r>
          </w:p>
        </w:tc>
        <w:tc>
          <w:tcPr>
            <w:tcW w:w="1232" w:type="dxa"/>
            <w:noWrap w:val="0"/>
            <w:vAlign w:val="center"/>
          </w:tcPr>
          <w:p>
            <w:pPr>
              <w:widowControl/>
              <w:spacing w:line="240" w:lineRule="auto"/>
              <w:ind w:firstLine="0" w:firstLineChars="0"/>
              <w:jc w:val="center"/>
              <w:rPr>
                <w:rStyle w:val="44"/>
                <w:rFonts w:hint="eastAsia" w:ascii="宋体" w:hAnsi="宋体" w:eastAsia="宋体" w:cs="Times New Roman"/>
                <w:kern w:val="2"/>
                <w:sz w:val="21"/>
                <w:szCs w:val="21"/>
                <w:lang w:val="en-US" w:eastAsia="zh-CN" w:bidi="ar-SA"/>
              </w:rPr>
            </w:pPr>
            <w:r>
              <w:rPr>
                <w:rFonts w:hint="eastAsia" w:ascii="宋体" w:hAnsi="宋体" w:eastAsia="宋体" w:cs="宋体"/>
                <w:b/>
                <w:bCs/>
                <w:color w:val="000000"/>
                <w:kern w:val="0"/>
                <w:sz w:val="21"/>
                <w:szCs w:val="21"/>
                <w:lang w:val="en-US" w:eastAsia="zh-CN" w:bidi="ar-SA"/>
              </w:rPr>
              <w:t>管控类别</w:t>
            </w:r>
          </w:p>
        </w:tc>
        <w:tc>
          <w:tcPr>
            <w:tcW w:w="3661" w:type="dxa"/>
            <w:noWrap w:val="0"/>
            <w:vAlign w:val="center"/>
          </w:tcPr>
          <w:p>
            <w:pPr>
              <w:widowControl/>
              <w:spacing w:line="240" w:lineRule="auto"/>
              <w:ind w:firstLine="0" w:firstLineChars="0"/>
              <w:jc w:val="center"/>
              <w:rPr>
                <w:rStyle w:val="44"/>
                <w:rFonts w:hint="eastAsia" w:ascii="宋体" w:hAnsi="宋体" w:eastAsia="宋体" w:cs="Times New Roman"/>
                <w:kern w:val="2"/>
                <w:sz w:val="21"/>
                <w:szCs w:val="21"/>
                <w:lang w:val="en-US" w:eastAsia="zh-CN" w:bidi="ar-SA"/>
              </w:rPr>
            </w:pPr>
            <w:r>
              <w:rPr>
                <w:rFonts w:hint="eastAsia" w:ascii="宋体" w:hAnsi="宋体" w:eastAsia="宋体" w:cs="宋体"/>
                <w:b/>
                <w:bCs/>
                <w:color w:val="000000"/>
                <w:kern w:val="0"/>
                <w:sz w:val="21"/>
                <w:szCs w:val="21"/>
                <w:lang w:val="en-US" w:eastAsia="zh-CN" w:bidi="ar-SA"/>
              </w:rPr>
              <w:t>单元特性管控要求</w:t>
            </w:r>
          </w:p>
        </w:tc>
        <w:tc>
          <w:tcPr>
            <w:tcW w:w="1952"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eastAsia" w:ascii="宋体" w:hAnsi="宋体" w:eastAsia="宋体" w:cs="宋体"/>
                <w:b/>
                <w:bCs/>
                <w:color w:val="000000"/>
                <w:kern w:val="0"/>
                <w:sz w:val="21"/>
                <w:szCs w:val="21"/>
                <w:lang w:val="en-US" w:eastAsia="zh-CN" w:bidi="ar-SA"/>
              </w:rPr>
            </w:pPr>
            <w:r>
              <w:rPr>
                <w:rFonts w:hint="default" w:ascii="Times New Roman" w:hAnsi="Times New Roman" w:eastAsia="宋体" w:cs="Times New Roman"/>
                <w:b/>
                <w:bCs/>
                <w:color w:val="000000"/>
                <w:kern w:val="0"/>
                <w:sz w:val="21"/>
                <w:szCs w:val="21"/>
                <w:lang w:val="en-US" w:eastAsia="zh-CN" w:bidi="ar-SA"/>
              </w:rPr>
              <w:t>本项目情况</w:t>
            </w:r>
          </w:p>
        </w:tc>
        <w:tc>
          <w:tcPr>
            <w:tcW w:w="793"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eastAsia" w:ascii="宋体" w:hAnsi="宋体" w:eastAsia="宋体" w:cs="宋体"/>
                <w:b/>
                <w:bCs/>
                <w:color w:val="000000"/>
                <w:kern w:val="0"/>
                <w:sz w:val="21"/>
                <w:szCs w:val="21"/>
                <w:lang w:val="en-US" w:eastAsia="zh-CN" w:bidi="ar-SA"/>
              </w:rPr>
            </w:pPr>
            <w:r>
              <w:rPr>
                <w:rFonts w:hint="default" w:ascii="Times New Roman" w:hAnsi="Times New Roman" w:eastAsia="宋体" w:cs="Times New Roman"/>
                <w:b/>
                <w:bCs/>
                <w:color w:val="000000"/>
                <w:kern w:val="0"/>
                <w:sz w:val="21"/>
                <w:szCs w:val="21"/>
                <w:lang w:val="en-US" w:eastAsia="zh-CN" w:bidi="ar-SA"/>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1" w:type="dxa"/>
            <w:vMerge w:val="restart"/>
            <w:noWrap w:val="0"/>
            <w:vAlign w:val="center"/>
          </w:tcPr>
          <w:p>
            <w:pPr>
              <w:pStyle w:val="200"/>
              <w:widowControl/>
              <w:spacing w:line="240" w:lineRule="auto"/>
              <w:ind w:firstLine="0" w:firstLineChars="0"/>
              <w:jc w:val="left"/>
              <w:rPr>
                <w:rStyle w:val="44"/>
                <w:rFonts w:ascii="宋体" w:hAnsi="宋体" w:eastAsia="宋体" w:cs="Times New Roman"/>
                <w:kern w:val="2"/>
                <w:sz w:val="21"/>
                <w:szCs w:val="21"/>
                <w:lang w:val="en-US" w:eastAsia="zh-CN" w:bidi="ar-SA"/>
              </w:rPr>
            </w:pPr>
            <w:r>
              <w:rPr>
                <w:rStyle w:val="44"/>
                <w:rFonts w:hint="eastAsia" w:ascii="宋体" w:hAnsi="宋体" w:eastAsia="宋体" w:cs="Times New Roman"/>
                <w:kern w:val="2"/>
                <w:sz w:val="21"/>
                <w:szCs w:val="21"/>
                <w:lang w:val="en-US" w:eastAsia="zh-CN" w:bidi="ar-SA"/>
              </w:rPr>
              <w:t>ZH51110220002</w:t>
            </w:r>
          </w:p>
        </w:tc>
        <w:tc>
          <w:tcPr>
            <w:tcW w:w="708" w:type="dxa"/>
            <w:vMerge w:val="restart"/>
            <w:noWrap w:val="0"/>
            <w:vAlign w:val="center"/>
          </w:tcPr>
          <w:p>
            <w:pPr>
              <w:pStyle w:val="200"/>
              <w:widowControl/>
              <w:spacing w:line="240" w:lineRule="auto"/>
              <w:ind w:firstLine="0" w:firstLineChars="0"/>
              <w:jc w:val="left"/>
              <w:rPr>
                <w:rStyle w:val="44"/>
                <w:rFonts w:ascii="宋体" w:hAnsi="宋体" w:eastAsia="宋体" w:cs="Times New Roman"/>
                <w:kern w:val="2"/>
                <w:sz w:val="21"/>
                <w:szCs w:val="21"/>
                <w:lang w:val="en-US" w:eastAsia="zh-CN" w:bidi="ar-SA"/>
              </w:rPr>
            </w:pPr>
            <w:r>
              <w:rPr>
                <w:rStyle w:val="44"/>
                <w:rFonts w:hint="eastAsia" w:ascii="宋体" w:hAnsi="宋体" w:eastAsia="宋体" w:cs="Times New Roman"/>
                <w:kern w:val="2"/>
                <w:sz w:val="21"/>
                <w:szCs w:val="21"/>
                <w:lang w:val="en-US" w:eastAsia="zh-CN" w:bidi="ar-SA"/>
              </w:rPr>
              <w:t>乐山高新技术产业开发区嘉州工业园</w:t>
            </w:r>
          </w:p>
        </w:tc>
        <w:tc>
          <w:tcPr>
            <w:tcW w:w="5324" w:type="dxa"/>
            <w:vMerge w:val="restart"/>
            <w:noWrap w:val="0"/>
            <w:vAlign w:val="center"/>
          </w:tcPr>
          <w:p>
            <w:pPr>
              <w:pStyle w:val="200"/>
              <w:widowControl w:val="0"/>
              <w:spacing w:line="360" w:lineRule="auto"/>
              <w:ind w:firstLine="0" w:firstLineChars="0"/>
              <w:jc w:val="both"/>
              <w:rPr>
                <w:rStyle w:val="44"/>
                <w:rFonts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空间布局约束：</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禁止开发建设活动的要求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1）禁止在长江干支流岸线一公里范围内新建、扩建化工园区和化工项目；禁止在长江干流岸线三公里范围内和重要支流岸线一公里范围内新建、改建、扩建尾矿库（以提升安全、生态环境保护水平为目的的改建除外）；</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（2）禁止在合规园区外新建、扩建钢铁、石化、化工、焦化、建材、有色等高污染项目。禁止新建、扩建不符合国家石化、现代煤化工等产业布局规划的项目；</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（3）重点区域严禁新增钢铁、焦化、电解铝、铸造、水泥、平板玻璃等行业项目及产能。</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限制开发建设活动的要求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（1）继续化解过剩产能，严禁钢铁、水泥、电解铝、平板玻璃等行业新增产能，对确有必要新建的必须实施等量或减量置换；</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（2）长江干流及重要支流岸线一公里范围内严控新建制革、有色金属、三磷项目。</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不符合空间布局要求活动的退出要求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（1）现有属于园区禁止引入产业门类的企业，原则上限制发展，污染物排放只降不增，允许以提升安全、生态环境保护水平为目的的改建，引导企业结合产业升级等适时搬迁；</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（2）加强沿江化工园区和重点企业的环境风险防范和污染治理，对限期未完成治理的化工企业实施关闭，逐步实施五通桥盐磷化工产业园、马边磷化特色产业园等沿江沿河化工园区和重点企业的搬迁。</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其他空间布局约束要求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污染物排放管控：</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允许排放量要求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（1）上一年度水环境质量未完成目标的，新建排放水污染的建设项目按照总量管控要求进行倍量削减替代；</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（2）对新建排放二氧化硫、氮氧化物、工业烟粉尘和挥发性有机物的项目实施现役源2倍削减替代；</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（3）水质超标的水功能区，应当实施更严格的污染物排放总量削减要求。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现有源提标升级改造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（1）现有工业园区集中污水处理厂执行《四川省岷江、沱江流域水污染物排放标准》（DB51 2311-2016），增加工业污水中水回用配套设施建设，鼓励园区和企业中水回用；</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（2）推进高污染、高耗水行业清洁生产改造，确保单位产品基准排水量达到《四川省岷江、沱江流域水污染物排放标准》。加大钢铁、印染、造纸、化工、制革等高耗水企业废水深度处理回用；</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（3）市中区、五通桥区、沙湾区、犍为县、井研县、峨眉山市、夹江县属大气污染重点区域，执行大气污染物排放特别限值和特别控制要求；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（4）全市燃煤锅炉稳定达到超低排放限值要求，烟粉尘低于10毫克立方米，二氧化硫低于35毫克立方米，氮氧化物低于50毫克立方米；</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5）持续推进水泥、陶瓷、砖瓦、铸造、铁合金、钢铁等行业大气污染深度治理，深入推进颗粒物、二氧化硫、氮氧化物和挥发性有机物治理，持续推进陶瓷行业（喷雾干燥塔）清洁能源改造工程，加快推进五通桥涉氨排放化工企业氨排放治理。</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其他污染物排放管控要求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（1）工业废水集中处理设施实现稳定达《四川省岷江、沱江流域水污染物排放标准》相应标准限值排放。磷肥和含磷农药制造等企业，应当按照排污许可要求，采取有效措施控制总磷排放浓度和排放总量；</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（2）大力推进低（无）VOCs含量原辅材料替代；聚焦治污设施“三率”，提升综合治理效率。</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环境风险防控：</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联防联控要求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（1）建立健全全过程、多层级环境风险防范体系。强化危化品泄漏应急处置措施，确保风险可控。针对化工园区建立有毒有害气体环境风险预警体系，建立区域、流域联动应急响应体系，实行联防联控。</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其他环境风险防控要求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（1）涉及有毒有害、易燃易爆物质新建、改扩建项目，严控准入要求；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（2）严格涉重金属企业和园区环境准入管理，新（改、扩）建涉重金属重点行业建设项目实施“等量替代”或“减量替代”；</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3）有色金属冶炼、石油加工、化工、焦化、电镀、制革等行业企业拆除生产设施设备、构筑物和污染治理设施，要事先制定残留污染物清理和安全处置方案，要严格按照有关规定实施安全处理处置，防范拆除活动污染土壤；</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4）对拟收回土地使用权的有色金属矿采选、有色金属冶炼、石油加工、化工、焦化、电镀、制革、铅蓄电池、农药、危废处置、电子拆解等行业企业用地，应按相关要求进行土壤环境状况调查评估，符合相应规划用地土壤环境质量要求的地块，方可进入用地程序。</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资源开发利用效率要求：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水资源利用总量要求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1）鼓励引导新建、改建、扩建工业园区应当按照有关要求统筹建设工业废水集中处理和回用设施，适时推进企业间串联用水、分质用水、一水多用，实现水循环梯级优化利用和废水集中处理回用，创建节水型工业园区；</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2）鼓励火力发电、钢铁、纺织、造纸、石化和化工、食品和发酵等高耗水企业对废水进行深度处理回用，降低单位产品耗水量。火电、石化、钢铁、有色、造纸、印染等高耗水行业项目具备使用再生水条件但未有效利用的，要严格控制新增取水许可。</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地下水开采要求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能源利用总量及效率要求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（1）严格控制煤炭消费总量。严格控制新建、改建、扩建耗煤项目，新增耗煤项目实行当年煤炭消耗减量倍量替代。</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禁燃区要求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（1）保留20蒸吨小时以上燃煤锅炉，并执行超低排放要求；或进行清洁能源改造，清洁能源改造选择燃气锅炉的，应当同时采用低氮燃烧技术；</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（2）禁燃区禁止审批（核准、备案）、新建、扩建燃用高污染燃料的锅炉、炉窑等各类燃用高污染燃料的设施。</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其他资源利用效率要求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tc>
        <w:tc>
          <w:tcPr>
            <w:tcW w:w="1232" w:type="dxa"/>
            <w:noWrap w:val="0"/>
            <w:vAlign w:val="center"/>
          </w:tcPr>
          <w:p>
            <w:pPr>
              <w:pStyle w:val="200"/>
              <w:widowControl/>
              <w:spacing w:line="240" w:lineRule="auto"/>
              <w:ind w:firstLine="0" w:firstLineChars="0"/>
              <w:jc w:val="center"/>
              <w:rPr>
                <w:rStyle w:val="44"/>
                <w:rFonts w:ascii="宋体" w:hAnsi="宋体" w:eastAsia="宋体" w:cs="Times New Roman"/>
                <w:kern w:val="2"/>
                <w:sz w:val="21"/>
                <w:szCs w:val="21"/>
                <w:lang w:val="en-US" w:eastAsia="zh-CN" w:bidi="ar-SA"/>
              </w:rPr>
            </w:pPr>
            <w:r>
              <w:rPr>
                <w:rStyle w:val="44"/>
                <w:rFonts w:hint="eastAsia" w:ascii="宋体" w:hAnsi="宋体" w:eastAsia="宋体" w:cs="Times New Roman"/>
                <w:kern w:val="2"/>
                <w:sz w:val="21"/>
                <w:szCs w:val="21"/>
                <w:lang w:val="en-US" w:eastAsia="zh-CN" w:bidi="ar-SA"/>
              </w:rPr>
              <w:t>空间布局约束</w:t>
            </w:r>
          </w:p>
        </w:tc>
        <w:tc>
          <w:tcPr>
            <w:tcW w:w="3661" w:type="dxa"/>
            <w:noWrap w:val="0"/>
            <w:vAlign w:val="center"/>
          </w:tcPr>
          <w:p>
            <w:pPr>
              <w:pStyle w:val="200"/>
              <w:widowControl/>
              <w:shd w:val="clear" w:color="auto" w:fill="FFFFFF"/>
              <w:spacing w:line="240" w:lineRule="auto"/>
              <w:ind w:firstLine="0" w:firstLineChars="0"/>
              <w:jc w:val="left"/>
              <w:rPr>
                <w:rStyle w:val="44"/>
                <w:rFonts w:ascii="宋体" w:hAnsi="宋体" w:eastAsia="宋体" w:cs="Times New Roman"/>
                <w:kern w:val="2"/>
                <w:sz w:val="21"/>
                <w:szCs w:val="21"/>
                <w:lang w:val="en-US" w:eastAsia="zh-CN" w:bidi="ar-SA"/>
              </w:rPr>
            </w:pPr>
            <w:r>
              <w:rPr>
                <w:rStyle w:val="44"/>
                <w:rFonts w:hint="eastAsia" w:ascii="宋体" w:hAnsi="宋体" w:eastAsia="宋体" w:cs="Times New Roman"/>
                <w:kern w:val="2"/>
                <w:sz w:val="21"/>
                <w:szCs w:val="21"/>
                <w:lang w:val="en-US" w:eastAsia="zh-CN" w:bidi="ar-SA"/>
              </w:rPr>
              <w:t>禁止开发建设活动的要求</w:t>
            </w:r>
          </w:p>
          <w:p>
            <w:pPr>
              <w:pStyle w:val="200"/>
              <w:widowControl/>
              <w:shd w:val="clear" w:color="auto" w:fill="FFFFFF"/>
              <w:spacing w:line="240" w:lineRule="auto"/>
              <w:ind w:firstLine="0" w:firstLineChars="0"/>
              <w:jc w:val="left"/>
              <w:rPr>
                <w:rStyle w:val="44"/>
                <w:rFonts w:hint="eastAsia" w:ascii="宋体" w:hAnsi="宋体" w:eastAsia="宋体" w:cs="Times New Roman"/>
                <w:kern w:val="2"/>
                <w:sz w:val="21"/>
                <w:szCs w:val="21"/>
                <w:lang w:val="en-US" w:eastAsia="zh-CN" w:bidi="ar-SA"/>
              </w:rPr>
            </w:pPr>
            <w:r>
              <w:rPr>
                <w:rStyle w:val="44"/>
                <w:rFonts w:hint="eastAsia" w:ascii="宋体" w:hAnsi="宋体" w:eastAsia="宋体" w:cs="Times New Roman"/>
                <w:kern w:val="2"/>
                <w:sz w:val="21"/>
                <w:szCs w:val="21"/>
                <w:lang w:val="en-US" w:eastAsia="zh-CN" w:bidi="ar-SA"/>
              </w:rPr>
              <w:t>1、禁止引入精细化工、化学合成类、发酵类医药项目（退城入园的长征制药项目除外）、专业电镀及含炉窑焙烧工艺的项目；2、其他执行乐山市工业重点管控单元普适性总体准入要求</w:t>
            </w:r>
          </w:p>
          <w:p>
            <w:pPr>
              <w:pStyle w:val="200"/>
              <w:widowControl/>
              <w:shd w:val="clear" w:color="auto" w:fill="FFFFFF"/>
              <w:spacing w:line="240" w:lineRule="auto"/>
              <w:ind w:firstLine="0" w:firstLineChars="0"/>
              <w:jc w:val="left"/>
              <w:rPr>
                <w:rStyle w:val="44"/>
                <w:rFonts w:hint="eastAsia" w:ascii="宋体" w:hAnsi="宋体" w:eastAsia="宋体" w:cs="Times New Roman"/>
                <w:kern w:val="2"/>
                <w:sz w:val="21"/>
                <w:szCs w:val="21"/>
                <w:lang w:val="en-US" w:eastAsia="zh-CN" w:bidi="ar-SA"/>
              </w:rPr>
            </w:pPr>
            <w:r>
              <w:rPr>
                <w:rStyle w:val="44"/>
                <w:rFonts w:hint="eastAsia" w:ascii="宋体" w:hAnsi="宋体" w:eastAsia="宋体" w:cs="Times New Roman"/>
                <w:kern w:val="2"/>
                <w:sz w:val="21"/>
                <w:szCs w:val="21"/>
                <w:lang w:val="en-US" w:eastAsia="zh-CN" w:bidi="ar-SA"/>
              </w:rPr>
              <w:t>限制开发建设活动的要求</w:t>
            </w:r>
          </w:p>
          <w:p>
            <w:pPr>
              <w:pStyle w:val="200"/>
              <w:widowControl/>
              <w:shd w:val="clear" w:color="auto" w:fill="FFFFFF"/>
              <w:spacing w:line="240" w:lineRule="auto"/>
              <w:ind w:firstLine="0" w:firstLineChars="0"/>
              <w:jc w:val="left"/>
              <w:rPr>
                <w:rStyle w:val="44"/>
                <w:rFonts w:hint="eastAsia" w:ascii="宋体" w:hAnsi="宋体" w:eastAsia="宋体" w:cs="Times New Roman"/>
                <w:kern w:val="2"/>
                <w:sz w:val="21"/>
                <w:szCs w:val="21"/>
                <w:lang w:val="en-US" w:eastAsia="zh-CN" w:bidi="ar-SA"/>
              </w:rPr>
            </w:pPr>
            <w:r>
              <w:rPr>
                <w:rStyle w:val="44"/>
                <w:rFonts w:hint="eastAsia" w:ascii="宋体" w:hAnsi="宋体" w:eastAsia="宋体" w:cs="Times New Roman"/>
                <w:kern w:val="2"/>
                <w:sz w:val="21"/>
                <w:szCs w:val="21"/>
                <w:lang w:val="en-US" w:eastAsia="zh-CN" w:bidi="ar-SA"/>
              </w:rPr>
              <w:t>1、严格限制向靠近水口镇、罗汉镇方向布局；2、其他执行乐山市工业重点管控单元普适性总体准入要求</w:t>
            </w:r>
          </w:p>
          <w:p>
            <w:pPr>
              <w:pStyle w:val="200"/>
              <w:widowControl/>
              <w:shd w:val="clear" w:color="auto" w:fill="FFFFFF"/>
              <w:spacing w:line="240" w:lineRule="auto"/>
              <w:ind w:firstLine="0" w:firstLineChars="0"/>
              <w:jc w:val="left"/>
              <w:rPr>
                <w:rStyle w:val="44"/>
                <w:rFonts w:hint="eastAsia" w:ascii="宋体" w:hAnsi="宋体" w:eastAsia="宋体" w:cs="Times New Roman"/>
                <w:kern w:val="2"/>
                <w:sz w:val="21"/>
                <w:szCs w:val="21"/>
                <w:lang w:val="en-US" w:eastAsia="zh-CN" w:bidi="ar-SA"/>
              </w:rPr>
            </w:pPr>
            <w:r>
              <w:rPr>
                <w:rStyle w:val="44"/>
                <w:rFonts w:hint="eastAsia" w:ascii="宋体" w:hAnsi="宋体" w:eastAsia="宋体" w:cs="Times New Roman"/>
                <w:kern w:val="2"/>
                <w:sz w:val="21"/>
                <w:szCs w:val="21"/>
                <w:lang w:val="en-US" w:eastAsia="zh-CN" w:bidi="ar-SA"/>
              </w:rPr>
              <w:t>允许开发建设活动的要求</w:t>
            </w:r>
          </w:p>
          <w:p>
            <w:pPr>
              <w:pStyle w:val="200"/>
              <w:widowControl/>
              <w:shd w:val="clear" w:color="auto" w:fill="FFFFFF"/>
              <w:spacing w:line="240" w:lineRule="auto"/>
              <w:ind w:firstLine="0" w:firstLineChars="0"/>
              <w:jc w:val="left"/>
              <w:rPr>
                <w:rStyle w:val="44"/>
                <w:rFonts w:hint="eastAsia" w:ascii="宋体" w:hAnsi="宋体" w:eastAsia="宋体" w:cs="Times New Roman"/>
                <w:kern w:val="2"/>
                <w:sz w:val="21"/>
                <w:szCs w:val="21"/>
                <w:lang w:val="en-US" w:eastAsia="zh-CN" w:bidi="ar-SA"/>
              </w:rPr>
            </w:pPr>
            <w:r>
              <w:rPr>
                <w:rStyle w:val="44"/>
                <w:rFonts w:hint="eastAsia" w:ascii="宋体" w:hAnsi="宋体" w:eastAsia="宋体" w:cs="Times New Roman"/>
                <w:kern w:val="2"/>
                <w:sz w:val="21"/>
                <w:szCs w:val="21"/>
                <w:lang w:val="en-US" w:eastAsia="zh-CN" w:bidi="ar-SA"/>
              </w:rPr>
              <w:t>不符合空间布局要求活动的退出要求</w:t>
            </w:r>
          </w:p>
          <w:p>
            <w:pPr>
              <w:pStyle w:val="200"/>
              <w:widowControl/>
              <w:shd w:val="clear" w:color="auto" w:fill="FFFFFF"/>
              <w:spacing w:line="240" w:lineRule="auto"/>
              <w:ind w:firstLine="0" w:firstLineChars="0"/>
              <w:jc w:val="left"/>
              <w:rPr>
                <w:rStyle w:val="44"/>
                <w:rFonts w:hint="eastAsia" w:ascii="宋体" w:hAnsi="宋体" w:eastAsia="宋体" w:cs="Times New Roman"/>
                <w:kern w:val="2"/>
                <w:sz w:val="21"/>
                <w:szCs w:val="21"/>
                <w:lang w:val="en-US" w:eastAsia="zh-CN" w:bidi="ar-SA"/>
              </w:rPr>
            </w:pPr>
            <w:r>
              <w:rPr>
                <w:rStyle w:val="44"/>
                <w:rFonts w:hint="eastAsia" w:ascii="宋体" w:hAnsi="宋体" w:eastAsia="宋体" w:cs="Times New Roman"/>
                <w:kern w:val="2"/>
                <w:sz w:val="21"/>
                <w:szCs w:val="21"/>
                <w:lang w:val="en-US" w:eastAsia="zh-CN" w:bidi="ar-SA"/>
              </w:rPr>
              <w:t>执行乐山市工业重点管控单元普适性总体准入要求</w:t>
            </w:r>
          </w:p>
          <w:p>
            <w:pPr>
              <w:pStyle w:val="200"/>
              <w:widowControl/>
              <w:shd w:val="clear" w:color="auto" w:fill="FFFFFF"/>
              <w:spacing w:line="240" w:lineRule="auto"/>
              <w:ind w:firstLine="0" w:firstLineChars="0"/>
              <w:jc w:val="left"/>
              <w:rPr>
                <w:rStyle w:val="44"/>
                <w:rFonts w:hint="eastAsia" w:ascii="宋体" w:hAnsi="宋体" w:eastAsia="宋体" w:cs="Times New Roman"/>
                <w:kern w:val="2"/>
                <w:sz w:val="21"/>
                <w:szCs w:val="21"/>
                <w:lang w:val="en-US" w:eastAsia="zh-CN" w:bidi="ar-SA"/>
              </w:rPr>
            </w:pPr>
            <w:r>
              <w:rPr>
                <w:rStyle w:val="44"/>
                <w:rFonts w:hint="eastAsia" w:ascii="宋体" w:hAnsi="宋体" w:eastAsia="宋体" w:cs="Times New Roman"/>
                <w:kern w:val="2"/>
                <w:sz w:val="21"/>
                <w:szCs w:val="21"/>
                <w:lang w:val="en-US" w:eastAsia="zh-CN" w:bidi="ar-SA"/>
              </w:rPr>
              <w:t>其他空间布局约束要求</w:t>
            </w:r>
          </w:p>
        </w:tc>
        <w:tc>
          <w:tcPr>
            <w:tcW w:w="1952" w:type="dxa"/>
            <w:noWrap w:val="0"/>
            <w:vAlign w:val="center"/>
          </w:tcPr>
          <w:p>
            <w:pPr>
              <w:pStyle w:val="200"/>
              <w:widowControl/>
              <w:shd w:val="clear" w:color="auto" w:fill="FFFFFF"/>
              <w:spacing w:line="240" w:lineRule="auto"/>
              <w:ind w:firstLine="0" w:firstLineChars="0"/>
              <w:jc w:val="center"/>
              <w:rPr>
                <w:rStyle w:val="44"/>
                <w:rFonts w:hint="eastAsia" w:ascii="宋体" w:hAnsi="宋体" w:eastAsia="宋体" w:cs="Times New Roman"/>
                <w:kern w:val="2"/>
                <w:sz w:val="21"/>
                <w:szCs w:val="21"/>
                <w:lang w:val="en-US" w:eastAsia="zh-CN" w:bidi="ar-SA"/>
              </w:rPr>
            </w:pPr>
            <w:r>
              <w:rPr>
                <w:rStyle w:val="44"/>
                <w:rFonts w:hint="eastAsia" w:ascii="宋体" w:hAnsi="宋体" w:eastAsia="宋体" w:cs="Times New Roman"/>
                <w:color w:val="auto"/>
                <w:kern w:val="2"/>
                <w:sz w:val="21"/>
                <w:szCs w:val="21"/>
                <w:lang w:val="en-US" w:eastAsia="zh-CN" w:bidi="ar-SA"/>
              </w:rPr>
              <w:t>本项目为特种玻璃制造，用地类型为工业，符合园区规划，不属于禁止开发建设的项目，符合乐山市工业重点管控单元要求。</w:t>
            </w:r>
          </w:p>
        </w:tc>
        <w:tc>
          <w:tcPr>
            <w:tcW w:w="793" w:type="dxa"/>
            <w:noWrap w:val="0"/>
            <w:vAlign w:val="center"/>
          </w:tcPr>
          <w:p>
            <w:pPr>
              <w:pStyle w:val="200"/>
              <w:widowControl/>
              <w:shd w:val="clear" w:color="auto" w:fill="FFFFFF"/>
              <w:spacing w:line="240" w:lineRule="auto"/>
              <w:ind w:firstLine="0" w:firstLineChars="0"/>
              <w:jc w:val="center"/>
              <w:rPr>
                <w:rStyle w:val="44"/>
                <w:rFonts w:hint="default" w:ascii="宋体" w:hAnsi="宋体" w:eastAsia="宋体" w:cs="Times New Roman"/>
                <w:kern w:val="2"/>
                <w:sz w:val="21"/>
                <w:szCs w:val="21"/>
                <w:lang w:val="en-US" w:eastAsia="zh-CN" w:bidi="ar-SA"/>
              </w:rPr>
            </w:pPr>
            <w:r>
              <w:rPr>
                <w:rStyle w:val="44"/>
                <w:rFonts w:hint="eastAsia" w:ascii="宋体" w:hAnsi="宋体" w:eastAsia="宋体" w:cs="Times New Roman"/>
                <w:kern w:val="2"/>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1" w:type="dxa"/>
            <w:vMerge w:val="continue"/>
            <w:noWrap w:val="0"/>
            <w:vAlign w:val="center"/>
          </w:tcPr>
          <w:p>
            <w:pPr>
              <w:pStyle w:val="200"/>
              <w:widowControl/>
              <w:spacing w:line="240" w:lineRule="auto"/>
              <w:ind w:firstLine="0" w:firstLineChars="0"/>
              <w:jc w:val="left"/>
              <w:rPr>
                <w:rStyle w:val="44"/>
                <w:rFonts w:ascii="宋体" w:hAnsi="宋体" w:eastAsia="宋体" w:cs="Times New Roman"/>
                <w:kern w:val="2"/>
                <w:sz w:val="21"/>
                <w:szCs w:val="21"/>
                <w:lang w:val="en-US" w:eastAsia="zh-CN" w:bidi="ar-SA"/>
              </w:rPr>
            </w:pPr>
            <w:r>
              <w:rPr>
                <w:rStyle w:val="44"/>
                <w:rFonts w:hint="eastAsia" w:ascii="宋体" w:hAnsi="宋体" w:eastAsia="宋体" w:cs="Times New Roman"/>
                <w:kern w:val="2"/>
                <w:sz w:val="21"/>
                <w:szCs w:val="21"/>
                <w:lang w:val="en-US" w:eastAsia="zh-CN" w:bidi="ar-SA"/>
              </w:rPr>
              <w:t>ZH51110220002</w:t>
            </w:r>
          </w:p>
        </w:tc>
        <w:tc>
          <w:tcPr>
            <w:tcW w:w="708" w:type="dxa"/>
            <w:vMerge w:val="continue"/>
            <w:noWrap w:val="0"/>
            <w:vAlign w:val="center"/>
          </w:tcPr>
          <w:p>
            <w:pPr>
              <w:pStyle w:val="200"/>
              <w:widowControl/>
              <w:spacing w:line="240" w:lineRule="auto"/>
              <w:ind w:firstLine="0" w:firstLineChars="0"/>
              <w:jc w:val="left"/>
              <w:rPr>
                <w:rStyle w:val="44"/>
                <w:rFonts w:ascii="宋体" w:hAnsi="宋体" w:eastAsia="宋体" w:cs="Times New Roman"/>
                <w:kern w:val="2"/>
                <w:sz w:val="21"/>
                <w:szCs w:val="21"/>
                <w:lang w:val="en-US" w:eastAsia="zh-CN" w:bidi="ar-SA"/>
              </w:rPr>
            </w:pPr>
            <w:r>
              <w:rPr>
                <w:rStyle w:val="44"/>
                <w:rFonts w:hint="eastAsia" w:ascii="宋体" w:hAnsi="宋体" w:eastAsia="宋体" w:cs="Times New Roman"/>
                <w:kern w:val="2"/>
                <w:sz w:val="21"/>
                <w:szCs w:val="21"/>
                <w:lang w:val="en-US" w:eastAsia="zh-CN" w:bidi="ar-SA"/>
              </w:rPr>
              <w:t>乐山高新技术产业开发区嘉州工业园</w:t>
            </w:r>
          </w:p>
        </w:tc>
        <w:tc>
          <w:tcPr>
            <w:tcW w:w="5324" w:type="dxa"/>
            <w:vMerge w:val="continue"/>
            <w:noWrap w:val="0"/>
            <w:vAlign w:val="center"/>
          </w:tcPr>
          <w:p>
            <w:pPr>
              <w:pStyle w:val="200"/>
              <w:widowControl w:val="0"/>
              <w:spacing w:line="360" w:lineRule="auto"/>
              <w:ind w:firstLine="0" w:firstLineChars="0"/>
              <w:jc w:val="both"/>
              <w:rPr>
                <w:rStyle w:val="44"/>
                <w:rFonts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空间布局约束：</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禁止开发建设活动的要求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1）禁止在长江干支流岸线一公里范围内新建、扩建化工园区和化工项目；禁止在长江干流岸线三公里范围内和重要支流岸线一公里范围内新建、改建、扩建尾矿库（以提升安全、生态环境保护水平为目的的改建除外）；</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（2）禁止在合规园区外新建、扩建钢铁、石化、化工、焦化、建材、有色等高污染项目。禁止新建、扩建不符合国家石化、现代煤化工等产业布局规划的项目；</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（3）重点区域严禁新增钢铁、焦化、电解铝、铸造、水泥、平板玻璃等行业项目及产能。</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限制开发建设活动的要求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（1）继续化解过剩产能，严禁钢铁、水泥、电解铝、平板玻璃等行业新增产能，对确有必要新建的必须实施等量或减量置换；</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（2）长江干流及重要支流岸线一公里范围内严控新建制革、有色金属、三磷项目。</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不符合空间布局要求活动的退出要求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（1）现有属于园区禁止引入产业门类的企业，原则上限制发展，污染物排放只降不增，允许以提升安全、生态环境保护水平为目的的改建，引导企业结合产业升级等适时搬迁；</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（2）加强沿江化工园区和重点企业的环境风险防范和污染治理，对限期未完成治理的化工企业实施关闭，逐步实施五通桥盐磷化工产业园、马边磷化特色产业园等沿江沿河化工园区和重点企业的搬迁。</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其他空间布局约束要求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污染物排放管控：</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允许排放量要求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（1）上一年度水环境质量未完成目标的，新建排放水污染的建设项目按照总量管控要求进行倍量削减替代；</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（2）对新建排放二氧化硫、氮氧化物、工业烟粉尘和挥发性有机物的项目实施现役源2倍削减替代；</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（3）水质超标的水功能区，应当实施更严格的污染物排放总量削减要求。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现有源提标升级改造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（1）现有工业园区集中污水处理厂执行《四川省岷江、沱江流域水污染物排放标准》（DB51 2311-2016），增加工业污水中水回用配套设施建设，鼓励园区和企业中水回用；</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（2）推进高污染、高耗水行业清洁生产改造，确保单位产品基准排水量达到《四川省岷江、沱江流域水污染物排放标准》。加大钢铁、印染、造纸、化工、制革等高耗水企业废水深度处理回用；</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（3）市中区、五通桥区、沙湾区、犍为县、井研县、峨眉山市、夹江县属大气污染重点区域，执行大气污染物排放特别限值和特别控制要求；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（4）全市燃煤锅炉稳定达到超低排放限值要求，烟粉尘低于10毫克立方米，二氧化硫低于35毫克立方米，氮氧化物低于50毫克立方米；</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5）持续推进水泥、陶瓷、砖瓦、铸造、铁合金、钢铁等行业大气污染深度治理，深入推进颗粒物、二氧化硫、氮氧化物和挥发性有机物治理，持续推进陶瓷行业（喷雾干燥塔）清洁能源改造工程，加快推进五通桥涉氨排放化工企业氨排放治理。</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其他污染物排放管控要求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（1）工业废水集中处理设施实现稳定达《四川省岷江、沱江流域水污染物排放标准》相应标准限值排放。磷肥和含磷农药制造等企业，应当按照排污许可要求，采取有效措施控制总磷排放浓度和排放总量；</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（2）大力推进低（无）VOCs含量原辅材料替代；聚焦治污设施“三率”，提升综合治理效率。</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环境风险防控：</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联防联控要求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（1）建立健全全过程、多层级环境风险防范体系。强化危化品泄漏应急处置措施，确保风险可控。针对化工园区建立有毒有害气体环境风险预警体系，建立区域、流域联动应急响应体系，实行联防联控。</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其他环境风险防控要求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（1）涉及有毒有害、易燃易爆物质新建、改扩建项目，严控准入要求；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（2）严格涉重金属企业和园区环境准入管理，新（改、扩）建涉重金属重点行业建设项目实施“等量替代”或“减量替代”；</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3）有色金属冶炼、石油加工、化工、焦化、电镀、制革等行业企业拆除生产设施设备、构筑物和污染治理设施，要事先制定残留污染物清理和安全处置方案，要严格按照有关规定实施安全处理处置，防范拆除活动污染土壤；</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4）对拟收回土地使用权的有色金属矿采选、有色金属冶炼、石油加工、化工、焦化、电镀、制革、铅蓄电池、农药、危废处置、电子拆解等行业企业用地，应按相关要求进行土壤环境状况调查评估，符合相应规划用地土壤环境质量要求的地块，方可进入用地程序。</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资源开发利用效率要求：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水资源利用总量要求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1）鼓励引导新建、改建、扩建工业园区应当按照有关要求统筹建设工业废水集中处理和回用设施，适时推进企业间串联用水、分质用水、一水多用，实现水循环梯级优化利用和废水集中处理回用，创建节水型工业园区；</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2）鼓励火力发电、钢铁、纺织、造纸、石化和化工、食品和发酵等高耗水企业对废水进行深度处理回用，降低单位产品耗水量。火电、石化、钢铁、有色、造纸、印染等高耗水行业项目具备使用再生水条件但未有效利用的，要严格控制新增取水许可。</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地下水开采要求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能源利用总量及效率要求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（1）严格控制煤炭消费总量。严格控制新建、改建、扩建耗煤项目，新增耗煤项目实行当年煤炭消耗减量倍量替代。</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禁燃区要求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（1）保留20蒸吨小时以上燃煤锅炉，并执行超低排放要求；或进行清洁能源改造，清洁能源改造选择燃气锅炉的，应当同时采用低氮燃烧技术；</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（2）禁燃区禁止审批（核准、备案）、新建、扩建燃用高污染燃料的锅炉、炉窑等各类燃用高污染燃料的设施。</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其他资源利用效率要求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tc>
        <w:tc>
          <w:tcPr>
            <w:tcW w:w="1232" w:type="dxa"/>
            <w:noWrap w:val="0"/>
            <w:vAlign w:val="center"/>
          </w:tcPr>
          <w:p>
            <w:pPr>
              <w:pStyle w:val="200"/>
              <w:widowControl/>
              <w:spacing w:line="240" w:lineRule="auto"/>
              <w:ind w:firstLine="0" w:firstLineChars="0"/>
              <w:jc w:val="center"/>
              <w:rPr>
                <w:rStyle w:val="44"/>
                <w:rFonts w:ascii="宋体" w:hAnsi="宋体" w:eastAsia="宋体" w:cs="Times New Roman"/>
                <w:kern w:val="2"/>
                <w:sz w:val="21"/>
                <w:szCs w:val="21"/>
                <w:lang w:val="en-US" w:eastAsia="zh-CN" w:bidi="ar-SA"/>
              </w:rPr>
            </w:pPr>
            <w:r>
              <w:rPr>
                <w:rStyle w:val="44"/>
                <w:rFonts w:hint="eastAsia" w:ascii="宋体" w:hAnsi="宋体" w:eastAsia="宋体" w:cs="Times New Roman"/>
                <w:kern w:val="2"/>
                <w:sz w:val="21"/>
                <w:szCs w:val="21"/>
                <w:lang w:val="en-US" w:eastAsia="zh-CN" w:bidi="ar-SA"/>
              </w:rPr>
              <w:t>污染物排放管控</w:t>
            </w:r>
          </w:p>
        </w:tc>
        <w:tc>
          <w:tcPr>
            <w:tcW w:w="3661" w:type="dxa"/>
            <w:noWrap w:val="0"/>
            <w:vAlign w:val="center"/>
          </w:tcPr>
          <w:p>
            <w:pPr>
              <w:pStyle w:val="200"/>
              <w:widowControl/>
              <w:shd w:val="clear" w:color="auto" w:fill="FFFFFF"/>
              <w:spacing w:line="240" w:lineRule="auto"/>
              <w:ind w:firstLine="0" w:firstLineChars="0"/>
              <w:jc w:val="left"/>
              <w:rPr>
                <w:rStyle w:val="44"/>
                <w:rFonts w:ascii="宋体" w:hAnsi="宋体" w:eastAsia="宋体" w:cs="Times New Roman"/>
                <w:kern w:val="2"/>
                <w:sz w:val="21"/>
                <w:szCs w:val="21"/>
                <w:lang w:val="en-US" w:eastAsia="zh-CN" w:bidi="ar-SA"/>
              </w:rPr>
            </w:pPr>
            <w:r>
              <w:rPr>
                <w:rStyle w:val="44"/>
                <w:rFonts w:hint="eastAsia" w:ascii="宋体" w:hAnsi="宋体" w:eastAsia="宋体" w:cs="Times New Roman"/>
                <w:kern w:val="2"/>
                <w:sz w:val="21"/>
                <w:szCs w:val="21"/>
                <w:lang w:val="en-US" w:eastAsia="zh-CN" w:bidi="ar-SA"/>
              </w:rPr>
              <w:t>现有源提标升级改造</w:t>
            </w:r>
          </w:p>
          <w:p>
            <w:pPr>
              <w:pStyle w:val="200"/>
              <w:widowControl/>
              <w:shd w:val="clear" w:color="auto" w:fill="FFFFFF"/>
              <w:spacing w:line="240" w:lineRule="auto"/>
              <w:ind w:firstLine="0" w:firstLineChars="0"/>
              <w:jc w:val="left"/>
              <w:rPr>
                <w:rStyle w:val="44"/>
                <w:rFonts w:hint="eastAsia" w:ascii="宋体" w:hAnsi="宋体" w:eastAsia="宋体" w:cs="Times New Roman"/>
                <w:kern w:val="2"/>
                <w:sz w:val="21"/>
                <w:szCs w:val="21"/>
                <w:lang w:val="en-US" w:eastAsia="zh-CN" w:bidi="ar-SA"/>
              </w:rPr>
            </w:pPr>
            <w:r>
              <w:rPr>
                <w:rStyle w:val="44"/>
                <w:rFonts w:hint="eastAsia" w:ascii="宋体" w:hAnsi="宋体" w:eastAsia="宋体" w:cs="Times New Roman"/>
                <w:kern w:val="2"/>
                <w:sz w:val="21"/>
                <w:szCs w:val="21"/>
                <w:lang w:val="en-US" w:eastAsia="zh-CN" w:bidi="ar-SA"/>
              </w:rPr>
              <w:t>执行乐山市工业重点管控单元普适性总体准入要求。</w:t>
            </w:r>
          </w:p>
          <w:p>
            <w:pPr>
              <w:pStyle w:val="200"/>
              <w:widowControl/>
              <w:shd w:val="clear" w:color="auto" w:fill="FFFFFF"/>
              <w:spacing w:line="240" w:lineRule="auto"/>
              <w:ind w:firstLine="0" w:firstLineChars="0"/>
              <w:jc w:val="left"/>
              <w:rPr>
                <w:rStyle w:val="44"/>
                <w:rFonts w:hint="eastAsia" w:ascii="宋体" w:hAnsi="宋体" w:eastAsia="宋体" w:cs="Times New Roman"/>
                <w:kern w:val="2"/>
                <w:sz w:val="21"/>
                <w:szCs w:val="21"/>
                <w:lang w:val="en-US" w:eastAsia="zh-CN" w:bidi="ar-SA"/>
              </w:rPr>
            </w:pPr>
            <w:r>
              <w:rPr>
                <w:rStyle w:val="44"/>
                <w:rFonts w:hint="eastAsia" w:ascii="宋体" w:hAnsi="宋体" w:eastAsia="宋体" w:cs="Times New Roman"/>
                <w:kern w:val="2"/>
                <w:sz w:val="21"/>
                <w:szCs w:val="21"/>
                <w:lang w:val="en-US" w:eastAsia="zh-CN" w:bidi="ar-SA"/>
              </w:rPr>
              <w:t>新增源等量或倍量替代</w:t>
            </w:r>
          </w:p>
          <w:p>
            <w:pPr>
              <w:pStyle w:val="200"/>
              <w:widowControl/>
              <w:shd w:val="clear" w:color="auto" w:fill="FFFFFF"/>
              <w:spacing w:line="240" w:lineRule="auto"/>
              <w:ind w:firstLine="0" w:firstLineChars="0"/>
              <w:jc w:val="left"/>
              <w:rPr>
                <w:rStyle w:val="44"/>
                <w:rFonts w:hint="eastAsia" w:ascii="宋体" w:hAnsi="宋体" w:eastAsia="宋体" w:cs="Times New Roman"/>
                <w:kern w:val="2"/>
                <w:sz w:val="21"/>
                <w:szCs w:val="21"/>
                <w:lang w:val="en-US" w:eastAsia="zh-CN" w:bidi="ar-SA"/>
              </w:rPr>
            </w:pPr>
            <w:r>
              <w:rPr>
                <w:rStyle w:val="44"/>
                <w:rFonts w:hint="eastAsia" w:ascii="宋体" w:hAnsi="宋体" w:eastAsia="宋体" w:cs="Times New Roman"/>
                <w:kern w:val="2"/>
                <w:sz w:val="21"/>
                <w:szCs w:val="21"/>
                <w:lang w:val="en-US" w:eastAsia="zh-CN" w:bidi="ar-SA"/>
              </w:rPr>
              <w:t>执行乐山市工业重点管控单元普适性总体准入要求。</w:t>
            </w:r>
          </w:p>
          <w:p>
            <w:pPr>
              <w:pStyle w:val="200"/>
              <w:widowControl/>
              <w:shd w:val="clear" w:color="auto" w:fill="FFFFFF"/>
              <w:spacing w:line="240" w:lineRule="auto"/>
              <w:ind w:firstLine="0" w:firstLineChars="0"/>
              <w:jc w:val="left"/>
              <w:rPr>
                <w:rStyle w:val="44"/>
                <w:rFonts w:hint="eastAsia" w:ascii="宋体" w:hAnsi="宋体" w:eastAsia="宋体" w:cs="Times New Roman"/>
                <w:kern w:val="2"/>
                <w:sz w:val="21"/>
                <w:szCs w:val="21"/>
                <w:lang w:val="en-US" w:eastAsia="zh-CN" w:bidi="ar-SA"/>
              </w:rPr>
            </w:pPr>
            <w:r>
              <w:rPr>
                <w:rStyle w:val="44"/>
                <w:rFonts w:hint="eastAsia" w:ascii="宋体" w:hAnsi="宋体" w:eastAsia="宋体" w:cs="Times New Roman"/>
                <w:kern w:val="2"/>
                <w:sz w:val="21"/>
                <w:szCs w:val="21"/>
                <w:lang w:val="en-US" w:eastAsia="zh-CN" w:bidi="ar-SA"/>
              </w:rPr>
              <w:t>新增源排放标准限值</w:t>
            </w:r>
          </w:p>
          <w:p>
            <w:pPr>
              <w:pStyle w:val="200"/>
              <w:widowControl/>
              <w:shd w:val="clear" w:color="auto" w:fill="FFFFFF"/>
              <w:spacing w:line="240" w:lineRule="auto"/>
              <w:ind w:firstLine="0" w:firstLineChars="0"/>
              <w:jc w:val="left"/>
              <w:rPr>
                <w:rStyle w:val="44"/>
                <w:rFonts w:hint="eastAsia" w:ascii="宋体" w:hAnsi="宋体" w:eastAsia="宋体" w:cs="Times New Roman"/>
                <w:kern w:val="2"/>
                <w:sz w:val="21"/>
                <w:szCs w:val="21"/>
                <w:lang w:val="en-US" w:eastAsia="zh-CN" w:bidi="ar-SA"/>
              </w:rPr>
            </w:pPr>
            <w:r>
              <w:rPr>
                <w:rStyle w:val="44"/>
                <w:rFonts w:hint="eastAsia" w:ascii="宋体" w:hAnsi="宋体" w:eastAsia="宋体" w:cs="Times New Roman"/>
                <w:kern w:val="2"/>
                <w:sz w:val="21"/>
                <w:szCs w:val="21"/>
                <w:lang w:val="en-US" w:eastAsia="zh-CN" w:bidi="ar-SA"/>
              </w:rPr>
              <w:t>污染物排放绩效水平准入要求</w:t>
            </w:r>
          </w:p>
          <w:p>
            <w:pPr>
              <w:pStyle w:val="200"/>
              <w:widowControl/>
              <w:shd w:val="clear" w:color="auto" w:fill="FFFFFF"/>
              <w:spacing w:line="240" w:lineRule="auto"/>
              <w:ind w:firstLine="0" w:firstLineChars="0"/>
              <w:jc w:val="left"/>
              <w:rPr>
                <w:rStyle w:val="44"/>
                <w:rFonts w:hint="eastAsia" w:ascii="宋体" w:hAnsi="宋体" w:eastAsia="宋体" w:cs="Times New Roman"/>
                <w:kern w:val="2"/>
                <w:sz w:val="21"/>
                <w:szCs w:val="21"/>
                <w:lang w:val="en-US" w:eastAsia="zh-CN" w:bidi="ar-SA"/>
              </w:rPr>
            </w:pPr>
            <w:r>
              <w:rPr>
                <w:rStyle w:val="44"/>
                <w:rFonts w:hint="eastAsia" w:ascii="宋体" w:hAnsi="宋体" w:eastAsia="宋体" w:cs="Times New Roman"/>
                <w:kern w:val="2"/>
                <w:sz w:val="21"/>
                <w:szCs w:val="21"/>
                <w:lang w:val="en-US" w:eastAsia="zh-CN" w:bidi="ar-SA"/>
              </w:rPr>
              <w:t>执行乐山市工业重点管控单元普适性总体准入要求。</w:t>
            </w:r>
          </w:p>
          <w:p>
            <w:pPr>
              <w:pStyle w:val="200"/>
              <w:widowControl/>
              <w:shd w:val="clear" w:color="auto" w:fill="FFFFFF"/>
              <w:spacing w:line="240" w:lineRule="auto"/>
              <w:ind w:firstLine="0" w:firstLineChars="0"/>
              <w:jc w:val="left"/>
              <w:rPr>
                <w:rStyle w:val="44"/>
                <w:rFonts w:hint="eastAsia" w:ascii="宋体" w:hAnsi="宋体" w:eastAsia="宋体" w:cs="Times New Roman"/>
                <w:kern w:val="2"/>
                <w:sz w:val="21"/>
                <w:szCs w:val="21"/>
                <w:lang w:val="en-US" w:eastAsia="zh-CN" w:bidi="ar-SA"/>
              </w:rPr>
            </w:pPr>
            <w:r>
              <w:rPr>
                <w:rStyle w:val="44"/>
                <w:rFonts w:hint="eastAsia" w:ascii="宋体" w:hAnsi="宋体" w:eastAsia="宋体" w:cs="Times New Roman"/>
                <w:kern w:val="2"/>
                <w:sz w:val="21"/>
                <w:szCs w:val="21"/>
                <w:lang w:val="en-US" w:eastAsia="zh-CN" w:bidi="ar-SA"/>
              </w:rPr>
              <w:t>其他污染物排放管控要求</w:t>
            </w:r>
          </w:p>
        </w:tc>
        <w:tc>
          <w:tcPr>
            <w:tcW w:w="1952" w:type="dxa"/>
            <w:noWrap w:val="0"/>
            <w:vAlign w:val="center"/>
          </w:tcPr>
          <w:p>
            <w:pPr>
              <w:pStyle w:val="200"/>
              <w:widowControl/>
              <w:shd w:val="clear" w:color="auto" w:fill="FFFFFF"/>
              <w:spacing w:line="240" w:lineRule="auto"/>
              <w:ind w:firstLine="0" w:firstLineChars="0"/>
              <w:jc w:val="center"/>
              <w:rPr>
                <w:rStyle w:val="44"/>
                <w:rFonts w:hint="eastAsia" w:ascii="宋体" w:hAnsi="宋体" w:eastAsia="宋体" w:cs="Times New Roman"/>
                <w:kern w:val="2"/>
                <w:sz w:val="21"/>
                <w:szCs w:val="21"/>
                <w:lang w:val="en-US" w:eastAsia="zh-CN" w:bidi="ar-SA"/>
              </w:rPr>
            </w:pPr>
            <w:r>
              <w:rPr>
                <w:rStyle w:val="44"/>
                <w:rFonts w:hint="eastAsia" w:ascii="宋体" w:hAnsi="宋体" w:eastAsia="宋体" w:cs="Times New Roman"/>
                <w:color w:val="auto"/>
                <w:kern w:val="2"/>
                <w:sz w:val="21"/>
                <w:szCs w:val="21"/>
                <w:lang w:val="en-US" w:eastAsia="zh-CN" w:bidi="ar-SA"/>
              </w:rPr>
              <w:t>项目建设满足市中区总体生态环境管控要求、工业重点管控单元要求，执行《四川省固定污染源大气挥发性有机物排放标准》（DB51/2377-2017）。</w:t>
            </w:r>
          </w:p>
        </w:tc>
        <w:tc>
          <w:tcPr>
            <w:tcW w:w="793" w:type="dxa"/>
            <w:noWrap w:val="0"/>
            <w:vAlign w:val="center"/>
          </w:tcPr>
          <w:p>
            <w:pPr>
              <w:pStyle w:val="200"/>
              <w:widowControl/>
              <w:shd w:val="clear" w:color="auto" w:fill="FFFFFF"/>
              <w:spacing w:line="240" w:lineRule="auto"/>
              <w:ind w:firstLine="0" w:firstLineChars="0"/>
              <w:jc w:val="center"/>
              <w:rPr>
                <w:rStyle w:val="44"/>
                <w:rFonts w:hint="eastAsia" w:ascii="宋体" w:hAnsi="宋体" w:eastAsia="宋体" w:cs="Times New Roman"/>
                <w:kern w:val="2"/>
                <w:sz w:val="21"/>
                <w:szCs w:val="21"/>
                <w:lang w:val="en-US" w:eastAsia="zh-CN" w:bidi="ar-SA"/>
              </w:rPr>
            </w:pPr>
            <w:r>
              <w:rPr>
                <w:rStyle w:val="44"/>
                <w:rFonts w:hint="eastAsia" w:ascii="宋体" w:hAnsi="宋体" w:eastAsia="宋体" w:cs="Times New Roman"/>
                <w:kern w:val="2"/>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1" w:type="dxa"/>
            <w:vMerge w:val="continue"/>
            <w:noWrap w:val="0"/>
            <w:vAlign w:val="center"/>
          </w:tcPr>
          <w:p>
            <w:pPr>
              <w:pStyle w:val="200"/>
              <w:widowControl/>
              <w:spacing w:line="240" w:lineRule="auto"/>
              <w:ind w:firstLine="0" w:firstLineChars="0"/>
              <w:jc w:val="left"/>
              <w:rPr>
                <w:rStyle w:val="44"/>
                <w:rFonts w:ascii="宋体" w:hAnsi="宋体" w:eastAsia="宋体" w:cs="Times New Roman"/>
                <w:kern w:val="2"/>
                <w:sz w:val="21"/>
                <w:szCs w:val="21"/>
                <w:lang w:val="en-US" w:eastAsia="zh-CN" w:bidi="ar-SA"/>
              </w:rPr>
            </w:pPr>
            <w:r>
              <w:rPr>
                <w:rStyle w:val="44"/>
                <w:rFonts w:hint="eastAsia" w:ascii="宋体" w:hAnsi="宋体" w:eastAsia="宋体" w:cs="Times New Roman"/>
                <w:kern w:val="2"/>
                <w:sz w:val="21"/>
                <w:szCs w:val="21"/>
                <w:lang w:val="en-US" w:eastAsia="zh-CN" w:bidi="ar-SA"/>
              </w:rPr>
              <w:t>ZH51110220002</w:t>
            </w:r>
          </w:p>
        </w:tc>
        <w:tc>
          <w:tcPr>
            <w:tcW w:w="708" w:type="dxa"/>
            <w:vMerge w:val="continue"/>
            <w:noWrap w:val="0"/>
            <w:vAlign w:val="center"/>
          </w:tcPr>
          <w:p>
            <w:pPr>
              <w:pStyle w:val="200"/>
              <w:widowControl/>
              <w:spacing w:line="240" w:lineRule="auto"/>
              <w:ind w:firstLine="0" w:firstLineChars="0"/>
              <w:jc w:val="left"/>
              <w:rPr>
                <w:rStyle w:val="44"/>
                <w:rFonts w:ascii="宋体" w:hAnsi="宋体" w:eastAsia="宋体" w:cs="Times New Roman"/>
                <w:kern w:val="2"/>
                <w:sz w:val="21"/>
                <w:szCs w:val="21"/>
                <w:lang w:val="en-US" w:eastAsia="zh-CN" w:bidi="ar-SA"/>
              </w:rPr>
            </w:pPr>
            <w:r>
              <w:rPr>
                <w:rStyle w:val="44"/>
                <w:rFonts w:hint="eastAsia" w:ascii="宋体" w:hAnsi="宋体" w:eastAsia="宋体" w:cs="Times New Roman"/>
                <w:kern w:val="2"/>
                <w:sz w:val="21"/>
                <w:szCs w:val="21"/>
                <w:lang w:val="en-US" w:eastAsia="zh-CN" w:bidi="ar-SA"/>
              </w:rPr>
              <w:t>乐山高新技术产业开发区嘉州工业园</w:t>
            </w:r>
          </w:p>
        </w:tc>
        <w:tc>
          <w:tcPr>
            <w:tcW w:w="5324" w:type="dxa"/>
            <w:vMerge w:val="continue"/>
            <w:noWrap w:val="0"/>
            <w:vAlign w:val="center"/>
          </w:tcPr>
          <w:p>
            <w:pPr>
              <w:pStyle w:val="200"/>
              <w:widowControl w:val="0"/>
              <w:spacing w:line="360" w:lineRule="auto"/>
              <w:ind w:firstLine="0" w:firstLineChars="0"/>
              <w:jc w:val="both"/>
              <w:rPr>
                <w:rStyle w:val="44"/>
                <w:rFonts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空间布局约束：</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禁止开发建设活动的要求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1）禁止在长江干支流岸线一公里范围内新建、扩建化工园区和化工项目；禁止在长江干流岸线三公里范围内和重要支流岸线一公里范围内新建、改建、扩建尾矿库（以提升安全、生态环境保护水平为目的的改建除外）；</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（2）禁止在合规园区外新建、扩建钢铁、石化、化工、焦化、建材、有色等高污染项目。禁止新建、扩建不符合国家石化、现代煤化工等产业布局规划的项目；</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（3）重点区域严禁新增钢铁、焦化、电解铝、铸造、水泥、平板玻璃等行业项目及产能。</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限制开发建设活动的要求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（1）继续化解过剩产能，严禁钢铁、水泥、电解铝、平板玻璃等行业新增产能，对确有必要新建的必须实施等量或减量置换；</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（2）长江干流及重要支流岸线一公里范围内严控新建制革、有色金属、三磷项目。</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不符合空间布局要求活动的退出要求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（1）现有属于园区禁止引入产业门类的企业，原则上限制发展，污染物排放只降不增，允许以提升安全、生态环境保护水平为目的的改建，引导企业结合产业升级等适时搬迁；</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（2）加强沿江化工园区和重点企业的环境风险防范和污染治理，对限期未完成治理的化工企业实施关闭，逐步实施五通桥盐磷化工产业园、马边磷化特色产业园等沿江沿河化工园区和重点企业的搬迁。</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其他空间布局约束要求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污染物排放管控：</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允许排放量要求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（1）上一年度水环境质量未完成目标的，新建排放水污染的建设项目按照总量管控要求进行倍量削减替代；</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（2）对新建排放二氧化硫、氮氧化物、工业烟粉尘和挥发性有机物的项目实施现役源2倍削减替代；</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（3）水质超标的水功能区，应当实施更严格的污染物排放总量削减要求。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现有源提标升级改造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（1）现有工业园区集中污水处理厂执行《四川省岷江、沱江流域水污染物排放标准》（DB51 2311-2016），增加工业污水中水回用配套设施建设，鼓励园区和企业中水回用；</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（2）推进高污染、高耗水行业清洁生产改造，确保单位产品基准排水量达到《四川省岷江、沱江流域水污染物排放标准》。加大钢铁、印染、造纸、化工、制革等高耗水企业废水深度处理回用；</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（3）市中区、五通桥区、沙湾区、犍为县、井研县、峨眉山市、夹江县属大气污染重点区域，执行大气污染物排放特别限值和特别控制要求；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（4）全市燃煤锅炉稳定达到超低排放限值要求，烟粉尘低于10毫克立方米，二氧化硫低于35毫克立方米，氮氧化物低于50毫克立方米；</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5）持续推进水泥、陶瓷、砖瓦、铸造、铁合金、钢铁等行业大气污染深度治理，深入推进颗粒物、二氧化硫、氮氧化物和挥发性有机物治理，持续推进陶瓷行业（喷雾干燥塔）清洁能源改造工程，加快推进五通桥涉氨排放化工企业氨排放治理。</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其他污染物排放管控要求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（1）工业废水集中处理设施实现稳定达《四川省岷江、沱江流域水污染物排放标准》相应标准限值排放。磷肥和含磷农药制造等企业，应当按照排污许可要求，采取有效措施控制总磷排放浓度和排放总量；</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（2）大力推进低（无）VOCs含量原辅材料替代；聚焦治污设施“三率”，提升综合治理效率。</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环境风险防控：</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联防联控要求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（1）建立健全全过程、多层级环境风险防范体系。强化危化品泄漏应急处置措施，确保风险可控。针对化工园区建立有毒有害气体环境风险预警体系，建立区域、流域联动应急响应体系，实行联防联控。</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其他环境风险防控要求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（1）涉及有毒有害、易燃易爆物质新建、改扩建项目，严控准入要求；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（2）严格涉重金属企业和园区环境准入管理，新（改、扩）建涉重金属重点行业建设项目实施“等量替代”或“减量替代”；</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3）有色金属冶炼、石油加工、化工、焦化、电镀、制革等行业企业拆除生产设施设备、构筑物和污染治理设施，要事先制定残留污染物清理和安全处置方案，要严格按照有关规定实施安全处理处置，防范拆除活动污染土壤；</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4）对拟收回土地使用权的有色金属矿采选、有色金属冶炼、石油加工、化工、焦化、电镀、制革、铅蓄电池、农药、危废处置、电子拆解等行业企业用地，应按相关要求进行土壤环境状况调查评估，符合相应规划用地土壤环境质量要求的地块，方可进入用地程序。</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资源开发利用效率要求：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水资源利用总量要求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1）鼓励引导新建、改建、扩建工业园区应当按照有关要求统筹建设工业废水集中处理和回用设施，适时推进企业间串联用水、分质用水、一水多用，实现水循环梯级优化利用和废水集中处理回用，创建节水型工业园区；</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2）鼓励火力发电、钢铁、纺织、造纸、石化和化工、食品和发酵等高耗水企业对废水进行深度处理回用，降低单位产品耗水量。火电、石化、钢铁、有色、造纸、印染等高耗水行业项目具备使用再生水条件但未有效利用的，要严格控制新增取水许可。</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地下水开采要求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能源利用总量及效率要求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（1）严格控制煤炭消费总量。严格控制新建、改建、扩建耗煤项目，新增耗煤项目实行当年煤炭消耗减量倍量替代。</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禁燃区要求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（1）保留20蒸吨小时以上燃煤锅炉，并执行超低排放要求；或进行清洁能源改造，清洁能源改造选择燃气锅炉的，应当同时采用低氮燃烧技术；</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（2）禁燃区禁止审批（核准、备案）、新建、扩建燃用高污染燃料的锅炉、炉窑等各类燃用高污染燃料的设施。</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其他资源利用效率要求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tc>
        <w:tc>
          <w:tcPr>
            <w:tcW w:w="1232" w:type="dxa"/>
            <w:noWrap w:val="0"/>
            <w:vAlign w:val="center"/>
          </w:tcPr>
          <w:p>
            <w:pPr>
              <w:pStyle w:val="200"/>
              <w:widowControl/>
              <w:spacing w:line="240" w:lineRule="auto"/>
              <w:ind w:firstLine="0" w:firstLineChars="0"/>
              <w:jc w:val="center"/>
              <w:rPr>
                <w:rStyle w:val="44"/>
                <w:rFonts w:ascii="宋体" w:hAnsi="宋体" w:eastAsia="宋体" w:cs="Times New Roman"/>
                <w:kern w:val="2"/>
                <w:sz w:val="21"/>
                <w:szCs w:val="21"/>
                <w:lang w:val="en-US" w:eastAsia="zh-CN" w:bidi="ar-SA"/>
              </w:rPr>
            </w:pPr>
            <w:r>
              <w:rPr>
                <w:rStyle w:val="44"/>
                <w:rFonts w:hint="eastAsia" w:ascii="宋体" w:hAnsi="宋体" w:eastAsia="宋体" w:cs="Times New Roman"/>
                <w:kern w:val="2"/>
                <w:sz w:val="21"/>
                <w:szCs w:val="21"/>
                <w:lang w:val="en-US" w:eastAsia="zh-CN" w:bidi="ar-SA"/>
              </w:rPr>
              <w:t>环境风险防控</w:t>
            </w:r>
          </w:p>
        </w:tc>
        <w:tc>
          <w:tcPr>
            <w:tcW w:w="3661" w:type="dxa"/>
            <w:noWrap w:val="0"/>
            <w:vAlign w:val="center"/>
          </w:tcPr>
          <w:p>
            <w:pPr>
              <w:pStyle w:val="200"/>
              <w:widowControl/>
              <w:shd w:val="clear" w:color="auto" w:fill="FFFFFF"/>
              <w:spacing w:line="240" w:lineRule="auto"/>
              <w:ind w:firstLine="0" w:firstLineChars="0"/>
              <w:jc w:val="left"/>
              <w:rPr>
                <w:rStyle w:val="44"/>
                <w:rFonts w:ascii="宋体" w:hAnsi="宋体" w:eastAsia="宋体" w:cs="Times New Roman"/>
                <w:kern w:val="2"/>
                <w:sz w:val="21"/>
                <w:szCs w:val="21"/>
                <w:lang w:val="en-US" w:eastAsia="zh-CN" w:bidi="ar-SA"/>
              </w:rPr>
            </w:pPr>
            <w:r>
              <w:rPr>
                <w:rStyle w:val="44"/>
                <w:rFonts w:hint="eastAsia" w:ascii="宋体" w:hAnsi="宋体" w:eastAsia="宋体" w:cs="Times New Roman"/>
                <w:kern w:val="2"/>
                <w:sz w:val="21"/>
                <w:szCs w:val="21"/>
                <w:lang w:val="en-US" w:eastAsia="zh-CN" w:bidi="ar-SA"/>
              </w:rPr>
              <w:t>严格管控类农用地管控要求</w:t>
            </w:r>
          </w:p>
          <w:p>
            <w:pPr>
              <w:pStyle w:val="200"/>
              <w:widowControl/>
              <w:shd w:val="clear" w:color="auto" w:fill="FFFFFF"/>
              <w:spacing w:line="240" w:lineRule="auto"/>
              <w:ind w:firstLine="0" w:firstLineChars="0"/>
              <w:jc w:val="left"/>
              <w:rPr>
                <w:rStyle w:val="44"/>
                <w:rFonts w:hint="eastAsia" w:ascii="宋体" w:hAnsi="宋体" w:eastAsia="宋体" w:cs="Times New Roman"/>
                <w:kern w:val="2"/>
                <w:sz w:val="21"/>
                <w:szCs w:val="21"/>
                <w:lang w:val="en-US" w:eastAsia="zh-CN" w:bidi="ar-SA"/>
              </w:rPr>
            </w:pPr>
            <w:r>
              <w:rPr>
                <w:rStyle w:val="44"/>
                <w:rFonts w:hint="eastAsia" w:ascii="宋体" w:hAnsi="宋体" w:eastAsia="宋体" w:cs="Times New Roman"/>
                <w:kern w:val="2"/>
                <w:sz w:val="21"/>
                <w:szCs w:val="21"/>
                <w:lang w:val="en-US" w:eastAsia="zh-CN" w:bidi="ar-SA"/>
              </w:rPr>
              <w:t>安全利用类农用地管控要求</w:t>
            </w:r>
          </w:p>
          <w:p>
            <w:pPr>
              <w:pStyle w:val="200"/>
              <w:widowControl/>
              <w:shd w:val="clear" w:color="auto" w:fill="FFFFFF"/>
              <w:spacing w:line="240" w:lineRule="auto"/>
              <w:ind w:firstLine="0" w:firstLineChars="0"/>
              <w:jc w:val="left"/>
              <w:rPr>
                <w:rStyle w:val="44"/>
                <w:rFonts w:hint="eastAsia" w:ascii="宋体" w:hAnsi="宋体" w:eastAsia="宋体" w:cs="Times New Roman"/>
                <w:kern w:val="2"/>
                <w:sz w:val="21"/>
                <w:szCs w:val="21"/>
                <w:lang w:val="en-US" w:eastAsia="zh-CN" w:bidi="ar-SA"/>
              </w:rPr>
            </w:pPr>
            <w:r>
              <w:rPr>
                <w:rStyle w:val="44"/>
                <w:rFonts w:hint="eastAsia" w:ascii="宋体" w:hAnsi="宋体" w:eastAsia="宋体" w:cs="Times New Roman"/>
                <w:kern w:val="2"/>
                <w:sz w:val="21"/>
                <w:szCs w:val="21"/>
                <w:lang w:val="en-US" w:eastAsia="zh-CN" w:bidi="ar-SA"/>
              </w:rPr>
              <w:t>污染地块管控要求</w:t>
            </w:r>
          </w:p>
          <w:p>
            <w:pPr>
              <w:pStyle w:val="200"/>
              <w:widowControl/>
              <w:shd w:val="clear" w:color="auto" w:fill="FFFFFF"/>
              <w:spacing w:line="240" w:lineRule="auto"/>
              <w:ind w:firstLine="0" w:firstLineChars="0"/>
              <w:jc w:val="left"/>
              <w:rPr>
                <w:rStyle w:val="44"/>
                <w:rFonts w:hint="eastAsia" w:ascii="宋体" w:hAnsi="宋体" w:eastAsia="宋体" w:cs="Times New Roman"/>
                <w:kern w:val="2"/>
                <w:sz w:val="21"/>
                <w:szCs w:val="21"/>
                <w:lang w:val="en-US" w:eastAsia="zh-CN" w:bidi="ar-SA"/>
              </w:rPr>
            </w:pPr>
            <w:r>
              <w:rPr>
                <w:rStyle w:val="44"/>
                <w:rFonts w:hint="eastAsia" w:ascii="宋体" w:hAnsi="宋体" w:eastAsia="宋体" w:cs="Times New Roman"/>
                <w:kern w:val="2"/>
                <w:sz w:val="21"/>
                <w:szCs w:val="21"/>
                <w:lang w:val="en-US" w:eastAsia="zh-CN" w:bidi="ar-SA"/>
              </w:rPr>
              <w:t>园区环境风险防控要求</w:t>
            </w:r>
          </w:p>
          <w:p>
            <w:pPr>
              <w:pStyle w:val="200"/>
              <w:widowControl/>
              <w:shd w:val="clear" w:color="auto" w:fill="FFFFFF"/>
              <w:spacing w:line="240" w:lineRule="auto"/>
              <w:ind w:firstLine="0" w:firstLineChars="0"/>
              <w:jc w:val="left"/>
              <w:rPr>
                <w:rStyle w:val="44"/>
                <w:rFonts w:hint="eastAsia" w:ascii="宋体" w:hAnsi="宋体" w:eastAsia="宋体" w:cs="Times New Roman"/>
                <w:kern w:val="2"/>
                <w:sz w:val="21"/>
                <w:szCs w:val="21"/>
                <w:lang w:val="en-US" w:eastAsia="zh-CN" w:bidi="ar-SA"/>
              </w:rPr>
            </w:pPr>
            <w:r>
              <w:rPr>
                <w:rStyle w:val="44"/>
                <w:rFonts w:hint="eastAsia" w:ascii="宋体" w:hAnsi="宋体" w:eastAsia="宋体" w:cs="Times New Roman"/>
                <w:kern w:val="2"/>
                <w:sz w:val="21"/>
                <w:szCs w:val="21"/>
                <w:lang w:val="en-US" w:eastAsia="zh-CN" w:bidi="ar-SA"/>
              </w:rPr>
              <w:t>1、为保护河流的水环境，河道两侧应设置一定宽度的绿化保护带；2、其他执行乐山市工业重点管控单元普适性总体准入要求。</w:t>
            </w:r>
          </w:p>
          <w:p>
            <w:pPr>
              <w:pStyle w:val="200"/>
              <w:widowControl/>
              <w:shd w:val="clear" w:color="auto" w:fill="FFFFFF"/>
              <w:spacing w:line="240" w:lineRule="auto"/>
              <w:ind w:firstLine="0" w:firstLineChars="0"/>
              <w:jc w:val="left"/>
              <w:rPr>
                <w:rStyle w:val="44"/>
                <w:rFonts w:hint="eastAsia" w:ascii="宋体" w:hAnsi="宋体" w:eastAsia="宋体" w:cs="Times New Roman"/>
                <w:kern w:val="2"/>
                <w:sz w:val="21"/>
                <w:szCs w:val="21"/>
                <w:lang w:val="en-US" w:eastAsia="zh-CN" w:bidi="ar-SA"/>
              </w:rPr>
            </w:pPr>
            <w:r>
              <w:rPr>
                <w:rStyle w:val="44"/>
                <w:rFonts w:hint="eastAsia" w:ascii="宋体" w:hAnsi="宋体" w:eastAsia="宋体" w:cs="Times New Roman"/>
                <w:kern w:val="2"/>
                <w:sz w:val="21"/>
                <w:szCs w:val="21"/>
                <w:lang w:val="en-US" w:eastAsia="zh-CN" w:bidi="ar-SA"/>
              </w:rPr>
              <w:t>企业环境风险防控要求</w:t>
            </w:r>
          </w:p>
          <w:p>
            <w:pPr>
              <w:pStyle w:val="200"/>
              <w:widowControl/>
              <w:shd w:val="clear" w:color="auto" w:fill="FFFFFF"/>
              <w:spacing w:line="240" w:lineRule="auto"/>
              <w:ind w:firstLine="0" w:firstLineChars="0"/>
              <w:jc w:val="left"/>
              <w:rPr>
                <w:rStyle w:val="44"/>
                <w:rFonts w:hint="eastAsia" w:ascii="宋体" w:hAnsi="宋体" w:eastAsia="宋体" w:cs="Times New Roman"/>
                <w:kern w:val="2"/>
                <w:sz w:val="21"/>
                <w:szCs w:val="21"/>
                <w:lang w:val="en-US" w:eastAsia="zh-CN" w:bidi="ar-SA"/>
              </w:rPr>
            </w:pPr>
            <w:r>
              <w:rPr>
                <w:rStyle w:val="44"/>
                <w:rFonts w:hint="eastAsia" w:ascii="宋体" w:hAnsi="宋体" w:eastAsia="宋体" w:cs="Times New Roman"/>
                <w:kern w:val="2"/>
                <w:sz w:val="21"/>
                <w:szCs w:val="21"/>
                <w:lang w:val="en-US" w:eastAsia="zh-CN" w:bidi="ar-SA"/>
              </w:rPr>
              <w:t>执行乐山市工业重点管控单元普适性总体准入要求。</w:t>
            </w:r>
          </w:p>
          <w:p>
            <w:pPr>
              <w:pStyle w:val="200"/>
              <w:widowControl/>
              <w:shd w:val="clear" w:color="auto" w:fill="FFFFFF"/>
              <w:spacing w:line="240" w:lineRule="auto"/>
              <w:ind w:firstLine="0" w:firstLineChars="0"/>
              <w:jc w:val="left"/>
              <w:rPr>
                <w:rStyle w:val="44"/>
                <w:rFonts w:hint="eastAsia" w:ascii="宋体" w:hAnsi="宋体" w:eastAsia="宋体" w:cs="Times New Roman"/>
                <w:kern w:val="2"/>
                <w:sz w:val="21"/>
                <w:szCs w:val="21"/>
                <w:lang w:val="en-US" w:eastAsia="zh-CN" w:bidi="ar-SA"/>
              </w:rPr>
            </w:pPr>
            <w:r>
              <w:rPr>
                <w:rStyle w:val="44"/>
                <w:rFonts w:hint="eastAsia" w:ascii="宋体" w:hAnsi="宋体" w:eastAsia="宋体" w:cs="Times New Roman"/>
                <w:kern w:val="2"/>
                <w:sz w:val="21"/>
                <w:szCs w:val="21"/>
                <w:lang w:val="en-US" w:eastAsia="zh-CN" w:bidi="ar-SA"/>
              </w:rPr>
              <w:t>其他环境风险防控要求</w:t>
            </w:r>
          </w:p>
          <w:p>
            <w:pPr>
              <w:pStyle w:val="200"/>
              <w:widowControl/>
              <w:shd w:val="clear" w:color="auto" w:fill="FFFFFF"/>
              <w:spacing w:line="240" w:lineRule="auto"/>
              <w:ind w:firstLine="0" w:firstLineChars="0"/>
              <w:jc w:val="left"/>
              <w:rPr>
                <w:rStyle w:val="44"/>
                <w:rFonts w:hint="eastAsia" w:ascii="宋体" w:hAnsi="宋体" w:eastAsia="宋体" w:cs="Times New Roman"/>
                <w:kern w:val="2"/>
                <w:sz w:val="21"/>
                <w:szCs w:val="21"/>
                <w:lang w:val="en-US" w:eastAsia="zh-CN" w:bidi="ar-SA"/>
              </w:rPr>
            </w:pPr>
            <w:r>
              <w:rPr>
                <w:rStyle w:val="44"/>
                <w:rFonts w:hint="eastAsia" w:ascii="宋体" w:hAnsi="宋体" w:eastAsia="宋体" w:cs="Times New Roman"/>
                <w:kern w:val="2"/>
                <w:sz w:val="21"/>
                <w:szCs w:val="21"/>
                <w:lang w:val="en-US" w:eastAsia="zh-CN" w:bidi="ar-SA"/>
              </w:rPr>
              <w:t>执行乐山市工业重点管控单元普适性总体准入要求。</w:t>
            </w:r>
          </w:p>
        </w:tc>
        <w:tc>
          <w:tcPr>
            <w:tcW w:w="1952" w:type="dxa"/>
            <w:noWrap w:val="0"/>
            <w:vAlign w:val="center"/>
          </w:tcPr>
          <w:p>
            <w:pPr>
              <w:pStyle w:val="200"/>
              <w:widowControl/>
              <w:shd w:val="clear" w:color="auto" w:fill="FFFFFF"/>
              <w:spacing w:line="240" w:lineRule="auto"/>
              <w:ind w:firstLine="0" w:firstLineChars="0"/>
              <w:jc w:val="center"/>
              <w:rPr>
                <w:rStyle w:val="44"/>
                <w:rFonts w:hint="eastAsia" w:ascii="宋体" w:hAnsi="宋体" w:eastAsia="宋体" w:cs="Times New Roman"/>
                <w:kern w:val="2"/>
                <w:sz w:val="21"/>
                <w:szCs w:val="21"/>
                <w:lang w:val="en-US" w:eastAsia="zh-CN" w:bidi="ar-SA"/>
              </w:rPr>
            </w:pPr>
            <w:r>
              <w:rPr>
                <w:rStyle w:val="44"/>
                <w:rFonts w:hint="eastAsia" w:ascii="宋体" w:hAnsi="宋体" w:eastAsia="宋体" w:cs="Times New Roman"/>
                <w:color w:val="auto"/>
                <w:kern w:val="2"/>
                <w:sz w:val="21"/>
                <w:szCs w:val="21"/>
                <w:lang w:val="en-US" w:eastAsia="zh-CN" w:bidi="ar-SA"/>
              </w:rPr>
              <w:t>项目位于工业园区内，用地类型为工业用地，符合园区规划。</w:t>
            </w:r>
          </w:p>
        </w:tc>
        <w:tc>
          <w:tcPr>
            <w:tcW w:w="793" w:type="dxa"/>
            <w:noWrap w:val="0"/>
            <w:vAlign w:val="center"/>
          </w:tcPr>
          <w:p>
            <w:pPr>
              <w:pStyle w:val="200"/>
              <w:widowControl/>
              <w:shd w:val="clear" w:color="auto" w:fill="FFFFFF"/>
              <w:spacing w:line="240" w:lineRule="auto"/>
              <w:ind w:firstLine="0" w:firstLineChars="0"/>
              <w:jc w:val="center"/>
              <w:rPr>
                <w:rStyle w:val="44"/>
                <w:rFonts w:hint="eastAsia" w:ascii="宋体" w:hAnsi="宋体" w:eastAsia="宋体" w:cs="Times New Roman"/>
                <w:kern w:val="2"/>
                <w:sz w:val="21"/>
                <w:szCs w:val="21"/>
                <w:lang w:val="en-US" w:eastAsia="zh-CN" w:bidi="ar-SA"/>
              </w:rPr>
            </w:pPr>
            <w:r>
              <w:rPr>
                <w:rStyle w:val="44"/>
                <w:rFonts w:hint="eastAsia" w:ascii="宋体" w:hAnsi="宋体" w:eastAsia="宋体" w:cs="Times New Roman"/>
                <w:kern w:val="2"/>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1" w:type="dxa"/>
            <w:vMerge w:val="continue"/>
            <w:noWrap w:val="0"/>
            <w:vAlign w:val="center"/>
          </w:tcPr>
          <w:p>
            <w:pPr>
              <w:pStyle w:val="200"/>
              <w:widowControl/>
              <w:spacing w:line="240" w:lineRule="auto"/>
              <w:ind w:firstLine="0" w:firstLineChars="0"/>
              <w:jc w:val="left"/>
              <w:rPr>
                <w:rStyle w:val="44"/>
                <w:rFonts w:ascii="宋体" w:hAnsi="宋体" w:eastAsia="宋体" w:cs="Times New Roman"/>
                <w:kern w:val="2"/>
                <w:sz w:val="21"/>
                <w:szCs w:val="21"/>
                <w:lang w:val="en-US" w:eastAsia="zh-CN" w:bidi="ar-SA"/>
              </w:rPr>
            </w:pPr>
            <w:r>
              <w:rPr>
                <w:rStyle w:val="44"/>
                <w:rFonts w:hint="eastAsia" w:ascii="宋体" w:hAnsi="宋体" w:eastAsia="宋体" w:cs="Times New Roman"/>
                <w:kern w:val="2"/>
                <w:sz w:val="21"/>
                <w:szCs w:val="21"/>
                <w:lang w:val="en-US" w:eastAsia="zh-CN" w:bidi="ar-SA"/>
              </w:rPr>
              <w:t>ZH51110220002</w:t>
            </w:r>
          </w:p>
        </w:tc>
        <w:tc>
          <w:tcPr>
            <w:tcW w:w="708" w:type="dxa"/>
            <w:vMerge w:val="continue"/>
            <w:noWrap w:val="0"/>
            <w:vAlign w:val="center"/>
          </w:tcPr>
          <w:p>
            <w:pPr>
              <w:pStyle w:val="200"/>
              <w:widowControl/>
              <w:spacing w:line="240" w:lineRule="auto"/>
              <w:ind w:firstLine="0" w:firstLineChars="0"/>
              <w:jc w:val="left"/>
              <w:rPr>
                <w:rStyle w:val="44"/>
                <w:rFonts w:ascii="宋体" w:hAnsi="宋体" w:eastAsia="宋体" w:cs="Times New Roman"/>
                <w:kern w:val="2"/>
                <w:sz w:val="21"/>
                <w:szCs w:val="21"/>
                <w:lang w:val="en-US" w:eastAsia="zh-CN" w:bidi="ar-SA"/>
              </w:rPr>
            </w:pPr>
            <w:r>
              <w:rPr>
                <w:rStyle w:val="44"/>
                <w:rFonts w:hint="eastAsia" w:ascii="宋体" w:hAnsi="宋体" w:eastAsia="宋体" w:cs="Times New Roman"/>
                <w:kern w:val="2"/>
                <w:sz w:val="21"/>
                <w:szCs w:val="21"/>
                <w:lang w:val="en-US" w:eastAsia="zh-CN" w:bidi="ar-SA"/>
              </w:rPr>
              <w:t>乐山高新技术产业开发区嘉州工业园</w:t>
            </w:r>
          </w:p>
        </w:tc>
        <w:tc>
          <w:tcPr>
            <w:tcW w:w="5324" w:type="dxa"/>
            <w:vMerge w:val="continue"/>
            <w:noWrap w:val="0"/>
            <w:vAlign w:val="center"/>
          </w:tcPr>
          <w:p>
            <w:pPr>
              <w:pStyle w:val="200"/>
              <w:widowControl w:val="0"/>
              <w:spacing w:line="360" w:lineRule="auto"/>
              <w:ind w:firstLine="0" w:firstLineChars="0"/>
              <w:jc w:val="both"/>
              <w:rPr>
                <w:rStyle w:val="44"/>
                <w:rFonts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空间布局约束：</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禁止开发建设活动的要求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1）禁止在长江干支流岸线一公里范围内新建、扩建化工园区和化工项目；禁止在长江干流岸线三公里范围内和重要支流岸线一公里范围内新建、改建、扩建尾矿库（以提升安全、生态环境保护水平为目的的改建除外）；</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（2）禁止在合规园区外新建、扩建钢铁、石化、化工、焦化、建材、有色等高污染项目。禁止新建、扩建不符合国家石化、现代煤化工等产业布局规划的项目；</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（3）重点区域严禁新增钢铁、焦化、电解铝、铸造、水泥、平板玻璃等行业项目及产能。</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限制开发建设活动的要求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（1）继续化解过剩产能，严禁钢铁、水泥、电解铝、平板玻璃等行业新增产能，对确有必要新建的必须实施等量或减量置换；</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（2）长江干流及重要支流岸线一公里范围内严控新建制革、有色金属、三磷项目。</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不符合空间布局要求活动的退出要求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（1）现有属于园区禁止引入产业门类的企业，原则上限制发展，污染物排放只降不增，允许以提升安全、生态环境保护水平为目的的改建，引导企业结合产业升级等适时搬迁；</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（2）加强沿江化工园区和重点企业的环境风险防范和污染治理，对限期未完成治理的化工企业实施关闭，逐步实施五通桥盐磷化工产业园、马边磷化特色产业园等沿江沿河化工园区和重点企业的搬迁。</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其他空间布局约束要求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污染物排放管控：</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允许排放量要求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（1）上一年度水环境质量未完成目标的，新建排放水污染的建设项目按照总量管控要求进行倍量削减替代；</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（2）对新建排放二氧化硫、氮氧化物、工业烟粉尘和挥发性有机物的项目实施现役源2倍削减替代；</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（3）水质超标的水功能区，应当实施更严格的污染物排放总量削减要求。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现有源提标升级改造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（1）现有工业园区集中污水处理厂执行《四川省岷江、沱江流域水污染物排放标准》（DB51 2311-2016），增加工业污水中水回用配套设施建设，鼓励园区和企业中水回用；</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（2）推进高污染、高耗水行业清洁生产改造，确保单位产品基准排水量达到《四川省岷江、沱江流域水污染物排放标准》。加大钢铁、印染、造纸、化工、制革等高耗水企业废水深度处理回用；</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（3）市中区、五通桥区、沙湾区、犍为县、井研县、峨眉山市、夹江县属大气污染重点区域，执行大气污染物排放特别限值和特别控制要求；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（4）全市燃煤锅炉稳定达到超低排放限值要求，烟粉尘低于10毫克立方米，二氧化硫低于35毫克立方米，氮氧化物低于50毫克立方米；</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5）持续推进水泥、陶瓷、砖瓦、铸造、铁合金、钢铁等行业大气污染深度治理，深入推进颗粒物、二氧化硫、氮氧化物和挥发性有机物治理，持续推进陶瓷行业（喷雾干燥塔）清洁能源改造工程，加快推进五通桥涉氨排放化工企业氨排放治理。</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其他污染物排放管控要求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（1）工业废水集中处理设施实现稳定达《四川省岷江、沱江流域水污染物排放标准》相应标准限值排放。磷肥和含磷农药制造等企业，应当按照排污许可要求，采取有效措施控制总磷排放浓度和排放总量；</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（2）大力推进低（无）VOCs含量原辅材料替代；聚焦治污设施“三率”，提升综合治理效率。</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环境风险防控：</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联防联控要求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（1）建立健全全过程、多层级环境风险防范体系。强化危化品泄漏应急处置措施，确保风险可控。针对化工园区建立有毒有害气体环境风险预警体系，建立区域、流域联动应急响应体系，实行联防联控。</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其他环境风险防控要求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（1）涉及有毒有害、易燃易爆物质新建、改扩建项目，严控准入要求；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（2）严格涉重金属企业和园区环境准入管理，新（改、扩）建涉重金属重点行业建设项目实施“等量替代”或“减量替代”；</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3）有色金属冶炼、石油加工、化工、焦化、电镀、制革等行业企业拆除生产设施设备、构筑物和污染治理设施，要事先制定残留污染物清理和安全处置方案，要严格按照有关规定实施安全处理处置，防范拆除活动污染土壤；</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4）对拟收回土地使用权的有色金属矿采选、有色金属冶炼、石油加工、化工、焦化、电镀、制革、铅蓄电池、农药、危废处置、电子拆解等行业企业用地，应按相关要求进行土壤环境状况调查评估，符合相应规划用地土壤环境质量要求的地块，方可进入用地程序。</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资源开发利用效率要求：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水资源利用总量要求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1）鼓励引导新建、改建、扩建工业园区应当按照有关要求统筹建设工业废水集中处理和回用设施，适时推进企业间串联用水、分质用水、一水多用，实现水循环梯级优化利用和废水集中处理回用，创建节水型工业园区；</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2）鼓励火力发电、钢铁、纺织、造纸、石化和化工、食品和发酵等高耗水企业对废水进行深度处理回用，降低单位产品耗水量。火电、石化、钢铁、有色、造纸、印染等高耗水行业项目具备使用再生水条件但未有效利用的，要严格控制新增取水许可。</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地下水开采要求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能源利用总量及效率要求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（1）严格控制煤炭消费总量。严格控制新建、改建、扩建耗煤项目，新增耗煤项目实行当年煤炭消耗减量倍量替代。</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禁燃区要求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（1）保留20蒸吨小时以上燃煤锅炉，并执行超低排放要求；或进行清洁能源改造，清洁能源改造选择燃气锅炉的，应当同时采用低氮燃烧技术；</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（2）禁燃区禁止审批（核准、备案）、新建、扩建燃用高污染燃料的锅炉、炉窑等各类燃用高污染燃料的设施。</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其他资源利用效率要求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tc>
        <w:tc>
          <w:tcPr>
            <w:tcW w:w="1232" w:type="dxa"/>
            <w:noWrap w:val="0"/>
            <w:vAlign w:val="center"/>
          </w:tcPr>
          <w:p>
            <w:pPr>
              <w:pStyle w:val="200"/>
              <w:widowControl/>
              <w:spacing w:line="240" w:lineRule="auto"/>
              <w:ind w:firstLine="0" w:firstLineChars="0"/>
              <w:jc w:val="center"/>
              <w:rPr>
                <w:rStyle w:val="44"/>
                <w:rFonts w:ascii="宋体" w:hAnsi="宋体" w:eastAsia="宋体" w:cs="Times New Roman"/>
                <w:kern w:val="2"/>
                <w:sz w:val="21"/>
                <w:szCs w:val="21"/>
                <w:lang w:val="en-US" w:eastAsia="zh-CN" w:bidi="ar-SA"/>
              </w:rPr>
            </w:pPr>
            <w:r>
              <w:rPr>
                <w:rStyle w:val="44"/>
                <w:rFonts w:hint="eastAsia" w:ascii="宋体" w:hAnsi="宋体" w:eastAsia="宋体" w:cs="Times New Roman"/>
                <w:kern w:val="2"/>
                <w:sz w:val="21"/>
                <w:szCs w:val="21"/>
                <w:lang w:val="en-US" w:eastAsia="zh-CN" w:bidi="ar-SA"/>
              </w:rPr>
              <w:t>资源开发效率要求</w:t>
            </w:r>
          </w:p>
        </w:tc>
        <w:tc>
          <w:tcPr>
            <w:tcW w:w="3661" w:type="dxa"/>
            <w:noWrap w:val="0"/>
            <w:vAlign w:val="center"/>
          </w:tcPr>
          <w:p>
            <w:pPr>
              <w:pStyle w:val="200"/>
              <w:widowControl/>
              <w:shd w:val="clear" w:color="auto" w:fill="FFFFFF"/>
              <w:spacing w:line="240" w:lineRule="auto"/>
              <w:ind w:firstLine="0" w:firstLineChars="0"/>
              <w:jc w:val="left"/>
              <w:rPr>
                <w:rStyle w:val="44"/>
                <w:rFonts w:ascii="宋体" w:hAnsi="宋体" w:eastAsia="宋体" w:cs="Times New Roman"/>
                <w:kern w:val="2"/>
                <w:sz w:val="21"/>
                <w:szCs w:val="21"/>
                <w:lang w:val="en-US" w:eastAsia="zh-CN" w:bidi="ar-SA"/>
              </w:rPr>
            </w:pPr>
            <w:r>
              <w:rPr>
                <w:rStyle w:val="44"/>
                <w:rFonts w:hint="eastAsia" w:ascii="宋体" w:hAnsi="宋体" w:eastAsia="宋体" w:cs="Times New Roman"/>
                <w:kern w:val="2"/>
                <w:sz w:val="21"/>
                <w:szCs w:val="21"/>
                <w:lang w:val="en-US" w:eastAsia="zh-CN" w:bidi="ar-SA"/>
              </w:rPr>
              <w:t>水资源利用效率要求</w:t>
            </w:r>
          </w:p>
          <w:p>
            <w:pPr>
              <w:pStyle w:val="200"/>
              <w:widowControl/>
              <w:shd w:val="clear" w:color="auto" w:fill="FFFFFF"/>
              <w:spacing w:line="240" w:lineRule="auto"/>
              <w:ind w:firstLine="0" w:firstLineChars="0"/>
              <w:jc w:val="left"/>
              <w:rPr>
                <w:rStyle w:val="44"/>
                <w:rFonts w:hint="eastAsia" w:ascii="宋体" w:hAnsi="宋体" w:eastAsia="宋体" w:cs="Times New Roman"/>
                <w:kern w:val="2"/>
                <w:sz w:val="21"/>
                <w:szCs w:val="21"/>
                <w:lang w:val="en-US" w:eastAsia="zh-CN" w:bidi="ar-SA"/>
              </w:rPr>
            </w:pPr>
            <w:r>
              <w:rPr>
                <w:rStyle w:val="44"/>
                <w:rFonts w:hint="eastAsia" w:ascii="宋体" w:hAnsi="宋体" w:eastAsia="宋体" w:cs="Times New Roman"/>
                <w:kern w:val="2"/>
                <w:sz w:val="21"/>
                <w:szCs w:val="21"/>
                <w:lang w:val="en-US" w:eastAsia="zh-CN" w:bidi="ar-SA"/>
              </w:rPr>
              <w:t>执行乐山市工业重点管控单元普适性总体准入要求。</w:t>
            </w:r>
          </w:p>
          <w:p>
            <w:pPr>
              <w:pStyle w:val="200"/>
              <w:widowControl/>
              <w:shd w:val="clear" w:color="auto" w:fill="FFFFFF"/>
              <w:spacing w:line="240" w:lineRule="auto"/>
              <w:ind w:firstLine="0" w:firstLineChars="0"/>
              <w:jc w:val="left"/>
              <w:rPr>
                <w:rStyle w:val="44"/>
                <w:rFonts w:hint="eastAsia" w:ascii="宋体" w:hAnsi="宋体" w:eastAsia="宋体" w:cs="Times New Roman"/>
                <w:kern w:val="2"/>
                <w:sz w:val="21"/>
                <w:szCs w:val="21"/>
                <w:lang w:val="en-US" w:eastAsia="zh-CN" w:bidi="ar-SA"/>
              </w:rPr>
            </w:pPr>
            <w:r>
              <w:rPr>
                <w:rStyle w:val="44"/>
                <w:rFonts w:hint="eastAsia" w:ascii="宋体" w:hAnsi="宋体" w:eastAsia="宋体" w:cs="Times New Roman"/>
                <w:kern w:val="2"/>
                <w:sz w:val="21"/>
                <w:szCs w:val="21"/>
                <w:lang w:val="en-US" w:eastAsia="zh-CN" w:bidi="ar-SA"/>
              </w:rPr>
              <w:t>地下水开采要求</w:t>
            </w:r>
          </w:p>
          <w:p>
            <w:pPr>
              <w:pStyle w:val="200"/>
              <w:widowControl/>
              <w:shd w:val="clear" w:color="auto" w:fill="FFFFFF"/>
              <w:spacing w:line="240" w:lineRule="auto"/>
              <w:ind w:firstLine="0" w:firstLineChars="0"/>
              <w:jc w:val="left"/>
              <w:rPr>
                <w:rStyle w:val="44"/>
                <w:rFonts w:hint="eastAsia" w:ascii="宋体" w:hAnsi="宋体" w:eastAsia="宋体" w:cs="Times New Roman"/>
                <w:kern w:val="2"/>
                <w:sz w:val="21"/>
                <w:szCs w:val="21"/>
                <w:lang w:val="en-US" w:eastAsia="zh-CN" w:bidi="ar-SA"/>
              </w:rPr>
            </w:pPr>
            <w:r>
              <w:rPr>
                <w:rStyle w:val="44"/>
                <w:rFonts w:hint="eastAsia" w:ascii="宋体" w:hAnsi="宋体" w:eastAsia="宋体" w:cs="Times New Roman"/>
                <w:kern w:val="2"/>
                <w:sz w:val="21"/>
                <w:szCs w:val="21"/>
                <w:lang w:val="en-US" w:eastAsia="zh-CN" w:bidi="ar-SA"/>
              </w:rPr>
              <w:t>能源利用效率要求</w:t>
            </w:r>
          </w:p>
          <w:p>
            <w:pPr>
              <w:pStyle w:val="200"/>
              <w:widowControl/>
              <w:shd w:val="clear" w:color="auto" w:fill="FFFFFF"/>
              <w:spacing w:line="240" w:lineRule="auto"/>
              <w:ind w:firstLine="0" w:firstLineChars="0"/>
              <w:jc w:val="left"/>
              <w:rPr>
                <w:rStyle w:val="44"/>
                <w:rFonts w:hint="eastAsia" w:ascii="宋体" w:hAnsi="宋体" w:eastAsia="宋体" w:cs="Times New Roman"/>
                <w:kern w:val="2"/>
                <w:sz w:val="21"/>
                <w:szCs w:val="21"/>
                <w:lang w:val="en-US" w:eastAsia="zh-CN" w:bidi="ar-SA"/>
              </w:rPr>
            </w:pPr>
            <w:r>
              <w:rPr>
                <w:rStyle w:val="44"/>
                <w:rFonts w:hint="eastAsia" w:ascii="宋体" w:hAnsi="宋体" w:eastAsia="宋体" w:cs="Times New Roman"/>
                <w:kern w:val="2"/>
                <w:sz w:val="21"/>
                <w:szCs w:val="21"/>
                <w:lang w:val="en-US" w:eastAsia="zh-CN" w:bidi="ar-SA"/>
              </w:rPr>
              <w:t>执行乐山市工业重点管控单元普适性总体准入要求。</w:t>
            </w:r>
          </w:p>
          <w:p>
            <w:pPr>
              <w:pStyle w:val="200"/>
              <w:widowControl/>
              <w:shd w:val="clear" w:color="auto" w:fill="FFFFFF"/>
              <w:spacing w:line="240" w:lineRule="auto"/>
              <w:ind w:firstLine="0" w:firstLineChars="0"/>
              <w:jc w:val="left"/>
              <w:rPr>
                <w:rStyle w:val="44"/>
                <w:rFonts w:hint="eastAsia" w:ascii="宋体" w:hAnsi="宋体" w:eastAsia="宋体" w:cs="Times New Roman"/>
                <w:kern w:val="2"/>
                <w:sz w:val="21"/>
                <w:szCs w:val="21"/>
                <w:lang w:val="en-US" w:eastAsia="zh-CN" w:bidi="ar-SA"/>
              </w:rPr>
            </w:pPr>
            <w:r>
              <w:rPr>
                <w:rStyle w:val="44"/>
                <w:rFonts w:hint="eastAsia" w:ascii="宋体" w:hAnsi="宋体" w:eastAsia="宋体" w:cs="Times New Roman"/>
                <w:kern w:val="2"/>
                <w:sz w:val="21"/>
                <w:szCs w:val="21"/>
                <w:lang w:val="en-US" w:eastAsia="zh-CN" w:bidi="ar-SA"/>
              </w:rPr>
              <w:t>其他资源利用效率要求</w:t>
            </w:r>
          </w:p>
        </w:tc>
        <w:tc>
          <w:tcPr>
            <w:tcW w:w="1952" w:type="dxa"/>
            <w:noWrap w:val="0"/>
            <w:vAlign w:val="center"/>
          </w:tcPr>
          <w:p>
            <w:pPr>
              <w:pStyle w:val="200"/>
              <w:widowControl/>
              <w:shd w:val="clear" w:color="auto" w:fill="FFFFFF"/>
              <w:spacing w:line="240" w:lineRule="auto"/>
              <w:ind w:firstLine="0" w:firstLineChars="0"/>
              <w:jc w:val="center"/>
              <w:rPr>
                <w:rStyle w:val="44"/>
                <w:rFonts w:hint="eastAsia" w:ascii="宋体" w:hAnsi="宋体" w:eastAsia="宋体" w:cs="Times New Roman"/>
                <w:kern w:val="2"/>
                <w:sz w:val="21"/>
                <w:szCs w:val="21"/>
                <w:lang w:val="en-US" w:eastAsia="zh-CN" w:bidi="ar-SA"/>
              </w:rPr>
            </w:pPr>
            <w:r>
              <w:rPr>
                <w:rStyle w:val="44"/>
                <w:rFonts w:hint="eastAsia" w:ascii="宋体" w:hAnsi="宋体" w:eastAsia="宋体" w:cs="Times New Roman"/>
                <w:color w:val="auto"/>
                <w:kern w:val="2"/>
                <w:sz w:val="21"/>
                <w:szCs w:val="21"/>
                <w:lang w:val="en-US" w:eastAsia="zh-CN" w:bidi="ar-SA"/>
              </w:rPr>
              <w:t>本项目磨边、清洗、冷却水循环使用，不外排；水帘柜废水循环使用，一年更换一次，排入乐山市工业集中区污水处理厂；生活污水经预处理后排入乐山市工业集中区污水处理厂处理后达标排放。主要使用电能。</w:t>
            </w:r>
          </w:p>
        </w:tc>
        <w:tc>
          <w:tcPr>
            <w:tcW w:w="793" w:type="dxa"/>
            <w:noWrap w:val="0"/>
            <w:vAlign w:val="center"/>
          </w:tcPr>
          <w:p>
            <w:pPr>
              <w:pStyle w:val="200"/>
              <w:widowControl/>
              <w:shd w:val="clear" w:color="auto" w:fill="FFFFFF"/>
              <w:spacing w:line="240" w:lineRule="auto"/>
              <w:ind w:firstLine="0" w:firstLineChars="0"/>
              <w:jc w:val="center"/>
              <w:rPr>
                <w:rStyle w:val="44"/>
                <w:rFonts w:hint="eastAsia" w:ascii="宋体" w:hAnsi="宋体" w:eastAsia="宋体" w:cs="Times New Roman"/>
                <w:kern w:val="2"/>
                <w:sz w:val="21"/>
                <w:szCs w:val="21"/>
                <w:lang w:val="en-US" w:eastAsia="zh-CN" w:bidi="ar-SA"/>
              </w:rPr>
            </w:pPr>
            <w:r>
              <w:rPr>
                <w:rStyle w:val="44"/>
                <w:rFonts w:hint="eastAsia" w:ascii="宋体" w:hAnsi="宋体" w:eastAsia="宋体" w:cs="Times New Roman"/>
                <w:kern w:val="2"/>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1" w:type="dxa"/>
            <w:vMerge w:val="restart"/>
            <w:noWrap w:val="0"/>
            <w:vAlign w:val="center"/>
          </w:tcPr>
          <w:p>
            <w:pPr>
              <w:pStyle w:val="200"/>
              <w:widowControl/>
              <w:spacing w:line="240" w:lineRule="auto"/>
              <w:ind w:firstLine="0" w:firstLineChars="0"/>
              <w:jc w:val="left"/>
              <w:rPr>
                <w:rStyle w:val="44"/>
                <w:rFonts w:ascii="宋体" w:hAnsi="宋体" w:eastAsia="宋体" w:cs="Times New Roman"/>
                <w:kern w:val="2"/>
                <w:sz w:val="21"/>
                <w:szCs w:val="21"/>
                <w:lang w:val="en-US" w:eastAsia="zh-CN" w:bidi="ar-SA"/>
              </w:rPr>
            </w:pPr>
            <w:r>
              <w:rPr>
                <w:rStyle w:val="44"/>
                <w:rFonts w:hint="eastAsia" w:ascii="宋体" w:hAnsi="宋体" w:eastAsia="宋体" w:cs="Times New Roman"/>
                <w:kern w:val="2"/>
                <w:sz w:val="21"/>
                <w:szCs w:val="21"/>
                <w:lang w:val="en-US" w:eastAsia="zh-CN" w:bidi="ar-SA"/>
              </w:rPr>
              <w:t>YS5111022210018</w:t>
            </w:r>
          </w:p>
        </w:tc>
        <w:tc>
          <w:tcPr>
            <w:tcW w:w="708" w:type="dxa"/>
            <w:vMerge w:val="restart"/>
            <w:noWrap w:val="0"/>
            <w:vAlign w:val="center"/>
          </w:tcPr>
          <w:p>
            <w:pPr>
              <w:pStyle w:val="200"/>
              <w:widowControl/>
              <w:spacing w:line="240" w:lineRule="auto"/>
              <w:ind w:firstLine="0" w:firstLineChars="0"/>
              <w:jc w:val="left"/>
              <w:rPr>
                <w:rStyle w:val="44"/>
                <w:rFonts w:ascii="宋体" w:hAnsi="宋体" w:eastAsia="宋体" w:cs="Times New Roman"/>
                <w:kern w:val="2"/>
                <w:sz w:val="21"/>
                <w:szCs w:val="21"/>
                <w:lang w:val="en-US" w:eastAsia="zh-CN" w:bidi="ar-SA"/>
              </w:rPr>
            </w:pPr>
            <w:r>
              <w:rPr>
                <w:rStyle w:val="44"/>
                <w:rFonts w:hint="eastAsia" w:ascii="宋体" w:hAnsi="宋体" w:eastAsia="宋体" w:cs="Times New Roman"/>
                <w:kern w:val="2"/>
                <w:sz w:val="21"/>
                <w:szCs w:val="21"/>
                <w:lang w:val="en-US" w:eastAsia="zh-CN" w:bidi="ar-SA"/>
              </w:rPr>
              <w:t>大渡河市中区李码头控制单元</w:t>
            </w:r>
          </w:p>
        </w:tc>
        <w:tc>
          <w:tcPr>
            <w:tcW w:w="5324" w:type="dxa"/>
            <w:vMerge w:val="restart"/>
            <w:noWrap w:val="0"/>
            <w:vAlign w:val="center"/>
          </w:tcPr>
          <w:p>
            <w:pPr>
              <w:pStyle w:val="200"/>
              <w:widowControl w:val="0"/>
              <w:spacing w:line="360" w:lineRule="auto"/>
              <w:ind w:firstLine="0" w:firstLineChars="0"/>
              <w:jc w:val="both"/>
              <w:rPr>
                <w:rStyle w:val="44"/>
                <w:rFonts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空间布局约束：</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禁止开发建设活动的要求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限制开发建设活动的要求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不符合空间布局要求活动的退出要求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其他空间布局约束要求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污染物排放管控：</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允许排放量要求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现有源提标升级改造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其他污染物排放管控要求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环境风险防控：</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联防联控要求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其他环境风险防控要求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资源开发利用效率要求：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水资源利用总量要求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地下水开采要求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能源利用总量及效率要求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禁燃区要求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其他资源利用效率要求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tc>
        <w:tc>
          <w:tcPr>
            <w:tcW w:w="1232" w:type="dxa"/>
            <w:noWrap w:val="0"/>
            <w:vAlign w:val="center"/>
          </w:tcPr>
          <w:p>
            <w:pPr>
              <w:pStyle w:val="200"/>
              <w:widowControl/>
              <w:spacing w:line="240" w:lineRule="auto"/>
              <w:ind w:firstLine="0" w:firstLineChars="0"/>
              <w:jc w:val="center"/>
              <w:rPr>
                <w:rStyle w:val="44"/>
                <w:rFonts w:ascii="宋体" w:hAnsi="宋体" w:eastAsia="宋体" w:cs="Times New Roman"/>
                <w:kern w:val="2"/>
                <w:sz w:val="21"/>
                <w:szCs w:val="21"/>
                <w:lang w:val="en-US" w:eastAsia="zh-CN" w:bidi="ar-SA"/>
              </w:rPr>
            </w:pPr>
            <w:r>
              <w:rPr>
                <w:rStyle w:val="44"/>
                <w:rFonts w:hint="eastAsia" w:ascii="宋体" w:hAnsi="宋体" w:eastAsia="宋体" w:cs="Times New Roman"/>
                <w:kern w:val="2"/>
                <w:sz w:val="21"/>
                <w:szCs w:val="21"/>
                <w:lang w:val="en-US" w:eastAsia="zh-CN" w:bidi="ar-SA"/>
              </w:rPr>
              <w:t>空间布局约束</w:t>
            </w:r>
          </w:p>
        </w:tc>
        <w:tc>
          <w:tcPr>
            <w:tcW w:w="3661" w:type="dxa"/>
            <w:noWrap w:val="0"/>
            <w:vAlign w:val="center"/>
          </w:tcPr>
          <w:p>
            <w:pPr>
              <w:pStyle w:val="200"/>
              <w:widowControl/>
              <w:shd w:val="clear" w:color="auto" w:fill="FFFFFF"/>
              <w:spacing w:line="240" w:lineRule="auto"/>
              <w:ind w:firstLine="0" w:firstLineChars="0"/>
              <w:jc w:val="left"/>
              <w:rPr>
                <w:rStyle w:val="44"/>
                <w:rFonts w:ascii="宋体" w:hAnsi="宋体" w:eastAsia="宋体" w:cs="Times New Roman"/>
                <w:kern w:val="2"/>
                <w:sz w:val="21"/>
                <w:szCs w:val="21"/>
                <w:lang w:val="en-US" w:eastAsia="zh-CN" w:bidi="ar-SA"/>
              </w:rPr>
            </w:pPr>
            <w:r>
              <w:rPr>
                <w:rStyle w:val="44"/>
                <w:rFonts w:hint="eastAsia" w:ascii="宋体" w:hAnsi="宋体" w:eastAsia="宋体" w:cs="Times New Roman"/>
                <w:kern w:val="2"/>
                <w:sz w:val="21"/>
                <w:szCs w:val="21"/>
                <w:lang w:val="en-US" w:eastAsia="zh-CN" w:bidi="ar-SA"/>
              </w:rPr>
              <w:t>禁止开发建设活动的要求</w:t>
            </w:r>
          </w:p>
          <w:p>
            <w:pPr>
              <w:pStyle w:val="200"/>
              <w:widowControl/>
              <w:shd w:val="clear" w:color="auto" w:fill="FFFFFF"/>
              <w:spacing w:line="240" w:lineRule="auto"/>
              <w:ind w:firstLine="0" w:firstLineChars="0"/>
              <w:jc w:val="left"/>
              <w:rPr>
                <w:rStyle w:val="44"/>
                <w:rFonts w:hint="eastAsia" w:ascii="宋体" w:hAnsi="宋体" w:eastAsia="宋体" w:cs="Times New Roman"/>
                <w:kern w:val="2"/>
                <w:sz w:val="21"/>
                <w:szCs w:val="21"/>
                <w:lang w:val="en-US" w:eastAsia="zh-CN" w:bidi="ar-SA"/>
              </w:rPr>
            </w:pPr>
            <w:r>
              <w:rPr>
                <w:rStyle w:val="44"/>
                <w:rFonts w:hint="eastAsia" w:ascii="宋体" w:hAnsi="宋体" w:eastAsia="宋体" w:cs="Times New Roman"/>
                <w:kern w:val="2"/>
                <w:sz w:val="21"/>
                <w:szCs w:val="21"/>
                <w:lang w:val="en-US" w:eastAsia="zh-CN" w:bidi="ar-SA"/>
              </w:rPr>
              <w:t>限制开发建设活动的要求</w:t>
            </w:r>
          </w:p>
          <w:p>
            <w:pPr>
              <w:pStyle w:val="200"/>
              <w:widowControl/>
              <w:shd w:val="clear" w:color="auto" w:fill="FFFFFF"/>
              <w:spacing w:line="240" w:lineRule="auto"/>
              <w:ind w:firstLine="0" w:firstLineChars="0"/>
              <w:jc w:val="left"/>
              <w:rPr>
                <w:rStyle w:val="44"/>
                <w:rFonts w:hint="eastAsia" w:ascii="宋体" w:hAnsi="宋体" w:eastAsia="宋体" w:cs="Times New Roman"/>
                <w:kern w:val="2"/>
                <w:sz w:val="21"/>
                <w:szCs w:val="21"/>
                <w:lang w:val="en-US" w:eastAsia="zh-CN" w:bidi="ar-SA"/>
              </w:rPr>
            </w:pPr>
            <w:r>
              <w:rPr>
                <w:rStyle w:val="44"/>
                <w:rFonts w:hint="eastAsia" w:ascii="宋体" w:hAnsi="宋体" w:eastAsia="宋体" w:cs="Times New Roman"/>
                <w:kern w:val="2"/>
                <w:sz w:val="21"/>
                <w:szCs w:val="21"/>
                <w:lang w:val="en-US" w:eastAsia="zh-CN" w:bidi="ar-SA"/>
              </w:rPr>
              <w:t>允许开发建设活动的要求</w:t>
            </w:r>
          </w:p>
          <w:p>
            <w:pPr>
              <w:pStyle w:val="200"/>
              <w:widowControl/>
              <w:shd w:val="clear" w:color="auto" w:fill="FFFFFF"/>
              <w:spacing w:line="240" w:lineRule="auto"/>
              <w:ind w:firstLine="0" w:firstLineChars="0"/>
              <w:jc w:val="left"/>
              <w:rPr>
                <w:rStyle w:val="44"/>
                <w:rFonts w:hint="eastAsia" w:ascii="宋体" w:hAnsi="宋体" w:eastAsia="宋体" w:cs="Times New Roman"/>
                <w:kern w:val="2"/>
                <w:sz w:val="21"/>
                <w:szCs w:val="21"/>
                <w:lang w:val="en-US" w:eastAsia="zh-CN" w:bidi="ar-SA"/>
              </w:rPr>
            </w:pPr>
            <w:r>
              <w:rPr>
                <w:rStyle w:val="44"/>
                <w:rFonts w:hint="eastAsia" w:ascii="宋体" w:hAnsi="宋体" w:eastAsia="宋体" w:cs="Times New Roman"/>
                <w:kern w:val="2"/>
                <w:sz w:val="21"/>
                <w:szCs w:val="21"/>
                <w:lang w:val="en-US" w:eastAsia="zh-CN" w:bidi="ar-SA"/>
              </w:rPr>
              <w:t>不符合空间布局要求活动的退出要求</w:t>
            </w:r>
          </w:p>
          <w:p>
            <w:pPr>
              <w:pStyle w:val="200"/>
              <w:widowControl/>
              <w:shd w:val="clear" w:color="auto" w:fill="FFFFFF"/>
              <w:spacing w:line="240" w:lineRule="auto"/>
              <w:ind w:firstLine="0" w:firstLineChars="0"/>
              <w:jc w:val="left"/>
              <w:rPr>
                <w:rStyle w:val="44"/>
                <w:rFonts w:hint="eastAsia" w:ascii="宋体" w:hAnsi="宋体" w:eastAsia="宋体" w:cs="Times New Roman"/>
                <w:kern w:val="2"/>
                <w:sz w:val="21"/>
                <w:szCs w:val="21"/>
                <w:lang w:val="en-US" w:eastAsia="zh-CN" w:bidi="ar-SA"/>
              </w:rPr>
            </w:pPr>
            <w:r>
              <w:rPr>
                <w:rStyle w:val="44"/>
                <w:rFonts w:hint="eastAsia" w:ascii="宋体" w:hAnsi="宋体" w:eastAsia="宋体" w:cs="Times New Roman"/>
                <w:kern w:val="2"/>
                <w:sz w:val="21"/>
                <w:szCs w:val="21"/>
                <w:lang w:val="en-US" w:eastAsia="zh-CN" w:bidi="ar-SA"/>
              </w:rPr>
              <w:t>其他空间布局约束要求</w:t>
            </w:r>
          </w:p>
        </w:tc>
        <w:tc>
          <w:tcPr>
            <w:tcW w:w="1952" w:type="dxa"/>
            <w:noWrap w:val="0"/>
            <w:vAlign w:val="center"/>
          </w:tcPr>
          <w:p>
            <w:pPr>
              <w:pStyle w:val="200"/>
              <w:widowControl/>
              <w:shd w:val="clear" w:color="auto" w:fill="FFFFFF"/>
              <w:spacing w:line="240" w:lineRule="auto"/>
              <w:ind w:firstLine="0" w:firstLineChars="0"/>
              <w:jc w:val="center"/>
              <w:rPr>
                <w:rStyle w:val="44"/>
                <w:rFonts w:hint="eastAsia" w:ascii="宋体" w:hAnsi="宋体" w:eastAsia="宋体" w:cs="Times New Roman"/>
                <w:kern w:val="2"/>
                <w:sz w:val="21"/>
                <w:szCs w:val="21"/>
                <w:lang w:val="en-US" w:eastAsia="zh-CN" w:bidi="ar-SA"/>
              </w:rPr>
            </w:pPr>
            <w:r>
              <w:rPr>
                <w:rStyle w:val="44"/>
                <w:rFonts w:hint="eastAsia" w:ascii="宋体" w:hAnsi="宋体" w:eastAsia="宋体" w:cs="Times New Roman"/>
                <w:color w:val="auto"/>
                <w:kern w:val="2"/>
                <w:sz w:val="21"/>
                <w:szCs w:val="21"/>
                <w:lang w:val="en-US" w:eastAsia="zh-CN" w:bidi="ar-SA"/>
              </w:rPr>
              <w:t>项目为产业政策允许类项目，位于嘉州工业园水口园区内，用地为工业用地，符合园区规划。</w:t>
            </w:r>
          </w:p>
        </w:tc>
        <w:tc>
          <w:tcPr>
            <w:tcW w:w="793" w:type="dxa"/>
            <w:noWrap w:val="0"/>
            <w:vAlign w:val="center"/>
          </w:tcPr>
          <w:p>
            <w:pPr>
              <w:pStyle w:val="200"/>
              <w:widowControl/>
              <w:shd w:val="clear" w:color="auto" w:fill="FFFFFF"/>
              <w:spacing w:line="240" w:lineRule="auto"/>
              <w:ind w:firstLine="0" w:firstLineChars="0"/>
              <w:jc w:val="center"/>
              <w:rPr>
                <w:rStyle w:val="44"/>
                <w:rFonts w:hint="eastAsia" w:ascii="宋体" w:hAnsi="宋体" w:eastAsia="宋体" w:cs="Times New Roman"/>
                <w:kern w:val="2"/>
                <w:sz w:val="21"/>
                <w:szCs w:val="21"/>
                <w:lang w:val="en-US" w:eastAsia="zh-CN" w:bidi="ar-SA"/>
              </w:rPr>
            </w:pPr>
            <w:r>
              <w:rPr>
                <w:rStyle w:val="44"/>
                <w:rFonts w:hint="eastAsia" w:ascii="宋体" w:hAnsi="宋体" w:eastAsia="宋体" w:cs="Times New Roman"/>
                <w:kern w:val="2"/>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1" w:type="dxa"/>
            <w:vMerge w:val="continue"/>
            <w:noWrap w:val="0"/>
            <w:vAlign w:val="center"/>
          </w:tcPr>
          <w:p>
            <w:pPr>
              <w:pStyle w:val="200"/>
              <w:widowControl/>
              <w:spacing w:line="240" w:lineRule="auto"/>
              <w:ind w:firstLine="0" w:firstLineChars="0"/>
              <w:jc w:val="left"/>
              <w:rPr>
                <w:rStyle w:val="44"/>
                <w:rFonts w:ascii="宋体" w:hAnsi="宋体" w:eastAsia="宋体" w:cs="Times New Roman"/>
                <w:kern w:val="2"/>
                <w:sz w:val="21"/>
                <w:szCs w:val="21"/>
                <w:lang w:val="en-US" w:eastAsia="zh-CN" w:bidi="ar-SA"/>
              </w:rPr>
            </w:pPr>
            <w:r>
              <w:rPr>
                <w:rStyle w:val="44"/>
                <w:rFonts w:hint="eastAsia" w:ascii="宋体" w:hAnsi="宋体" w:eastAsia="宋体" w:cs="Times New Roman"/>
                <w:kern w:val="2"/>
                <w:sz w:val="21"/>
                <w:szCs w:val="21"/>
                <w:lang w:val="en-US" w:eastAsia="zh-CN" w:bidi="ar-SA"/>
              </w:rPr>
              <w:t>YS5111022210018</w:t>
            </w:r>
          </w:p>
        </w:tc>
        <w:tc>
          <w:tcPr>
            <w:tcW w:w="708" w:type="dxa"/>
            <w:vMerge w:val="continue"/>
            <w:noWrap w:val="0"/>
            <w:vAlign w:val="center"/>
          </w:tcPr>
          <w:p>
            <w:pPr>
              <w:pStyle w:val="200"/>
              <w:widowControl/>
              <w:spacing w:line="240" w:lineRule="auto"/>
              <w:ind w:firstLine="0" w:firstLineChars="0"/>
              <w:jc w:val="left"/>
              <w:rPr>
                <w:rStyle w:val="44"/>
                <w:rFonts w:ascii="宋体" w:hAnsi="宋体" w:eastAsia="宋体" w:cs="Times New Roman"/>
                <w:kern w:val="2"/>
                <w:sz w:val="21"/>
                <w:szCs w:val="21"/>
                <w:lang w:val="en-US" w:eastAsia="zh-CN" w:bidi="ar-SA"/>
              </w:rPr>
            </w:pPr>
            <w:r>
              <w:rPr>
                <w:rStyle w:val="44"/>
                <w:rFonts w:hint="eastAsia" w:ascii="宋体" w:hAnsi="宋体" w:eastAsia="宋体" w:cs="Times New Roman"/>
                <w:kern w:val="2"/>
                <w:sz w:val="21"/>
                <w:szCs w:val="21"/>
                <w:lang w:val="en-US" w:eastAsia="zh-CN" w:bidi="ar-SA"/>
              </w:rPr>
              <w:t>大渡河市中区李码头控制单元</w:t>
            </w:r>
          </w:p>
        </w:tc>
        <w:tc>
          <w:tcPr>
            <w:tcW w:w="5324" w:type="dxa"/>
            <w:vMerge w:val="continue"/>
            <w:noWrap w:val="0"/>
            <w:vAlign w:val="center"/>
          </w:tcPr>
          <w:p>
            <w:pPr>
              <w:pStyle w:val="200"/>
              <w:widowControl w:val="0"/>
              <w:spacing w:line="360" w:lineRule="auto"/>
              <w:ind w:firstLine="0" w:firstLineChars="0"/>
              <w:jc w:val="both"/>
              <w:rPr>
                <w:rStyle w:val="44"/>
                <w:rFonts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空间布局约束：</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禁止开发建设活动的要求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限制开发建设活动的要求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不符合空间布局要求活动的退出要求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其他空间布局约束要求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污染物排放管控：</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允许排放量要求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现有源提标升级改造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其他污染物排放管控要求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环境风险防控：</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联防联控要求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其他环境风险防控要求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资源开发利用效率要求：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水资源利用总量要求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地下水开采要求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能源利用总量及效率要求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禁燃区要求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其他资源利用效率要求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tc>
        <w:tc>
          <w:tcPr>
            <w:tcW w:w="1232" w:type="dxa"/>
            <w:noWrap w:val="0"/>
            <w:vAlign w:val="center"/>
          </w:tcPr>
          <w:p>
            <w:pPr>
              <w:pStyle w:val="200"/>
              <w:widowControl/>
              <w:spacing w:line="240" w:lineRule="auto"/>
              <w:ind w:firstLine="0" w:firstLineChars="0"/>
              <w:jc w:val="center"/>
              <w:rPr>
                <w:rStyle w:val="44"/>
                <w:rFonts w:ascii="宋体" w:hAnsi="宋体" w:eastAsia="宋体" w:cs="Times New Roman"/>
                <w:kern w:val="2"/>
                <w:sz w:val="21"/>
                <w:szCs w:val="21"/>
                <w:lang w:val="en-US" w:eastAsia="zh-CN" w:bidi="ar-SA"/>
              </w:rPr>
            </w:pPr>
            <w:r>
              <w:rPr>
                <w:rStyle w:val="44"/>
                <w:rFonts w:hint="eastAsia" w:ascii="宋体" w:hAnsi="宋体" w:eastAsia="宋体" w:cs="Times New Roman"/>
                <w:kern w:val="2"/>
                <w:sz w:val="21"/>
                <w:szCs w:val="21"/>
                <w:lang w:val="en-US" w:eastAsia="zh-CN" w:bidi="ar-SA"/>
              </w:rPr>
              <w:t>污染物排放管控</w:t>
            </w:r>
          </w:p>
        </w:tc>
        <w:tc>
          <w:tcPr>
            <w:tcW w:w="3661" w:type="dxa"/>
            <w:noWrap w:val="0"/>
            <w:vAlign w:val="center"/>
          </w:tcPr>
          <w:p>
            <w:pPr>
              <w:pStyle w:val="200"/>
              <w:widowControl/>
              <w:shd w:val="clear" w:color="auto" w:fill="FFFFFF"/>
              <w:spacing w:line="240" w:lineRule="auto"/>
              <w:ind w:firstLine="0" w:firstLineChars="0"/>
              <w:jc w:val="left"/>
              <w:rPr>
                <w:rStyle w:val="44"/>
                <w:rFonts w:ascii="宋体" w:hAnsi="宋体" w:eastAsia="宋体" w:cs="Times New Roman"/>
                <w:kern w:val="2"/>
                <w:sz w:val="21"/>
                <w:szCs w:val="21"/>
                <w:lang w:val="en-US" w:eastAsia="zh-CN" w:bidi="ar-SA"/>
              </w:rPr>
            </w:pPr>
            <w:r>
              <w:rPr>
                <w:rStyle w:val="44"/>
                <w:rFonts w:hint="eastAsia" w:ascii="宋体" w:hAnsi="宋体" w:eastAsia="宋体" w:cs="Times New Roman"/>
                <w:kern w:val="2"/>
                <w:sz w:val="21"/>
                <w:szCs w:val="21"/>
                <w:lang w:val="en-US" w:eastAsia="zh-CN" w:bidi="ar-SA"/>
              </w:rPr>
              <w:t>城镇污水污染控制措施要求</w:t>
            </w:r>
          </w:p>
          <w:p>
            <w:pPr>
              <w:pStyle w:val="200"/>
              <w:widowControl/>
              <w:shd w:val="clear" w:color="auto" w:fill="FFFFFF"/>
              <w:spacing w:line="240" w:lineRule="auto"/>
              <w:ind w:firstLine="0" w:firstLineChars="0"/>
              <w:jc w:val="left"/>
              <w:rPr>
                <w:rStyle w:val="44"/>
                <w:rFonts w:hint="eastAsia" w:ascii="宋体" w:hAnsi="宋体" w:eastAsia="宋体" w:cs="Times New Roman"/>
                <w:kern w:val="2"/>
                <w:sz w:val="21"/>
                <w:szCs w:val="21"/>
                <w:lang w:val="en-US" w:eastAsia="zh-CN" w:bidi="ar-SA"/>
              </w:rPr>
            </w:pPr>
            <w:r>
              <w:rPr>
                <w:rStyle w:val="44"/>
                <w:rFonts w:hint="eastAsia" w:ascii="宋体" w:hAnsi="宋体" w:eastAsia="宋体" w:cs="Times New Roman"/>
                <w:kern w:val="2"/>
                <w:sz w:val="21"/>
                <w:szCs w:val="21"/>
                <w:lang w:val="en-US" w:eastAsia="zh-CN" w:bidi="ar-SA"/>
              </w:rPr>
              <w:t>工业废水污染控制措施要求</w:t>
            </w:r>
          </w:p>
          <w:p>
            <w:pPr>
              <w:pStyle w:val="200"/>
              <w:widowControl/>
              <w:shd w:val="clear" w:color="auto" w:fill="FFFFFF"/>
              <w:spacing w:line="240" w:lineRule="auto"/>
              <w:ind w:firstLine="0" w:firstLineChars="0"/>
              <w:jc w:val="left"/>
              <w:rPr>
                <w:rStyle w:val="44"/>
                <w:rFonts w:hint="eastAsia" w:ascii="宋体" w:hAnsi="宋体" w:eastAsia="宋体" w:cs="Times New Roman"/>
                <w:kern w:val="2"/>
                <w:sz w:val="21"/>
                <w:szCs w:val="21"/>
                <w:lang w:val="en-US" w:eastAsia="zh-CN" w:bidi="ar-SA"/>
              </w:rPr>
            </w:pPr>
            <w:r>
              <w:rPr>
                <w:rStyle w:val="44"/>
                <w:rFonts w:hint="eastAsia" w:ascii="宋体" w:hAnsi="宋体" w:eastAsia="宋体" w:cs="Times New Roman"/>
                <w:kern w:val="2"/>
                <w:sz w:val="21"/>
                <w:szCs w:val="21"/>
                <w:lang w:val="en-US" w:eastAsia="zh-CN" w:bidi="ar-SA"/>
              </w:rPr>
              <w:t>严格落实排污许可制度，持证排污，达标排放；强化工业企业储存危险化学品监管，完善储存防护设施；加快布局分散的企业向园区集中；推进工业园区“零直排区”建设，加强企业废水预处理和排水管理，严格执行污水处理厂接管标准。</w:t>
            </w:r>
          </w:p>
          <w:p>
            <w:pPr>
              <w:pStyle w:val="200"/>
              <w:widowControl/>
              <w:shd w:val="clear" w:color="auto" w:fill="FFFFFF"/>
              <w:spacing w:line="240" w:lineRule="auto"/>
              <w:ind w:firstLine="0" w:firstLineChars="0"/>
              <w:jc w:val="left"/>
              <w:rPr>
                <w:rStyle w:val="44"/>
                <w:rFonts w:hint="eastAsia" w:ascii="宋体" w:hAnsi="宋体" w:eastAsia="宋体" w:cs="Times New Roman"/>
                <w:kern w:val="2"/>
                <w:sz w:val="21"/>
                <w:szCs w:val="21"/>
                <w:lang w:val="en-US" w:eastAsia="zh-CN" w:bidi="ar-SA"/>
              </w:rPr>
            </w:pPr>
            <w:r>
              <w:rPr>
                <w:rStyle w:val="44"/>
                <w:rFonts w:hint="eastAsia" w:ascii="宋体" w:hAnsi="宋体" w:eastAsia="宋体" w:cs="Times New Roman"/>
                <w:kern w:val="2"/>
                <w:sz w:val="21"/>
                <w:szCs w:val="21"/>
                <w:lang w:val="en-US" w:eastAsia="zh-CN" w:bidi="ar-SA"/>
              </w:rPr>
              <w:t>农业面源水污染控制措施要求</w:t>
            </w:r>
          </w:p>
          <w:p>
            <w:pPr>
              <w:pStyle w:val="200"/>
              <w:widowControl/>
              <w:shd w:val="clear" w:color="auto" w:fill="FFFFFF"/>
              <w:spacing w:line="240" w:lineRule="auto"/>
              <w:ind w:firstLine="0" w:firstLineChars="0"/>
              <w:jc w:val="left"/>
              <w:rPr>
                <w:rStyle w:val="44"/>
                <w:rFonts w:hint="eastAsia" w:ascii="宋体" w:hAnsi="宋体" w:eastAsia="宋体" w:cs="Times New Roman"/>
                <w:kern w:val="2"/>
                <w:sz w:val="21"/>
                <w:szCs w:val="21"/>
                <w:lang w:val="en-US" w:eastAsia="zh-CN" w:bidi="ar-SA"/>
              </w:rPr>
            </w:pPr>
            <w:r>
              <w:rPr>
                <w:rStyle w:val="44"/>
                <w:rFonts w:hint="eastAsia" w:ascii="宋体" w:hAnsi="宋体" w:eastAsia="宋体" w:cs="Times New Roman"/>
                <w:kern w:val="2"/>
                <w:sz w:val="21"/>
                <w:szCs w:val="21"/>
                <w:lang w:val="en-US" w:eastAsia="zh-CN" w:bidi="ar-SA"/>
              </w:rPr>
              <w:t>船舶港口水污染控制措施要求</w:t>
            </w:r>
          </w:p>
          <w:p>
            <w:pPr>
              <w:pStyle w:val="200"/>
              <w:widowControl/>
              <w:shd w:val="clear" w:color="auto" w:fill="FFFFFF"/>
              <w:spacing w:line="240" w:lineRule="auto"/>
              <w:ind w:firstLine="0" w:firstLineChars="0"/>
              <w:jc w:val="left"/>
              <w:rPr>
                <w:rStyle w:val="44"/>
                <w:rFonts w:hint="eastAsia" w:ascii="宋体" w:hAnsi="宋体" w:eastAsia="宋体" w:cs="Times New Roman"/>
                <w:kern w:val="2"/>
                <w:sz w:val="21"/>
                <w:szCs w:val="21"/>
                <w:lang w:val="en-US" w:eastAsia="zh-CN" w:bidi="ar-SA"/>
              </w:rPr>
            </w:pPr>
            <w:r>
              <w:rPr>
                <w:rStyle w:val="44"/>
                <w:rFonts w:hint="eastAsia" w:ascii="宋体" w:hAnsi="宋体" w:eastAsia="宋体" w:cs="Times New Roman"/>
                <w:kern w:val="2"/>
                <w:sz w:val="21"/>
                <w:szCs w:val="21"/>
                <w:lang w:val="en-US" w:eastAsia="zh-CN" w:bidi="ar-SA"/>
              </w:rPr>
              <w:t>饮用水水源和其它特殊水体保护要求</w:t>
            </w:r>
          </w:p>
        </w:tc>
        <w:tc>
          <w:tcPr>
            <w:tcW w:w="1952" w:type="dxa"/>
            <w:noWrap w:val="0"/>
            <w:vAlign w:val="center"/>
          </w:tcPr>
          <w:p>
            <w:pPr>
              <w:pStyle w:val="200"/>
              <w:widowControl/>
              <w:shd w:val="clear" w:color="auto" w:fill="FFFFFF"/>
              <w:spacing w:line="240" w:lineRule="auto"/>
              <w:ind w:firstLine="0" w:firstLineChars="0"/>
              <w:jc w:val="center"/>
              <w:rPr>
                <w:rStyle w:val="44"/>
                <w:rFonts w:hint="eastAsia" w:ascii="宋体" w:hAnsi="宋体" w:eastAsia="宋体" w:cs="Times New Roman"/>
                <w:kern w:val="2"/>
                <w:sz w:val="21"/>
                <w:szCs w:val="21"/>
                <w:lang w:val="en-US" w:eastAsia="zh-CN" w:bidi="ar-SA"/>
              </w:rPr>
            </w:pPr>
            <w:r>
              <w:rPr>
                <w:rStyle w:val="44"/>
                <w:rFonts w:hint="eastAsia" w:ascii="宋体" w:hAnsi="宋体" w:eastAsia="宋体" w:cs="Times New Roman"/>
                <w:color w:val="auto"/>
                <w:kern w:val="2"/>
                <w:sz w:val="21"/>
                <w:szCs w:val="21"/>
                <w:lang w:val="en-US" w:eastAsia="zh-CN" w:bidi="ar-SA"/>
              </w:rPr>
              <w:t>本项目磨边、清洗、冷却水循环使用，不外排；水帘柜废水循环使用，一年更换一次，排入乐山市工业集中区污水处理厂；生活污水经预处理后排入乐山市工业集中区污水处理厂处理后达标排放。</w:t>
            </w:r>
          </w:p>
        </w:tc>
        <w:tc>
          <w:tcPr>
            <w:tcW w:w="793" w:type="dxa"/>
            <w:noWrap w:val="0"/>
            <w:vAlign w:val="center"/>
          </w:tcPr>
          <w:p>
            <w:pPr>
              <w:pStyle w:val="200"/>
              <w:widowControl/>
              <w:shd w:val="clear" w:color="auto" w:fill="FFFFFF"/>
              <w:spacing w:line="240" w:lineRule="auto"/>
              <w:ind w:firstLine="0" w:firstLineChars="0"/>
              <w:jc w:val="center"/>
              <w:rPr>
                <w:rStyle w:val="44"/>
                <w:rFonts w:hint="eastAsia" w:ascii="宋体" w:hAnsi="宋体" w:eastAsia="宋体" w:cs="Times New Roman"/>
                <w:kern w:val="2"/>
                <w:sz w:val="21"/>
                <w:szCs w:val="21"/>
                <w:lang w:val="en-US" w:eastAsia="zh-CN" w:bidi="ar-SA"/>
              </w:rPr>
            </w:pPr>
            <w:r>
              <w:rPr>
                <w:rStyle w:val="44"/>
                <w:rFonts w:hint="eastAsia" w:ascii="宋体" w:hAnsi="宋体" w:eastAsia="宋体" w:cs="Times New Roman"/>
                <w:kern w:val="2"/>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1" w:type="dxa"/>
            <w:vMerge w:val="continue"/>
            <w:noWrap w:val="0"/>
            <w:vAlign w:val="center"/>
          </w:tcPr>
          <w:p>
            <w:pPr>
              <w:pStyle w:val="200"/>
              <w:widowControl/>
              <w:spacing w:line="240" w:lineRule="auto"/>
              <w:ind w:firstLine="0" w:firstLineChars="0"/>
              <w:jc w:val="left"/>
              <w:rPr>
                <w:rStyle w:val="44"/>
                <w:rFonts w:ascii="宋体" w:hAnsi="宋体" w:eastAsia="宋体" w:cs="Times New Roman"/>
                <w:kern w:val="2"/>
                <w:sz w:val="21"/>
                <w:szCs w:val="21"/>
                <w:lang w:val="en-US" w:eastAsia="zh-CN" w:bidi="ar-SA"/>
              </w:rPr>
            </w:pPr>
            <w:r>
              <w:rPr>
                <w:rStyle w:val="44"/>
                <w:rFonts w:hint="eastAsia" w:ascii="宋体" w:hAnsi="宋体" w:eastAsia="宋体" w:cs="Times New Roman"/>
                <w:kern w:val="2"/>
                <w:sz w:val="21"/>
                <w:szCs w:val="21"/>
                <w:lang w:val="en-US" w:eastAsia="zh-CN" w:bidi="ar-SA"/>
              </w:rPr>
              <w:t>YS5111022210018</w:t>
            </w:r>
          </w:p>
        </w:tc>
        <w:tc>
          <w:tcPr>
            <w:tcW w:w="708" w:type="dxa"/>
            <w:vMerge w:val="continue"/>
            <w:noWrap w:val="0"/>
            <w:vAlign w:val="center"/>
          </w:tcPr>
          <w:p>
            <w:pPr>
              <w:pStyle w:val="200"/>
              <w:widowControl/>
              <w:spacing w:line="240" w:lineRule="auto"/>
              <w:ind w:firstLine="0" w:firstLineChars="0"/>
              <w:jc w:val="left"/>
              <w:rPr>
                <w:rStyle w:val="44"/>
                <w:rFonts w:ascii="宋体" w:hAnsi="宋体" w:eastAsia="宋体" w:cs="Times New Roman"/>
                <w:kern w:val="2"/>
                <w:sz w:val="21"/>
                <w:szCs w:val="21"/>
                <w:lang w:val="en-US" w:eastAsia="zh-CN" w:bidi="ar-SA"/>
              </w:rPr>
            </w:pPr>
            <w:r>
              <w:rPr>
                <w:rStyle w:val="44"/>
                <w:rFonts w:hint="eastAsia" w:ascii="宋体" w:hAnsi="宋体" w:eastAsia="宋体" w:cs="Times New Roman"/>
                <w:kern w:val="2"/>
                <w:sz w:val="21"/>
                <w:szCs w:val="21"/>
                <w:lang w:val="en-US" w:eastAsia="zh-CN" w:bidi="ar-SA"/>
              </w:rPr>
              <w:t>大渡河市中区李码头控制单元</w:t>
            </w:r>
          </w:p>
        </w:tc>
        <w:tc>
          <w:tcPr>
            <w:tcW w:w="5324" w:type="dxa"/>
            <w:vMerge w:val="continue"/>
            <w:noWrap w:val="0"/>
            <w:vAlign w:val="center"/>
          </w:tcPr>
          <w:p>
            <w:pPr>
              <w:pStyle w:val="200"/>
              <w:widowControl w:val="0"/>
              <w:spacing w:line="360" w:lineRule="auto"/>
              <w:ind w:firstLine="0" w:firstLineChars="0"/>
              <w:jc w:val="both"/>
              <w:rPr>
                <w:rStyle w:val="44"/>
                <w:rFonts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空间布局约束：</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禁止开发建设活动的要求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限制开发建设活动的要求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不符合空间布局要求活动的退出要求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其他空间布局约束要求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污染物排放管控：</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允许排放量要求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现有源提标升级改造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其他污染物排放管控要求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环境风险防控：</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联防联控要求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其他环境风险防控要求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资源开发利用效率要求：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水资源利用总量要求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地下水开采要求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能源利用总量及效率要求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禁燃区要求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其他资源利用效率要求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tc>
        <w:tc>
          <w:tcPr>
            <w:tcW w:w="1232" w:type="dxa"/>
            <w:noWrap w:val="0"/>
            <w:vAlign w:val="center"/>
          </w:tcPr>
          <w:p>
            <w:pPr>
              <w:pStyle w:val="200"/>
              <w:widowControl/>
              <w:spacing w:line="240" w:lineRule="auto"/>
              <w:ind w:firstLine="0" w:firstLineChars="0"/>
              <w:jc w:val="center"/>
              <w:rPr>
                <w:rStyle w:val="44"/>
                <w:rFonts w:ascii="宋体" w:hAnsi="宋体" w:eastAsia="宋体" w:cs="Times New Roman"/>
                <w:kern w:val="2"/>
                <w:sz w:val="21"/>
                <w:szCs w:val="21"/>
                <w:lang w:val="en-US" w:eastAsia="zh-CN" w:bidi="ar-SA"/>
              </w:rPr>
            </w:pPr>
            <w:r>
              <w:rPr>
                <w:rStyle w:val="44"/>
                <w:rFonts w:hint="eastAsia" w:ascii="宋体" w:hAnsi="宋体" w:eastAsia="宋体" w:cs="Times New Roman"/>
                <w:kern w:val="2"/>
                <w:sz w:val="21"/>
                <w:szCs w:val="21"/>
                <w:lang w:val="en-US" w:eastAsia="zh-CN" w:bidi="ar-SA"/>
              </w:rPr>
              <w:t>环境风险防控</w:t>
            </w:r>
          </w:p>
        </w:tc>
        <w:tc>
          <w:tcPr>
            <w:tcW w:w="3661" w:type="dxa"/>
            <w:vMerge w:val="restart"/>
            <w:noWrap w:val="0"/>
            <w:vAlign w:val="center"/>
          </w:tcPr>
          <w:p>
            <w:pPr>
              <w:pStyle w:val="200"/>
              <w:widowControl/>
              <w:shd w:val="clear" w:color="auto" w:fill="FFFFFF"/>
              <w:spacing w:line="240" w:lineRule="auto"/>
              <w:ind w:firstLine="0" w:firstLineChars="0"/>
              <w:jc w:val="left"/>
              <w:rPr>
                <w:rStyle w:val="44"/>
                <w:rFonts w:ascii="宋体" w:hAnsi="宋体" w:eastAsia="宋体" w:cs="Times New Roman"/>
                <w:kern w:val="2"/>
                <w:sz w:val="21"/>
                <w:szCs w:val="21"/>
                <w:lang w:val="en-US" w:eastAsia="zh-CN" w:bidi="ar-SA"/>
              </w:rPr>
            </w:pPr>
            <w:r>
              <w:rPr>
                <w:rStyle w:val="44"/>
                <w:rFonts w:hint="eastAsia" w:ascii="宋体" w:hAnsi="宋体" w:eastAsia="宋体" w:cs="Times New Roman"/>
                <w:kern w:val="2"/>
                <w:sz w:val="21"/>
                <w:szCs w:val="21"/>
                <w:lang w:val="en-US" w:eastAsia="zh-CN" w:bidi="ar-SA"/>
              </w:rPr>
              <w:t>/</w:t>
            </w:r>
          </w:p>
        </w:tc>
        <w:tc>
          <w:tcPr>
            <w:tcW w:w="1952" w:type="dxa"/>
            <w:noWrap w:val="0"/>
            <w:vAlign w:val="center"/>
          </w:tcPr>
          <w:p>
            <w:pPr>
              <w:pStyle w:val="200"/>
              <w:widowControl/>
              <w:shd w:val="clear" w:color="auto" w:fill="FFFFFF"/>
              <w:spacing w:line="240" w:lineRule="auto"/>
              <w:ind w:firstLine="0" w:firstLineChars="0"/>
              <w:jc w:val="center"/>
              <w:rPr>
                <w:rStyle w:val="44"/>
                <w:rFonts w:hint="default" w:ascii="宋体" w:hAnsi="宋体" w:eastAsia="宋体" w:cs="Times New Roman"/>
                <w:kern w:val="2"/>
                <w:sz w:val="21"/>
                <w:szCs w:val="21"/>
                <w:lang w:val="en-US" w:eastAsia="zh-CN" w:bidi="ar-SA"/>
              </w:rPr>
            </w:pPr>
            <w:r>
              <w:rPr>
                <w:rStyle w:val="44"/>
                <w:rFonts w:hint="eastAsia" w:ascii="宋体" w:hAnsi="宋体" w:eastAsia="宋体" w:cs="Times New Roman"/>
                <w:kern w:val="2"/>
                <w:sz w:val="21"/>
                <w:szCs w:val="21"/>
                <w:lang w:val="en-US" w:eastAsia="zh-CN" w:bidi="ar-SA"/>
              </w:rPr>
              <w:t>/</w:t>
            </w:r>
          </w:p>
        </w:tc>
        <w:tc>
          <w:tcPr>
            <w:tcW w:w="793" w:type="dxa"/>
            <w:noWrap w:val="0"/>
            <w:vAlign w:val="center"/>
          </w:tcPr>
          <w:p>
            <w:pPr>
              <w:pStyle w:val="200"/>
              <w:widowControl/>
              <w:shd w:val="clear" w:color="auto" w:fill="FFFFFF"/>
              <w:spacing w:line="240" w:lineRule="auto"/>
              <w:ind w:firstLine="0" w:firstLineChars="0"/>
              <w:jc w:val="center"/>
              <w:rPr>
                <w:rStyle w:val="44"/>
                <w:rFonts w:hint="default" w:ascii="宋体" w:hAnsi="宋体" w:eastAsia="宋体" w:cs="Times New Roman"/>
                <w:kern w:val="2"/>
                <w:sz w:val="21"/>
                <w:szCs w:val="21"/>
                <w:lang w:val="en-US" w:eastAsia="zh-CN" w:bidi="ar-SA"/>
              </w:rPr>
            </w:pPr>
            <w:r>
              <w:rPr>
                <w:rStyle w:val="44"/>
                <w:rFonts w:hint="eastAsia" w:ascii="宋体" w:hAnsi="宋体" w:eastAsia="宋体" w:cs="Times New Roman"/>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1" w:type="dxa"/>
            <w:vMerge w:val="continue"/>
            <w:noWrap w:val="0"/>
            <w:vAlign w:val="center"/>
          </w:tcPr>
          <w:p>
            <w:pPr>
              <w:pStyle w:val="200"/>
              <w:widowControl/>
              <w:spacing w:line="240" w:lineRule="auto"/>
              <w:ind w:firstLine="0" w:firstLineChars="0"/>
              <w:jc w:val="left"/>
              <w:rPr>
                <w:rStyle w:val="44"/>
                <w:rFonts w:ascii="宋体" w:hAnsi="宋体" w:eastAsia="宋体" w:cs="Times New Roman"/>
                <w:kern w:val="2"/>
                <w:sz w:val="21"/>
                <w:szCs w:val="21"/>
                <w:lang w:val="en-US" w:eastAsia="zh-CN" w:bidi="ar-SA"/>
              </w:rPr>
            </w:pPr>
            <w:r>
              <w:rPr>
                <w:rStyle w:val="44"/>
                <w:rFonts w:hint="eastAsia" w:ascii="宋体" w:hAnsi="宋体" w:eastAsia="宋体" w:cs="Times New Roman"/>
                <w:kern w:val="2"/>
                <w:sz w:val="21"/>
                <w:szCs w:val="21"/>
                <w:lang w:val="en-US" w:eastAsia="zh-CN" w:bidi="ar-SA"/>
              </w:rPr>
              <w:t>YS5111022210018</w:t>
            </w:r>
          </w:p>
        </w:tc>
        <w:tc>
          <w:tcPr>
            <w:tcW w:w="708" w:type="dxa"/>
            <w:vMerge w:val="continue"/>
            <w:noWrap w:val="0"/>
            <w:vAlign w:val="center"/>
          </w:tcPr>
          <w:p>
            <w:pPr>
              <w:pStyle w:val="200"/>
              <w:widowControl/>
              <w:spacing w:line="240" w:lineRule="auto"/>
              <w:ind w:firstLine="0" w:firstLineChars="0"/>
              <w:jc w:val="left"/>
              <w:rPr>
                <w:rStyle w:val="44"/>
                <w:rFonts w:ascii="宋体" w:hAnsi="宋体" w:eastAsia="宋体" w:cs="Times New Roman"/>
                <w:kern w:val="2"/>
                <w:sz w:val="21"/>
                <w:szCs w:val="21"/>
                <w:lang w:val="en-US" w:eastAsia="zh-CN" w:bidi="ar-SA"/>
              </w:rPr>
            </w:pPr>
            <w:r>
              <w:rPr>
                <w:rStyle w:val="44"/>
                <w:rFonts w:hint="eastAsia" w:ascii="宋体" w:hAnsi="宋体" w:eastAsia="宋体" w:cs="Times New Roman"/>
                <w:kern w:val="2"/>
                <w:sz w:val="21"/>
                <w:szCs w:val="21"/>
                <w:lang w:val="en-US" w:eastAsia="zh-CN" w:bidi="ar-SA"/>
              </w:rPr>
              <w:t>大渡河市中区李码头控制单元</w:t>
            </w:r>
          </w:p>
        </w:tc>
        <w:tc>
          <w:tcPr>
            <w:tcW w:w="5324" w:type="dxa"/>
            <w:vMerge w:val="continue"/>
            <w:noWrap w:val="0"/>
            <w:vAlign w:val="center"/>
          </w:tcPr>
          <w:p>
            <w:pPr>
              <w:pStyle w:val="200"/>
              <w:widowControl w:val="0"/>
              <w:spacing w:line="360" w:lineRule="auto"/>
              <w:ind w:firstLine="0" w:firstLineChars="0"/>
              <w:jc w:val="both"/>
              <w:rPr>
                <w:rStyle w:val="44"/>
                <w:rFonts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空间布局约束：</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禁止开发建设活动的要求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限制开发建设活动的要求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不符合空间布局要求活动的退出要求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其他空间布局约束要求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污染物排放管控：</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允许排放量要求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现有源提标升级改造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其他污染物排放管控要求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环境风险防控：</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联防联控要求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其他环境风险防控要求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资源开发利用效率要求：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水资源利用总量要求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地下水开采要求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能源利用总量及效率要求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禁燃区要求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其他资源利用效率要求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tc>
        <w:tc>
          <w:tcPr>
            <w:tcW w:w="1232" w:type="dxa"/>
            <w:noWrap w:val="0"/>
            <w:vAlign w:val="center"/>
          </w:tcPr>
          <w:p>
            <w:pPr>
              <w:pStyle w:val="200"/>
              <w:widowControl/>
              <w:spacing w:line="240" w:lineRule="auto"/>
              <w:ind w:firstLine="0" w:firstLineChars="0"/>
              <w:jc w:val="center"/>
              <w:rPr>
                <w:rStyle w:val="44"/>
                <w:rFonts w:ascii="宋体" w:hAnsi="宋体" w:eastAsia="宋体" w:cs="Times New Roman"/>
                <w:kern w:val="2"/>
                <w:sz w:val="21"/>
                <w:szCs w:val="21"/>
                <w:lang w:val="en-US" w:eastAsia="zh-CN" w:bidi="ar-SA"/>
              </w:rPr>
            </w:pPr>
            <w:r>
              <w:rPr>
                <w:rStyle w:val="44"/>
                <w:rFonts w:hint="eastAsia" w:ascii="宋体" w:hAnsi="宋体" w:eastAsia="宋体" w:cs="Times New Roman"/>
                <w:kern w:val="2"/>
                <w:sz w:val="21"/>
                <w:szCs w:val="21"/>
                <w:lang w:val="en-US" w:eastAsia="zh-CN" w:bidi="ar-SA"/>
              </w:rPr>
              <w:t>资源开发效率要求</w:t>
            </w:r>
          </w:p>
        </w:tc>
        <w:tc>
          <w:tcPr>
            <w:tcW w:w="3661" w:type="dxa"/>
            <w:vMerge w:val="continue"/>
            <w:noWrap w:val="0"/>
            <w:vAlign w:val="center"/>
          </w:tcPr>
          <w:p>
            <w:pPr>
              <w:pStyle w:val="200"/>
              <w:widowControl/>
              <w:shd w:val="clear" w:color="auto" w:fill="FFFFFF"/>
              <w:spacing w:line="240" w:lineRule="auto"/>
              <w:ind w:firstLine="0" w:firstLineChars="0"/>
              <w:jc w:val="left"/>
              <w:rPr>
                <w:rStyle w:val="44"/>
                <w:rFonts w:ascii="宋体" w:hAnsi="宋体" w:eastAsia="宋体" w:cs="Times New Roman"/>
                <w:kern w:val="2"/>
                <w:sz w:val="21"/>
                <w:szCs w:val="21"/>
                <w:lang w:val="en-US" w:eastAsia="zh-CN" w:bidi="ar-SA"/>
              </w:rPr>
            </w:pPr>
            <w:r>
              <w:rPr>
                <w:rStyle w:val="44"/>
                <w:rFonts w:hint="eastAsia" w:ascii="宋体" w:hAnsi="宋体" w:eastAsia="宋体" w:cs="Times New Roman"/>
                <w:kern w:val="2"/>
                <w:sz w:val="21"/>
                <w:szCs w:val="21"/>
                <w:lang w:val="en-US" w:eastAsia="zh-CN" w:bidi="ar-SA"/>
              </w:rPr>
              <w:t>/</w:t>
            </w:r>
          </w:p>
        </w:tc>
        <w:tc>
          <w:tcPr>
            <w:tcW w:w="1952" w:type="dxa"/>
            <w:noWrap w:val="0"/>
            <w:vAlign w:val="center"/>
          </w:tcPr>
          <w:p>
            <w:pPr>
              <w:pStyle w:val="200"/>
              <w:widowControl/>
              <w:shd w:val="clear" w:color="auto" w:fill="FFFFFF"/>
              <w:spacing w:line="240" w:lineRule="auto"/>
              <w:ind w:firstLine="0" w:firstLineChars="0"/>
              <w:jc w:val="center"/>
              <w:rPr>
                <w:rStyle w:val="44"/>
                <w:rFonts w:hint="default" w:ascii="宋体" w:hAnsi="宋体" w:eastAsia="宋体" w:cs="Times New Roman"/>
                <w:kern w:val="2"/>
                <w:sz w:val="21"/>
                <w:szCs w:val="21"/>
                <w:lang w:val="en-US" w:eastAsia="zh-CN" w:bidi="ar-SA"/>
              </w:rPr>
            </w:pPr>
            <w:r>
              <w:rPr>
                <w:rStyle w:val="44"/>
                <w:rFonts w:hint="eastAsia" w:ascii="宋体" w:hAnsi="宋体" w:eastAsia="宋体" w:cs="Times New Roman"/>
                <w:kern w:val="2"/>
                <w:sz w:val="21"/>
                <w:szCs w:val="21"/>
                <w:lang w:val="en-US" w:eastAsia="zh-CN" w:bidi="ar-SA"/>
              </w:rPr>
              <w:t>/</w:t>
            </w:r>
          </w:p>
        </w:tc>
        <w:tc>
          <w:tcPr>
            <w:tcW w:w="793" w:type="dxa"/>
            <w:noWrap w:val="0"/>
            <w:vAlign w:val="center"/>
          </w:tcPr>
          <w:p>
            <w:pPr>
              <w:pStyle w:val="200"/>
              <w:widowControl/>
              <w:shd w:val="clear" w:color="auto" w:fill="FFFFFF"/>
              <w:spacing w:line="240" w:lineRule="auto"/>
              <w:ind w:firstLine="0" w:firstLineChars="0"/>
              <w:jc w:val="center"/>
              <w:rPr>
                <w:rStyle w:val="44"/>
                <w:rFonts w:hint="default" w:ascii="宋体" w:hAnsi="宋体" w:eastAsia="宋体" w:cs="Times New Roman"/>
                <w:kern w:val="2"/>
                <w:sz w:val="21"/>
                <w:szCs w:val="21"/>
                <w:lang w:val="en-US" w:eastAsia="zh-CN" w:bidi="ar-SA"/>
              </w:rPr>
            </w:pPr>
            <w:r>
              <w:rPr>
                <w:rStyle w:val="44"/>
                <w:rFonts w:hint="eastAsia" w:ascii="宋体" w:hAnsi="宋体" w:eastAsia="宋体" w:cs="Times New Roman"/>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1" w:type="dxa"/>
            <w:vMerge w:val="restart"/>
            <w:noWrap w:val="0"/>
            <w:vAlign w:val="center"/>
          </w:tcPr>
          <w:p>
            <w:pPr>
              <w:pStyle w:val="200"/>
              <w:widowControl/>
              <w:spacing w:line="240" w:lineRule="auto"/>
              <w:ind w:firstLine="0" w:firstLineChars="0"/>
              <w:jc w:val="left"/>
              <w:rPr>
                <w:rStyle w:val="44"/>
                <w:rFonts w:ascii="宋体" w:hAnsi="宋体" w:eastAsia="宋体" w:cs="Times New Roman"/>
                <w:kern w:val="2"/>
                <w:sz w:val="21"/>
                <w:szCs w:val="21"/>
                <w:lang w:val="en-US" w:eastAsia="zh-CN" w:bidi="ar-SA"/>
              </w:rPr>
            </w:pPr>
            <w:r>
              <w:rPr>
                <w:rStyle w:val="44"/>
                <w:rFonts w:hint="eastAsia" w:ascii="宋体" w:hAnsi="宋体" w:eastAsia="宋体" w:cs="Times New Roman"/>
                <w:kern w:val="2"/>
                <w:sz w:val="21"/>
                <w:szCs w:val="21"/>
                <w:lang w:val="en-US" w:eastAsia="zh-CN" w:bidi="ar-SA"/>
              </w:rPr>
              <w:t>YS5111022310002</w:t>
            </w:r>
          </w:p>
        </w:tc>
        <w:tc>
          <w:tcPr>
            <w:tcW w:w="708" w:type="dxa"/>
            <w:vMerge w:val="restart"/>
            <w:noWrap w:val="0"/>
            <w:vAlign w:val="center"/>
          </w:tcPr>
          <w:p>
            <w:pPr>
              <w:pStyle w:val="200"/>
              <w:widowControl/>
              <w:spacing w:line="240" w:lineRule="auto"/>
              <w:ind w:firstLine="0" w:firstLineChars="0"/>
              <w:jc w:val="left"/>
              <w:rPr>
                <w:rStyle w:val="44"/>
                <w:rFonts w:ascii="宋体" w:hAnsi="宋体" w:eastAsia="宋体" w:cs="Times New Roman"/>
                <w:kern w:val="2"/>
                <w:sz w:val="21"/>
                <w:szCs w:val="21"/>
                <w:lang w:val="en-US" w:eastAsia="zh-CN" w:bidi="ar-SA"/>
              </w:rPr>
            </w:pPr>
            <w:r>
              <w:rPr>
                <w:rStyle w:val="44"/>
                <w:rFonts w:hint="eastAsia" w:ascii="宋体" w:hAnsi="宋体" w:eastAsia="宋体" w:cs="Times New Roman"/>
                <w:kern w:val="2"/>
                <w:sz w:val="21"/>
                <w:szCs w:val="21"/>
                <w:lang w:val="en-US" w:eastAsia="zh-CN" w:bidi="ar-SA"/>
              </w:rPr>
              <w:t>乐山高新技术产业开发区嘉州工业园</w:t>
            </w:r>
          </w:p>
        </w:tc>
        <w:tc>
          <w:tcPr>
            <w:tcW w:w="5324" w:type="dxa"/>
            <w:vMerge w:val="continue"/>
            <w:noWrap w:val="0"/>
            <w:vAlign w:val="center"/>
          </w:tcPr>
          <w:p>
            <w:pPr>
              <w:pStyle w:val="200"/>
              <w:widowControl w:val="0"/>
              <w:spacing w:line="360" w:lineRule="auto"/>
              <w:ind w:firstLine="0" w:firstLineChars="0"/>
              <w:jc w:val="both"/>
              <w:rPr>
                <w:rStyle w:val="44"/>
                <w:rFonts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空间布局约束：</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禁止开发建设活动的要求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限制开发建设活动的要求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不符合空间布局要求活动的退出要求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其他空间布局约束要求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污染物排放管控：</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允许排放量要求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现有源提标升级改造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其他污染物排放管控要求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环境风险防控：</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联防联控要求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其他环境风险防控要求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资源开发利用效率要求：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水资源利用总量要求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地下水开采要求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能源利用总量及效率要求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禁燃区要求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其他资源利用效率要求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tc>
        <w:tc>
          <w:tcPr>
            <w:tcW w:w="1232" w:type="dxa"/>
            <w:noWrap w:val="0"/>
            <w:vAlign w:val="center"/>
          </w:tcPr>
          <w:p>
            <w:pPr>
              <w:pStyle w:val="200"/>
              <w:widowControl/>
              <w:spacing w:line="240" w:lineRule="auto"/>
              <w:ind w:firstLine="0" w:firstLineChars="0"/>
              <w:jc w:val="center"/>
              <w:rPr>
                <w:rStyle w:val="44"/>
                <w:rFonts w:ascii="宋体" w:hAnsi="宋体" w:eastAsia="宋体" w:cs="Times New Roman"/>
                <w:kern w:val="2"/>
                <w:sz w:val="21"/>
                <w:szCs w:val="21"/>
                <w:lang w:val="en-US" w:eastAsia="zh-CN" w:bidi="ar-SA"/>
              </w:rPr>
            </w:pPr>
            <w:r>
              <w:rPr>
                <w:rStyle w:val="44"/>
                <w:rFonts w:hint="eastAsia" w:ascii="宋体" w:hAnsi="宋体" w:eastAsia="宋体" w:cs="Times New Roman"/>
                <w:kern w:val="2"/>
                <w:sz w:val="21"/>
                <w:szCs w:val="21"/>
                <w:lang w:val="en-US" w:eastAsia="zh-CN" w:bidi="ar-SA"/>
              </w:rPr>
              <w:t>空间布局约束</w:t>
            </w:r>
          </w:p>
        </w:tc>
        <w:tc>
          <w:tcPr>
            <w:tcW w:w="3661" w:type="dxa"/>
            <w:noWrap w:val="0"/>
            <w:vAlign w:val="center"/>
          </w:tcPr>
          <w:p>
            <w:pPr>
              <w:pStyle w:val="200"/>
              <w:widowControl/>
              <w:shd w:val="clear" w:color="auto" w:fill="FFFFFF"/>
              <w:spacing w:line="240" w:lineRule="auto"/>
              <w:ind w:firstLine="0" w:firstLineChars="0"/>
              <w:jc w:val="left"/>
              <w:rPr>
                <w:rStyle w:val="44"/>
                <w:rFonts w:ascii="宋体" w:hAnsi="宋体" w:eastAsia="宋体" w:cs="Times New Roman"/>
                <w:kern w:val="2"/>
                <w:sz w:val="21"/>
                <w:szCs w:val="21"/>
                <w:lang w:val="en-US" w:eastAsia="zh-CN" w:bidi="ar-SA"/>
              </w:rPr>
            </w:pPr>
            <w:r>
              <w:rPr>
                <w:rStyle w:val="44"/>
                <w:rFonts w:hint="eastAsia" w:ascii="宋体" w:hAnsi="宋体" w:eastAsia="宋体" w:cs="Times New Roman"/>
                <w:kern w:val="2"/>
                <w:sz w:val="21"/>
                <w:szCs w:val="21"/>
                <w:lang w:val="en-US" w:eastAsia="zh-CN" w:bidi="ar-SA"/>
              </w:rPr>
              <w:t>禁止开发建设活动的要求</w:t>
            </w:r>
          </w:p>
          <w:p>
            <w:pPr>
              <w:pStyle w:val="200"/>
              <w:widowControl/>
              <w:shd w:val="clear" w:color="auto" w:fill="FFFFFF"/>
              <w:spacing w:line="240" w:lineRule="auto"/>
              <w:ind w:firstLine="0" w:firstLineChars="0"/>
              <w:jc w:val="left"/>
              <w:rPr>
                <w:rStyle w:val="44"/>
                <w:rFonts w:hint="eastAsia" w:ascii="宋体" w:hAnsi="宋体" w:eastAsia="宋体" w:cs="Times New Roman"/>
                <w:kern w:val="2"/>
                <w:sz w:val="21"/>
                <w:szCs w:val="21"/>
                <w:lang w:val="en-US" w:eastAsia="zh-CN" w:bidi="ar-SA"/>
              </w:rPr>
            </w:pPr>
            <w:r>
              <w:rPr>
                <w:rStyle w:val="44"/>
                <w:rFonts w:hint="eastAsia" w:ascii="宋体" w:hAnsi="宋体" w:eastAsia="宋体" w:cs="Times New Roman"/>
                <w:kern w:val="2"/>
                <w:sz w:val="21"/>
                <w:szCs w:val="21"/>
                <w:lang w:val="en-US" w:eastAsia="zh-CN" w:bidi="ar-SA"/>
              </w:rPr>
              <w:t>限制开发建设活动的要求</w:t>
            </w:r>
          </w:p>
          <w:p>
            <w:pPr>
              <w:pStyle w:val="200"/>
              <w:widowControl/>
              <w:shd w:val="clear" w:color="auto" w:fill="FFFFFF"/>
              <w:spacing w:line="240" w:lineRule="auto"/>
              <w:ind w:firstLine="0" w:firstLineChars="0"/>
              <w:jc w:val="left"/>
              <w:rPr>
                <w:rStyle w:val="44"/>
                <w:rFonts w:hint="eastAsia" w:ascii="宋体" w:hAnsi="宋体" w:eastAsia="宋体" w:cs="Times New Roman"/>
                <w:kern w:val="2"/>
                <w:sz w:val="21"/>
                <w:szCs w:val="21"/>
                <w:lang w:val="en-US" w:eastAsia="zh-CN" w:bidi="ar-SA"/>
              </w:rPr>
            </w:pPr>
            <w:r>
              <w:rPr>
                <w:rStyle w:val="44"/>
                <w:rFonts w:hint="eastAsia" w:ascii="宋体" w:hAnsi="宋体" w:eastAsia="宋体" w:cs="Times New Roman"/>
                <w:kern w:val="2"/>
                <w:sz w:val="21"/>
                <w:szCs w:val="21"/>
                <w:lang w:val="en-US" w:eastAsia="zh-CN" w:bidi="ar-SA"/>
              </w:rPr>
              <w:t>允许开发建设活动的要求</w:t>
            </w:r>
          </w:p>
          <w:p>
            <w:pPr>
              <w:pStyle w:val="200"/>
              <w:widowControl/>
              <w:shd w:val="clear" w:color="auto" w:fill="FFFFFF"/>
              <w:spacing w:line="240" w:lineRule="auto"/>
              <w:ind w:firstLine="0" w:firstLineChars="0"/>
              <w:jc w:val="left"/>
              <w:rPr>
                <w:rStyle w:val="44"/>
                <w:rFonts w:hint="eastAsia" w:ascii="宋体" w:hAnsi="宋体" w:eastAsia="宋体" w:cs="Times New Roman"/>
                <w:kern w:val="2"/>
                <w:sz w:val="21"/>
                <w:szCs w:val="21"/>
                <w:lang w:val="en-US" w:eastAsia="zh-CN" w:bidi="ar-SA"/>
              </w:rPr>
            </w:pPr>
            <w:r>
              <w:rPr>
                <w:rStyle w:val="44"/>
                <w:rFonts w:hint="eastAsia" w:ascii="宋体" w:hAnsi="宋体" w:eastAsia="宋体" w:cs="Times New Roman"/>
                <w:kern w:val="2"/>
                <w:sz w:val="21"/>
                <w:szCs w:val="21"/>
                <w:lang w:val="en-US" w:eastAsia="zh-CN" w:bidi="ar-SA"/>
              </w:rPr>
              <w:t>不符合空间布局要求活动的退出要求</w:t>
            </w:r>
          </w:p>
          <w:p>
            <w:pPr>
              <w:pStyle w:val="200"/>
              <w:widowControl/>
              <w:shd w:val="clear" w:color="auto" w:fill="FFFFFF"/>
              <w:spacing w:line="240" w:lineRule="auto"/>
              <w:ind w:firstLine="0" w:firstLineChars="0"/>
              <w:jc w:val="left"/>
              <w:rPr>
                <w:rStyle w:val="44"/>
                <w:rFonts w:hint="eastAsia" w:ascii="宋体" w:hAnsi="宋体" w:eastAsia="宋体" w:cs="Times New Roman"/>
                <w:kern w:val="2"/>
                <w:sz w:val="21"/>
                <w:szCs w:val="21"/>
                <w:lang w:val="en-US" w:eastAsia="zh-CN" w:bidi="ar-SA"/>
              </w:rPr>
            </w:pPr>
            <w:r>
              <w:rPr>
                <w:rStyle w:val="44"/>
                <w:rFonts w:hint="eastAsia" w:ascii="宋体" w:hAnsi="宋体" w:eastAsia="宋体" w:cs="Times New Roman"/>
                <w:kern w:val="2"/>
                <w:sz w:val="21"/>
                <w:szCs w:val="21"/>
                <w:lang w:val="en-US" w:eastAsia="zh-CN" w:bidi="ar-SA"/>
              </w:rPr>
              <w:t>其他空间布局约束要求</w:t>
            </w:r>
          </w:p>
        </w:tc>
        <w:tc>
          <w:tcPr>
            <w:tcW w:w="1952" w:type="dxa"/>
            <w:noWrap w:val="0"/>
            <w:vAlign w:val="center"/>
          </w:tcPr>
          <w:p>
            <w:pPr>
              <w:pStyle w:val="200"/>
              <w:widowControl/>
              <w:shd w:val="clear" w:color="auto" w:fill="FFFFFF"/>
              <w:spacing w:line="240" w:lineRule="auto"/>
              <w:ind w:firstLine="0" w:firstLineChars="0"/>
              <w:jc w:val="center"/>
              <w:rPr>
                <w:rStyle w:val="44"/>
                <w:rFonts w:hint="eastAsia" w:ascii="宋体" w:hAnsi="宋体" w:eastAsia="宋体" w:cs="Times New Roman"/>
                <w:kern w:val="2"/>
                <w:sz w:val="21"/>
                <w:szCs w:val="21"/>
                <w:lang w:val="en-US" w:eastAsia="zh-CN" w:bidi="ar-SA"/>
              </w:rPr>
            </w:pPr>
            <w:r>
              <w:rPr>
                <w:rStyle w:val="44"/>
                <w:rFonts w:hint="eastAsia" w:ascii="宋体" w:hAnsi="宋体" w:eastAsia="宋体" w:cs="Times New Roman"/>
                <w:color w:val="auto"/>
                <w:kern w:val="2"/>
                <w:sz w:val="21"/>
                <w:szCs w:val="21"/>
                <w:lang w:val="en-US" w:eastAsia="zh-CN" w:bidi="ar-SA"/>
              </w:rPr>
              <w:t>项目为产业政策允许类项目，位于嘉州工业园水口园区内，用地为工业用地，符合园区规划。</w:t>
            </w:r>
          </w:p>
        </w:tc>
        <w:tc>
          <w:tcPr>
            <w:tcW w:w="793" w:type="dxa"/>
            <w:noWrap w:val="0"/>
            <w:vAlign w:val="center"/>
          </w:tcPr>
          <w:p>
            <w:pPr>
              <w:pStyle w:val="200"/>
              <w:widowControl/>
              <w:shd w:val="clear" w:color="auto" w:fill="FFFFFF"/>
              <w:spacing w:line="240" w:lineRule="auto"/>
              <w:ind w:firstLine="0" w:firstLineChars="0"/>
              <w:jc w:val="center"/>
              <w:rPr>
                <w:rStyle w:val="44"/>
                <w:rFonts w:hint="eastAsia" w:ascii="宋体" w:hAnsi="宋体" w:eastAsia="宋体" w:cs="Times New Roman"/>
                <w:kern w:val="2"/>
                <w:sz w:val="21"/>
                <w:szCs w:val="21"/>
                <w:lang w:val="en-US" w:eastAsia="zh-CN" w:bidi="ar-SA"/>
              </w:rPr>
            </w:pPr>
            <w:r>
              <w:rPr>
                <w:rStyle w:val="44"/>
                <w:rFonts w:hint="eastAsia" w:ascii="宋体" w:hAnsi="宋体" w:eastAsia="宋体" w:cs="Times New Roman"/>
                <w:kern w:val="2"/>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1" w:type="dxa"/>
            <w:vMerge w:val="continue"/>
            <w:noWrap w:val="0"/>
            <w:vAlign w:val="center"/>
          </w:tcPr>
          <w:p>
            <w:pPr>
              <w:pStyle w:val="200"/>
              <w:widowControl/>
              <w:spacing w:line="240" w:lineRule="auto"/>
              <w:ind w:firstLine="0" w:firstLineChars="0"/>
              <w:jc w:val="left"/>
              <w:rPr>
                <w:rStyle w:val="44"/>
                <w:rFonts w:ascii="宋体" w:hAnsi="宋体" w:eastAsia="宋体" w:cs="Times New Roman"/>
                <w:kern w:val="2"/>
                <w:sz w:val="21"/>
                <w:szCs w:val="21"/>
                <w:lang w:val="en-US" w:eastAsia="zh-CN" w:bidi="ar-SA"/>
              </w:rPr>
            </w:pPr>
            <w:r>
              <w:rPr>
                <w:rStyle w:val="44"/>
                <w:rFonts w:hint="eastAsia" w:ascii="宋体" w:hAnsi="宋体" w:eastAsia="宋体" w:cs="Times New Roman"/>
                <w:kern w:val="2"/>
                <w:sz w:val="21"/>
                <w:szCs w:val="21"/>
                <w:lang w:val="en-US" w:eastAsia="zh-CN" w:bidi="ar-SA"/>
              </w:rPr>
              <w:t>YS5111022310002</w:t>
            </w:r>
          </w:p>
        </w:tc>
        <w:tc>
          <w:tcPr>
            <w:tcW w:w="708" w:type="dxa"/>
            <w:vMerge w:val="continue"/>
            <w:noWrap w:val="0"/>
            <w:vAlign w:val="center"/>
          </w:tcPr>
          <w:p>
            <w:pPr>
              <w:pStyle w:val="200"/>
              <w:widowControl/>
              <w:spacing w:line="240" w:lineRule="auto"/>
              <w:ind w:firstLine="0" w:firstLineChars="0"/>
              <w:jc w:val="left"/>
              <w:rPr>
                <w:rStyle w:val="44"/>
                <w:rFonts w:ascii="宋体" w:hAnsi="宋体" w:eastAsia="宋体" w:cs="Times New Roman"/>
                <w:kern w:val="2"/>
                <w:sz w:val="21"/>
                <w:szCs w:val="21"/>
                <w:lang w:val="en-US" w:eastAsia="zh-CN" w:bidi="ar-SA"/>
              </w:rPr>
            </w:pPr>
            <w:r>
              <w:rPr>
                <w:rStyle w:val="44"/>
                <w:rFonts w:hint="eastAsia" w:ascii="宋体" w:hAnsi="宋体" w:eastAsia="宋体" w:cs="Times New Roman"/>
                <w:kern w:val="2"/>
                <w:sz w:val="21"/>
                <w:szCs w:val="21"/>
                <w:lang w:val="en-US" w:eastAsia="zh-CN" w:bidi="ar-SA"/>
              </w:rPr>
              <w:t>乐山高新技术产业开发区嘉州工业园</w:t>
            </w:r>
          </w:p>
        </w:tc>
        <w:tc>
          <w:tcPr>
            <w:tcW w:w="5324" w:type="dxa"/>
            <w:vMerge w:val="continue"/>
            <w:noWrap w:val="0"/>
            <w:vAlign w:val="center"/>
          </w:tcPr>
          <w:p>
            <w:pPr>
              <w:pStyle w:val="200"/>
              <w:widowControl w:val="0"/>
              <w:spacing w:line="360" w:lineRule="auto"/>
              <w:ind w:firstLine="0" w:firstLineChars="0"/>
              <w:jc w:val="both"/>
              <w:rPr>
                <w:rStyle w:val="44"/>
                <w:rFonts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空间布局约束：</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禁止开发建设活动的要求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限制开发建设活动的要求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不符合空间布局要求活动的退出要求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其他空间布局约束要求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污染物排放管控：</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允许排放量要求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现有源提标升级改造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其他污染物排放管控要求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环境风险防控：</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联防联控要求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其他环境风险防控要求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资源开发利用效率要求：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水资源利用总量要求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地下水开采要求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能源利用总量及效率要求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禁燃区要求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其他资源利用效率要求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tc>
        <w:tc>
          <w:tcPr>
            <w:tcW w:w="1232" w:type="dxa"/>
            <w:noWrap w:val="0"/>
            <w:vAlign w:val="center"/>
          </w:tcPr>
          <w:p>
            <w:pPr>
              <w:pStyle w:val="200"/>
              <w:widowControl/>
              <w:spacing w:line="240" w:lineRule="auto"/>
              <w:ind w:firstLine="0" w:firstLineChars="0"/>
              <w:jc w:val="center"/>
              <w:rPr>
                <w:rStyle w:val="44"/>
                <w:rFonts w:ascii="宋体" w:hAnsi="宋体" w:eastAsia="宋体" w:cs="Times New Roman"/>
                <w:kern w:val="2"/>
                <w:sz w:val="21"/>
                <w:szCs w:val="21"/>
                <w:lang w:val="en-US" w:eastAsia="zh-CN" w:bidi="ar-SA"/>
              </w:rPr>
            </w:pPr>
            <w:r>
              <w:rPr>
                <w:rStyle w:val="44"/>
                <w:rFonts w:hint="eastAsia" w:ascii="宋体" w:hAnsi="宋体" w:eastAsia="宋体" w:cs="Times New Roman"/>
                <w:kern w:val="2"/>
                <w:sz w:val="21"/>
                <w:szCs w:val="21"/>
                <w:lang w:val="en-US" w:eastAsia="zh-CN" w:bidi="ar-SA"/>
              </w:rPr>
              <w:t>污染物排放管控</w:t>
            </w:r>
          </w:p>
        </w:tc>
        <w:tc>
          <w:tcPr>
            <w:tcW w:w="3661" w:type="dxa"/>
            <w:noWrap w:val="0"/>
            <w:vAlign w:val="center"/>
          </w:tcPr>
          <w:p>
            <w:pPr>
              <w:pStyle w:val="200"/>
              <w:widowControl/>
              <w:shd w:val="clear" w:color="auto" w:fill="FFFFFF"/>
              <w:spacing w:line="240" w:lineRule="auto"/>
              <w:ind w:firstLine="0" w:firstLineChars="0"/>
              <w:jc w:val="left"/>
              <w:rPr>
                <w:rStyle w:val="44"/>
                <w:rFonts w:ascii="宋体" w:hAnsi="宋体" w:eastAsia="宋体" w:cs="Times New Roman"/>
                <w:kern w:val="2"/>
                <w:sz w:val="21"/>
                <w:szCs w:val="21"/>
                <w:lang w:val="en-US" w:eastAsia="zh-CN" w:bidi="ar-SA"/>
              </w:rPr>
            </w:pPr>
            <w:r>
              <w:rPr>
                <w:rStyle w:val="44"/>
                <w:rFonts w:hint="eastAsia" w:ascii="宋体" w:hAnsi="宋体" w:eastAsia="宋体" w:cs="Times New Roman"/>
                <w:kern w:val="2"/>
                <w:sz w:val="21"/>
                <w:szCs w:val="21"/>
                <w:lang w:val="en-US" w:eastAsia="zh-CN" w:bidi="ar-SA"/>
              </w:rPr>
              <w:t>大气环境质量执行标准</w:t>
            </w:r>
          </w:p>
          <w:p>
            <w:pPr>
              <w:pStyle w:val="200"/>
              <w:widowControl/>
              <w:shd w:val="clear" w:color="auto" w:fill="FFFFFF"/>
              <w:spacing w:line="240" w:lineRule="auto"/>
              <w:ind w:firstLine="0" w:firstLineChars="0"/>
              <w:jc w:val="left"/>
              <w:rPr>
                <w:rStyle w:val="44"/>
                <w:rFonts w:hint="eastAsia" w:ascii="宋体" w:hAnsi="宋体" w:eastAsia="宋体" w:cs="Times New Roman"/>
                <w:kern w:val="2"/>
                <w:sz w:val="21"/>
                <w:szCs w:val="21"/>
                <w:lang w:val="en-US" w:eastAsia="zh-CN" w:bidi="ar-SA"/>
              </w:rPr>
            </w:pPr>
            <w:r>
              <w:rPr>
                <w:rStyle w:val="44"/>
                <w:rFonts w:hint="eastAsia" w:ascii="宋体" w:hAnsi="宋体" w:eastAsia="宋体" w:cs="Times New Roman"/>
                <w:kern w:val="2"/>
                <w:sz w:val="21"/>
                <w:szCs w:val="21"/>
                <w:lang w:val="en-US" w:eastAsia="zh-CN" w:bidi="ar-SA"/>
              </w:rPr>
              <w:t>《环境空气质量标准》（GB3095-2012）：二级</w:t>
            </w:r>
          </w:p>
          <w:p>
            <w:pPr>
              <w:pStyle w:val="200"/>
              <w:widowControl/>
              <w:shd w:val="clear" w:color="auto" w:fill="FFFFFF"/>
              <w:spacing w:line="240" w:lineRule="auto"/>
              <w:ind w:firstLine="0" w:firstLineChars="0"/>
              <w:jc w:val="left"/>
              <w:rPr>
                <w:rStyle w:val="44"/>
                <w:rFonts w:hint="eastAsia" w:ascii="宋体" w:hAnsi="宋体" w:eastAsia="宋体" w:cs="Times New Roman"/>
                <w:kern w:val="2"/>
                <w:sz w:val="21"/>
                <w:szCs w:val="21"/>
                <w:lang w:val="en-US" w:eastAsia="zh-CN" w:bidi="ar-SA"/>
              </w:rPr>
            </w:pPr>
            <w:r>
              <w:rPr>
                <w:rStyle w:val="44"/>
                <w:rFonts w:hint="eastAsia" w:ascii="宋体" w:hAnsi="宋体" w:eastAsia="宋体" w:cs="Times New Roman"/>
                <w:kern w:val="2"/>
                <w:sz w:val="21"/>
                <w:szCs w:val="21"/>
                <w:lang w:val="en-US" w:eastAsia="zh-CN" w:bidi="ar-SA"/>
              </w:rPr>
              <w:t>区域大气污染物削减/替代要求</w:t>
            </w:r>
          </w:p>
          <w:p>
            <w:pPr>
              <w:pStyle w:val="200"/>
              <w:widowControl/>
              <w:shd w:val="clear" w:color="auto" w:fill="FFFFFF"/>
              <w:spacing w:line="240" w:lineRule="auto"/>
              <w:ind w:firstLine="0" w:firstLineChars="0"/>
              <w:jc w:val="left"/>
              <w:rPr>
                <w:rStyle w:val="44"/>
                <w:rFonts w:hint="eastAsia" w:ascii="宋体" w:hAnsi="宋体" w:eastAsia="宋体" w:cs="Times New Roman"/>
                <w:kern w:val="2"/>
                <w:sz w:val="21"/>
                <w:szCs w:val="21"/>
                <w:lang w:val="en-US" w:eastAsia="zh-CN" w:bidi="ar-SA"/>
              </w:rPr>
            </w:pPr>
            <w:r>
              <w:rPr>
                <w:rStyle w:val="44"/>
                <w:rFonts w:hint="eastAsia" w:ascii="宋体" w:hAnsi="宋体" w:eastAsia="宋体" w:cs="Times New Roman"/>
                <w:kern w:val="2"/>
                <w:sz w:val="21"/>
                <w:szCs w:val="21"/>
                <w:lang w:val="en-US" w:eastAsia="zh-CN" w:bidi="ar-SA"/>
              </w:rPr>
              <w:t>新增大气污染物排放的建设项目实施总量削减替代。</w:t>
            </w:r>
          </w:p>
          <w:p>
            <w:pPr>
              <w:pStyle w:val="200"/>
              <w:widowControl/>
              <w:shd w:val="clear" w:color="auto" w:fill="FFFFFF"/>
              <w:spacing w:line="240" w:lineRule="auto"/>
              <w:ind w:firstLine="0" w:firstLineChars="0"/>
              <w:jc w:val="left"/>
              <w:rPr>
                <w:rStyle w:val="44"/>
                <w:rFonts w:hint="eastAsia" w:ascii="宋体" w:hAnsi="宋体" w:eastAsia="宋体" w:cs="Times New Roman"/>
                <w:kern w:val="2"/>
                <w:sz w:val="21"/>
                <w:szCs w:val="21"/>
                <w:lang w:val="en-US" w:eastAsia="zh-CN" w:bidi="ar-SA"/>
              </w:rPr>
            </w:pPr>
            <w:r>
              <w:rPr>
                <w:rStyle w:val="44"/>
                <w:rFonts w:hint="eastAsia" w:ascii="宋体" w:hAnsi="宋体" w:eastAsia="宋体" w:cs="Times New Roman"/>
                <w:kern w:val="2"/>
                <w:sz w:val="21"/>
                <w:szCs w:val="21"/>
                <w:lang w:val="en-US" w:eastAsia="zh-CN" w:bidi="ar-SA"/>
              </w:rPr>
              <w:t>燃煤和其他能源大气污染控制要求</w:t>
            </w:r>
          </w:p>
          <w:p>
            <w:pPr>
              <w:pStyle w:val="200"/>
              <w:widowControl/>
              <w:shd w:val="clear" w:color="auto" w:fill="FFFFFF"/>
              <w:spacing w:line="240" w:lineRule="auto"/>
              <w:ind w:firstLine="0" w:firstLineChars="0"/>
              <w:jc w:val="left"/>
              <w:rPr>
                <w:rStyle w:val="44"/>
                <w:rFonts w:hint="eastAsia" w:ascii="宋体" w:hAnsi="宋体" w:eastAsia="宋体" w:cs="Times New Roman"/>
                <w:kern w:val="2"/>
                <w:sz w:val="21"/>
                <w:szCs w:val="21"/>
                <w:lang w:val="en-US" w:eastAsia="zh-CN" w:bidi="ar-SA"/>
              </w:rPr>
            </w:pPr>
            <w:r>
              <w:rPr>
                <w:rStyle w:val="44"/>
                <w:rFonts w:hint="eastAsia" w:ascii="宋体" w:hAnsi="宋体" w:eastAsia="宋体" w:cs="Times New Roman"/>
                <w:kern w:val="2"/>
                <w:sz w:val="21"/>
                <w:szCs w:val="21"/>
                <w:lang w:val="en-US" w:eastAsia="zh-CN" w:bidi="ar-SA"/>
              </w:rPr>
              <w:t>工业废气污染控制要求</w:t>
            </w:r>
          </w:p>
          <w:p>
            <w:pPr>
              <w:pStyle w:val="200"/>
              <w:widowControl/>
              <w:shd w:val="clear" w:color="auto" w:fill="FFFFFF"/>
              <w:spacing w:line="240" w:lineRule="auto"/>
              <w:ind w:firstLine="0" w:firstLineChars="0"/>
              <w:jc w:val="left"/>
              <w:rPr>
                <w:rStyle w:val="44"/>
                <w:rFonts w:hint="eastAsia" w:ascii="宋体" w:hAnsi="宋体" w:eastAsia="宋体" w:cs="Times New Roman"/>
                <w:kern w:val="2"/>
                <w:sz w:val="21"/>
                <w:szCs w:val="21"/>
                <w:lang w:val="en-US" w:eastAsia="zh-CN" w:bidi="ar-SA"/>
              </w:rPr>
            </w:pPr>
            <w:r>
              <w:rPr>
                <w:rStyle w:val="44"/>
                <w:rFonts w:hint="eastAsia" w:ascii="宋体" w:hAnsi="宋体" w:eastAsia="宋体" w:cs="Times New Roman"/>
                <w:kern w:val="2"/>
                <w:sz w:val="21"/>
                <w:szCs w:val="21"/>
                <w:lang w:val="en-US" w:eastAsia="zh-CN" w:bidi="ar-SA"/>
              </w:rPr>
              <w:t>加强工业无组织排放管控。扎实开展钢铁、建材、化工、火电、焦化、铸造等重点行业和燃煤锅炉无组织排放整治，建立管理台账。对物料（含废渣）运输、装卸、储存、转移与输送以及生产工艺过程等无组织排放实施深度治理。加强园区污染治理。推进园区绿色循环低碳发展。推动园区实施循环化改造。大力推进企业清洁生产。</w:t>
            </w:r>
          </w:p>
          <w:p>
            <w:pPr>
              <w:pStyle w:val="200"/>
              <w:widowControl/>
              <w:shd w:val="clear" w:color="auto" w:fill="FFFFFF"/>
              <w:spacing w:line="240" w:lineRule="auto"/>
              <w:ind w:firstLine="0" w:firstLineChars="0"/>
              <w:jc w:val="left"/>
              <w:rPr>
                <w:rStyle w:val="44"/>
                <w:rFonts w:hint="eastAsia" w:ascii="宋体" w:hAnsi="宋体" w:eastAsia="宋体" w:cs="Times New Roman"/>
                <w:kern w:val="2"/>
                <w:sz w:val="21"/>
                <w:szCs w:val="21"/>
                <w:lang w:val="en-US" w:eastAsia="zh-CN" w:bidi="ar-SA"/>
              </w:rPr>
            </w:pPr>
            <w:r>
              <w:rPr>
                <w:rStyle w:val="44"/>
                <w:rFonts w:hint="eastAsia" w:ascii="宋体" w:hAnsi="宋体" w:eastAsia="宋体" w:cs="Times New Roman"/>
                <w:kern w:val="2"/>
                <w:sz w:val="21"/>
                <w:szCs w:val="21"/>
                <w:lang w:val="en-US" w:eastAsia="zh-CN" w:bidi="ar-SA"/>
              </w:rPr>
              <w:t>机动车船大气污染控制要求</w:t>
            </w:r>
          </w:p>
          <w:p>
            <w:pPr>
              <w:pStyle w:val="200"/>
              <w:widowControl/>
              <w:shd w:val="clear" w:color="auto" w:fill="FFFFFF"/>
              <w:spacing w:line="240" w:lineRule="auto"/>
              <w:ind w:firstLine="0" w:firstLineChars="0"/>
              <w:jc w:val="left"/>
              <w:rPr>
                <w:rStyle w:val="44"/>
                <w:rFonts w:hint="eastAsia" w:ascii="宋体" w:hAnsi="宋体" w:eastAsia="宋体" w:cs="Times New Roman"/>
                <w:kern w:val="2"/>
                <w:sz w:val="21"/>
                <w:szCs w:val="21"/>
                <w:lang w:val="en-US" w:eastAsia="zh-CN" w:bidi="ar-SA"/>
              </w:rPr>
            </w:pPr>
            <w:r>
              <w:rPr>
                <w:rStyle w:val="44"/>
                <w:rFonts w:hint="eastAsia" w:ascii="宋体" w:hAnsi="宋体" w:eastAsia="宋体" w:cs="Times New Roman"/>
                <w:kern w:val="2"/>
                <w:sz w:val="21"/>
                <w:szCs w:val="21"/>
                <w:lang w:val="en-US" w:eastAsia="zh-CN" w:bidi="ar-SA"/>
              </w:rPr>
              <w:t>扬尘污染控制要求</w:t>
            </w:r>
          </w:p>
          <w:p>
            <w:pPr>
              <w:pStyle w:val="200"/>
              <w:widowControl/>
              <w:shd w:val="clear" w:color="auto" w:fill="FFFFFF"/>
              <w:spacing w:line="240" w:lineRule="auto"/>
              <w:ind w:firstLine="0" w:firstLineChars="0"/>
              <w:jc w:val="left"/>
              <w:rPr>
                <w:rStyle w:val="44"/>
                <w:rFonts w:hint="eastAsia" w:ascii="宋体" w:hAnsi="宋体" w:eastAsia="宋体" w:cs="Times New Roman"/>
                <w:kern w:val="2"/>
                <w:sz w:val="21"/>
                <w:szCs w:val="21"/>
                <w:lang w:val="en-US" w:eastAsia="zh-CN" w:bidi="ar-SA"/>
              </w:rPr>
            </w:pPr>
            <w:r>
              <w:rPr>
                <w:rStyle w:val="44"/>
                <w:rFonts w:hint="eastAsia" w:ascii="宋体" w:hAnsi="宋体" w:eastAsia="宋体" w:cs="Times New Roman"/>
                <w:kern w:val="2"/>
                <w:sz w:val="21"/>
                <w:szCs w:val="21"/>
                <w:lang w:val="en-US" w:eastAsia="zh-CN" w:bidi="ar-SA"/>
              </w:rPr>
              <w:t>农业生产经营活动大气污染控制要求</w:t>
            </w:r>
          </w:p>
          <w:p>
            <w:pPr>
              <w:pStyle w:val="200"/>
              <w:widowControl/>
              <w:shd w:val="clear" w:color="auto" w:fill="FFFFFF"/>
              <w:spacing w:line="240" w:lineRule="auto"/>
              <w:ind w:firstLine="0" w:firstLineChars="0"/>
              <w:jc w:val="left"/>
              <w:rPr>
                <w:rStyle w:val="44"/>
                <w:rFonts w:hint="eastAsia" w:ascii="宋体" w:hAnsi="宋体" w:eastAsia="宋体" w:cs="Times New Roman"/>
                <w:kern w:val="2"/>
                <w:sz w:val="21"/>
                <w:szCs w:val="21"/>
                <w:lang w:val="en-US" w:eastAsia="zh-CN" w:bidi="ar-SA"/>
              </w:rPr>
            </w:pPr>
            <w:r>
              <w:rPr>
                <w:rStyle w:val="44"/>
                <w:rFonts w:hint="eastAsia" w:ascii="宋体" w:hAnsi="宋体" w:eastAsia="宋体" w:cs="Times New Roman"/>
                <w:kern w:val="2"/>
                <w:sz w:val="21"/>
                <w:szCs w:val="21"/>
                <w:lang w:val="en-US" w:eastAsia="zh-CN" w:bidi="ar-SA"/>
              </w:rPr>
              <w:t>重点行业企业专项治理要求</w:t>
            </w:r>
          </w:p>
          <w:p>
            <w:pPr>
              <w:pStyle w:val="200"/>
              <w:widowControl/>
              <w:shd w:val="clear" w:color="auto" w:fill="FFFFFF"/>
              <w:spacing w:line="240" w:lineRule="auto"/>
              <w:ind w:firstLine="0" w:firstLineChars="0"/>
              <w:jc w:val="left"/>
              <w:rPr>
                <w:rStyle w:val="44"/>
                <w:rFonts w:hint="eastAsia" w:ascii="宋体" w:hAnsi="宋体" w:eastAsia="宋体" w:cs="Times New Roman"/>
                <w:kern w:val="2"/>
                <w:sz w:val="21"/>
                <w:szCs w:val="21"/>
                <w:lang w:val="en-US" w:eastAsia="zh-CN" w:bidi="ar-SA"/>
              </w:rPr>
            </w:pPr>
            <w:r>
              <w:rPr>
                <w:rStyle w:val="44"/>
                <w:rFonts w:hint="eastAsia" w:ascii="宋体" w:hAnsi="宋体" w:eastAsia="宋体" w:cs="Times New Roman"/>
                <w:kern w:val="2"/>
                <w:sz w:val="21"/>
                <w:szCs w:val="21"/>
                <w:lang w:val="en-US" w:eastAsia="zh-CN" w:bidi="ar-SA"/>
              </w:rPr>
              <w:t>其他大气污染物排放管控要求</w:t>
            </w:r>
          </w:p>
        </w:tc>
        <w:tc>
          <w:tcPr>
            <w:tcW w:w="1952" w:type="dxa"/>
            <w:noWrap w:val="0"/>
            <w:vAlign w:val="center"/>
          </w:tcPr>
          <w:p>
            <w:pPr>
              <w:pStyle w:val="200"/>
              <w:widowControl/>
              <w:shd w:val="clear" w:color="auto" w:fill="FFFFFF"/>
              <w:spacing w:line="240" w:lineRule="auto"/>
              <w:ind w:firstLine="0" w:firstLineChars="0"/>
              <w:jc w:val="center"/>
              <w:rPr>
                <w:rStyle w:val="44"/>
                <w:rFonts w:hint="eastAsia" w:ascii="宋体" w:hAnsi="宋体" w:eastAsia="宋体" w:cs="Times New Roman"/>
                <w:kern w:val="2"/>
                <w:sz w:val="21"/>
                <w:szCs w:val="21"/>
                <w:lang w:val="en-US" w:eastAsia="zh-CN" w:bidi="ar-SA"/>
              </w:rPr>
            </w:pPr>
            <w:r>
              <w:rPr>
                <w:rStyle w:val="44"/>
                <w:rFonts w:hint="eastAsia" w:ascii="宋体" w:hAnsi="宋体" w:eastAsia="宋体" w:cs="Times New Roman"/>
                <w:color w:val="auto"/>
                <w:kern w:val="2"/>
                <w:sz w:val="21"/>
                <w:szCs w:val="21"/>
                <w:lang w:val="en-US" w:eastAsia="zh-CN" w:bidi="ar-SA"/>
              </w:rPr>
              <w:t>喷漆废气经“水帘柜+干式过滤+两级活性炭”处理后通过15m排气筒（DA001）排放。</w:t>
            </w:r>
          </w:p>
        </w:tc>
        <w:tc>
          <w:tcPr>
            <w:tcW w:w="793" w:type="dxa"/>
            <w:noWrap w:val="0"/>
            <w:vAlign w:val="center"/>
          </w:tcPr>
          <w:p>
            <w:pPr>
              <w:pStyle w:val="200"/>
              <w:widowControl/>
              <w:shd w:val="clear" w:color="auto" w:fill="FFFFFF"/>
              <w:spacing w:line="240" w:lineRule="auto"/>
              <w:ind w:firstLine="0" w:firstLineChars="0"/>
              <w:jc w:val="center"/>
              <w:rPr>
                <w:rStyle w:val="44"/>
                <w:rFonts w:hint="eastAsia" w:ascii="宋体" w:hAnsi="宋体" w:eastAsia="宋体" w:cs="Times New Roman"/>
                <w:kern w:val="2"/>
                <w:sz w:val="21"/>
                <w:szCs w:val="21"/>
                <w:lang w:val="en-US" w:eastAsia="zh-CN" w:bidi="ar-SA"/>
              </w:rPr>
            </w:pPr>
            <w:r>
              <w:rPr>
                <w:rStyle w:val="44"/>
                <w:rFonts w:hint="eastAsia" w:ascii="宋体" w:hAnsi="宋体" w:eastAsia="宋体" w:cs="Times New Roman"/>
                <w:kern w:val="2"/>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1" w:type="dxa"/>
            <w:vMerge w:val="continue"/>
            <w:noWrap w:val="0"/>
            <w:vAlign w:val="center"/>
          </w:tcPr>
          <w:p>
            <w:pPr>
              <w:pStyle w:val="200"/>
              <w:widowControl/>
              <w:spacing w:line="240" w:lineRule="auto"/>
              <w:ind w:firstLine="0" w:firstLineChars="0"/>
              <w:jc w:val="left"/>
              <w:rPr>
                <w:rStyle w:val="44"/>
                <w:rFonts w:ascii="宋体" w:hAnsi="宋体" w:eastAsia="宋体" w:cs="Times New Roman"/>
                <w:kern w:val="2"/>
                <w:sz w:val="21"/>
                <w:szCs w:val="21"/>
                <w:lang w:val="en-US" w:eastAsia="zh-CN" w:bidi="ar-SA"/>
              </w:rPr>
            </w:pPr>
            <w:r>
              <w:rPr>
                <w:rStyle w:val="44"/>
                <w:rFonts w:hint="eastAsia" w:ascii="宋体" w:hAnsi="宋体" w:eastAsia="宋体" w:cs="Times New Roman"/>
                <w:kern w:val="2"/>
                <w:sz w:val="21"/>
                <w:szCs w:val="21"/>
                <w:lang w:val="en-US" w:eastAsia="zh-CN" w:bidi="ar-SA"/>
              </w:rPr>
              <w:t>YS5111022310002</w:t>
            </w:r>
          </w:p>
        </w:tc>
        <w:tc>
          <w:tcPr>
            <w:tcW w:w="708" w:type="dxa"/>
            <w:vMerge w:val="continue"/>
            <w:noWrap w:val="0"/>
            <w:vAlign w:val="center"/>
          </w:tcPr>
          <w:p>
            <w:pPr>
              <w:pStyle w:val="200"/>
              <w:widowControl/>
              <w:spacing w:line="240" w:lineRule="auto"/>
              <w:ind w:firstLine="0" w:firstLineChars="0"/>
              <w:jc w:val="left"/>
              <w:rPr>
                <w:rStyle w:val="44"/>
                <w:rFonts w:ascii="宋体" w:hAnsi="宋体" w:eastAsia="宋体" w:cs="Times New Roman"/>
                <w:kern w:val="2"/>
                <w:sz w:val="21"/>
                <w:szCs w:val="21"/>
                <w:lang w:val="en-US" w:eastAsia="zh-CN" w:bidi="ar-SA"/>
              </w:rPr>
            </w:pPr>
            <w:r>
              <w:rPr>
                <w:rStyle w:val="44"/>
                <w:rFonts w:hint="eastAsia" w:ascii="宋体" w:hAnsi="宋体" w:eastAsia="宋体" w:cs="Times New Roman"/>
                <w:kern w:val="2"/>
                <w:sz w:val="21"/>
                <w:szCs w:val="21"/>
                <w:lang w:val="en-US" w:eastAsia="zh-CN" w:bidi="ar-SA"/>
              </w:rPr>
              <w:t>乐山高新技术产业开发区嘉州工业园</w:t>
            </w:r>
          </w:p>
        </w:tc>
        <w:tc>
          <w:tcPr>
            <w:tcW w:w="5324" w:type="dxa"/>
            <w:vMerge w:val="continue"/>
            <w:noWrap w:val="0"/>
            <w:vAlign w:val="center"/>
          </w:tcPr>
          <w:p>
            <w:pPr>
              <w:pStyle w:val="200"/>
              <w:widowControl w:val="0"/>
              <w:spacing w:line="360" w:lineRule="auto"/>
              <w:ind w:firstLine="0" w:firstLineChars="0"/>
              <w:jc w:val="both"/>
              <w:rPr>
                <w:rStyle w:val="44"/>
                <w:rFonts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空间布局约束：</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禁止开发建设活动的要求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限制开发建设活动的要求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不符合空间布局要求活动的退出要求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其他空间布局约束要求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污染物排放管控：</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允许排放量要求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现有源提标升级改造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其他污染物排放管控要求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环境风险防控：</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联防联控要求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其他环境风险防控要求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资源开发利用效率要求：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水资源利用总量要求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地下水开采要求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能源利用总量及效率要求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禁燃区要求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其他资源利用效率要求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tc>
        <w:tc>
          <w:tcPr>
            <w:tcW w:w="1232" w:type="dxa"/>
            <w:noWrap w:val="0"/>
            <w:vAlign w:val="center"/>
          </w:tcPr>
          <w:p>
            <w:pPr>
              <w:pStyle w:val="200"/>
              <w:widowControl/>
              <w:spacing w:line="240" w:lineRule="auto"/>
              <w:ind w:firstLine="0" w:firstLineChars="0"/>
              <w:jc w:val="center"/>
              <w:rPr>
                <w:rStyle w:val="44"/>
                <w:rFonts w:ascii="宋体" w:hAnsi="宋体" w:eastAsia="宋体" w:cs="Times New Roman"/>
                <w:kern w:val="2"/>
                <w:sz w:val="21"/>
                <w:szCs w:val="21"/>
                <w:lang w:val="en-US" w:eastAsia="zh-CN" w:bidi="ar-SA"/>
              </w:rPr>
            </w:pPr>
            <w:r>
              <w:rPr>
                <w:rStyle w:val="44"/>
                <w:rFonts w:hint="eastAsia" w:ascii="宋体" w:hAnsi="宋体" w:eastAsia="宋体" w:cs="Times New Roman"/>
                <w:kern w:val="2"/>
                <w:sz w:val="21"/>
                <w:szCs w:val="21"/>
                <w:lang w:val="en-US" w:eastAsia="zh-CN" w:bidi="ar-SA"/>
              </w:rPr>
              <w:t>环境风险防控</w:t>
            </w:r>
          </w:p>
        </w:tc>
        <w:tc>
          <w:tcPr>
            <w:tcW w:w="3661" w:type="dxa"/>
            <w:vMerge w:val="restart"/>
            <w:noWrap w:val="0"/>
            <w:vAlign w:val="center"/>
          </w:tcPr>
          <w:p>
            <w:pPr>
              <w:pStyle w:val="200"/>
              <w:widowControl/>
              <w:shd w:val="clear" w:color="auto" w:fill="FFFFFF"/>
              <w:spacing w:line="240" w:lineRule="auto"/>
              <w:ind w:firstLine="0" w:firstLineChars="0"/>
              <w:jc w:val="left"/>
              <w:rPr>
                <w:rStyle w:val="44"/>
                <w:rFonts w:ascii="宋体" w:hAnsi="宋体" w:eastAsia="宋体" w:cs="Times New Roman"/>
                <w:kern w:val="2"/>
                <w:sz w:val="21"/>
                <w:szCs w:val="21"/>
                <w:lang w:val="en-US" w:eastAsia="zh-CN" w:bidi="ar-SA"/>
              </w:rPr>
            </w:pPr>
            <w:r>
              <w:rPr>
                <w:rStyle w:val="44"/>
                <w:rFonts w:hint="eastAsia" w:ascii="宋体" w:hAnsi="宋体" w:eastAsia="宋体" w:cs="Times New Roman"/>
                <w:kern w:val="2"/>
                <w:sz w:val="21"/>
                <w:szCs w:val="21"/>
                <w:lang w:val="en-US" w:eastAsia="zh-CN" w:bidi="ar-SA"/>
              </w:rPr>
              <w:t>/</w:t>
            </w:r>
          </w:p>
        </w:tc>
        <w:tc>
          <w:tcPr>
            <w:tcW w:w="1952" w:type="dxa"/>
            <w:noWrap w:val="0"/>
            <w:vAlign w:val="center"/>
          </w:tcPr>
          <w:p>
            <w:pPr>
              <w:pStyle w:val="200"/>
              <w:widowControl/>
              <w:shd w:val="clear" w:color="auto" w:fill="FFFFFF"/>
              <w:spacing w:line="240" w:lineRule="auto"/>
              <w:ind w:firstLine="0" w:firstLineChars="0"/>
              <w:jc w:val="center"/>
              <w:rPr>
                <w:rStyle w:val="44"/>
                <w:rFonts w:hint="default" w:ascii="宋体" w:hAnsi="宋体" w:eastAsia="宋体" w:cs="Times New Roman"/>
                <w:kern w:val="2"/>
                <w:sz w:val="21"/>
                <w:szCs w:val="21"/>
                <w:lang w:val="en-US" w:eastAsia="zh-CN" w:bidi="ar-SA"/>
              </w:rPr>
            </w:pPr>
            <w:r>
              <w:rPr>
                <w:rStyle w:val="44"/>
                <w:rFonts w:hint="eastAsia" w:ascii="宋体" w:hAnsi="宋体" w:eastAsia="宋体" w:cs="Times New Roman"/>
                <w:kern w:val="2"/>
                <w:sz w:val="21"/>
                <w:szCs w:val="21"/>
                <w:lang w:val="en-US" w:eastAsia="zh-CN" w:bidi="ar-SA"/>
              </w:rPr>
              <w:t>/</w:t>
            </w:r>
          </w:p>
        </w:tc>
        <w:tc>
          <w:tcPr>
            <w:tcW w:w="793" w:type="dxa"/>
            <w:noWrap w:val="0"/>
            <w:vAlign w:val="center"/>
          </w:tcPr>
          <w:p>
            <w:pPr>
              <w:pStyle w:val="200"/>
              <w:widowControl/>
              <w:shd w:val="clear" w:color="auto" w:fill="FFFFFF"/>
              <w:spacing w:line="240" w:lineRule="auto"/>
              <w:ind w:firstLine="0" w:firstLineChars="0"/>
              <w:jc w:val="center"/>
              <w:rPr>
                <w:rStyle w:val="44"/>
                <w:rFonts w:hint="default" w:ascii="宋体" w:hAnsi="宋体" w:eastAsia="宋体" w:cs="Times New Roman"/>
                <w:kern w:val="2"/>
                <w:sz w:val="21"/>
                <w:szCs w:val="21"/>
                <w:lang w:val="en-US" w:eastAsia="zh-CN" w:bidi="ar-SA"/>
              </w:rPr>
            </w:pPr>
            <w:r>
              <w:rPr>
                <w:rStyle w:val="44"/>
                <w:rFonts w:hint="eastAsia" w:ascii="宋体" w:hAnsi="宋体" w:eastAsia="宋体" w:cs="Times New Roman"/>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1" w:type="dxa"/>
            <w:vMerge w:val="continue"/>
            <w:noWrap w:val="0"/>
            <w:vAlign w:val="center"/>
          </w:tcPr>
          <w:p>
            <w:pPr>
              <w:pStyle w:val="200"/>
              <w:widowControl/>
              <w:spacing w:line="240" w:lineRule="auto"/>
              <w:ind w:firstLine="0" w:firstLineChars="0"/>
              <w:jc w:val="left"/>
              <w:rPr>
                <w:rStyle w:val="44"/>
                <w:rFonts w:ascii="宋体" w:hAnsi="宋体" w:eastAsia="宋体" w:cs="Times New Roman"/>
                <w:kern w:val="2"/>
                <w:sz w:val="21"/>
                <w:szCs w:val="21"/>
                <w:lang w:val="en-US" w:eastAsia="zh-CN" w:bidi="ar-SA"/>
              </w:rPr>
            </w:pPr>
            <w:r>
              <w:rPr>
                <w:rStyle w:val="44"/>
                <w:rFonts w:hint="eastAsia" w:ascii="宋体" w:hAnsi="宋体" w:eastAsia="宋体" w:cs="Times New Roman"/>
                <w:kern w:val="2"/>
                <w:sz w:val="21"/>
                <w:szCs w:val="21"/>
                <w:lang w:val="en-US" w:eastAsia="zh-CN" w:bidi="ar-SA"/>
              </w:rPr>
              <w:t>YS5111022310002</w:t>
            </w:r>
          </w:p>
        </w:tc>
        <w:tc>
          <w:tcPr>
            <w:tcW w:w="708" w:type="dxa"/>
            <w:vMerge w:val="continue"/>
            <w:noWrap w:val="0"/>
            <w:vAlign w:val="center"/>
          </w:tcPr>
          <w:p>
            <w:pPr>
              <w:pStyle w:val="200"/>
              <w:widowControl/>
              <w:spacing w:line="240" w:lineRule="auto"/>
              <w:ind w:firstLine="0" w:firstLineChars="0"/>
              <w:jc w:val="left"/>
              <w:rPr>
                <w:rStyle w:val="44"/>
                <w:rFonts w:ascii="宋体" w:hAnsi="宋体" w:eastAsia="宋体" w:cs="Times New Roman"/>
                <w:kern w:val="2"/>
                <w:sz w:val="21"/>
                <w:szCs w:val="21"/>
                <w:lang w:val="en-US" w:eastAsia="zh-CN" w:bidi="ar-SA"/>
              </w:rPr>
            </w:pPr>
            <w:r>
              <w:rPr>
                <w:rStyle w:val="44"/>
                <w:rFonts w:hint="eastAsia" w:ascii="宋体" w:hAnsi="宋体" w:eastAsia="宋体" w:cs="Times New Roman"/>
                <w:kern w:val="2"/>
                <w:sz w:val="21"/>
                <w:szCs w:val="21"/>
                <w:lang w:val="en-US" w:eastAsia="zh-CN" w:bidi="ar-SA"/>
              </w:rPr>
              <w:t>乐山高新技术产业开发区嘉州工业园</w:t>
            </w:r>
          </w:p>
        </w:tc>
        <w:tc>
          <w:tcPr>
            <w:tcW w:w="5324" w:type="dxa"/>
            <w:vMerge w:val="continue"/>
            <w:noWrap w:val="0"/>
            <w:vAlign w:val="center"/>
          </w:tcPr>
          <w:p>
            <w:pPr>
              <w:pStyle w:val="200"/>
              <w:widowControl w:val="0"/>
              <w:spacing w:line="360" w:lineRule="auto"/>
              <w:ind w:firstLine="0" w:firstLineChars="0"/>
              <w:jc w:val="both"/>
              <w:rPr>
                <w:rStyle w:val="44"/>
                <w:rFonts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空间布局约束：</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禁止开发建设活动的要求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限制开发建设活动的要求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不符合空间布局要求活动的退出要求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其他空间布局约束要求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污染物排放管控：</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允许排放量要求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现有源提标升级改造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其他污染物排放管控要求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环境风险防控：</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联防联控要求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其他环境风险防控要求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资源开发利用效率要求：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水资源利用总量要求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地下水开采要求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能源利用总量及效率要求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禁燃区要求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其他资源利用效率要求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tc>
        <w:tc>
          <w:tcPr>
            <w:tcW w:w="1232" w:type="dxa"/>
            <w:noWrap w:val="0"/>
            <w:vAlign w:val="center"/>
          </w:tcPr>
          <w:p>
            <w:pPr>
              <w:pStyle w:val="200"/>
              <w:widowControl/>
              <w:spacing w:line="240" w:lineRule="auto"/>
              <w:ind w:firstLine="0" w:firstLineChars="0"/>
              <w:jc w:val="center"/>
              <w:rPr>
                <w:rStyle w:val="44"/>
                <w:rFonts w:ascii="宋体" w:hAnsi="宋体" w:eastAsia="宋体" w:cs="Times New Roman"/>
                <w:kern w:val="2"/>
                <w:sz w:val="21"/>
                <w:szCs w:val="21"/>
                <w:lang w:val="en-US" w:eastAsia="zh-CN" w:bidi="ar-SA"/>
              </w:rPr>
            </w:pPr>
            <w:r>
              <w:rPr>
                <w:rStyle w:val="44"/>
                <w:rFonts w:hint="eastAsia" w:ascii="宋体" w:hAnsi="宋体" w:eastAsia="宋体" w:cs="Times New Roman"/>
                <w:kern w:val="2"/>
                <w:sz w:val="21"/>
                <w:szCs w:val="21"/>
                <w:lang w:val="en-US" w:eastAsia="zh-CN" w:bidi="ar-SA"/>
              </w:rPr>
              <w:t>资源开发效率要求</w:t>
            </w:r>
          </w:p>
        </w:tc>
        <w:tc>
          <w:tcPr>
            <w:tcW w:w="3661" w:type="dxa"/>
            <w:vMerge w:val="continue"/>
            <w:noWrap w:val="0"/>
            <w:vAlign w:val="center"/>
          </w:tcPr>
          <w:p>
            <w:pPr>
              <w:pStyle w:val="200"/>
              <w:widowControl/>
              <w:shd w:val="clear" w:color="auto" w:fill="FFFFFF"/>
              <w:spacing w:line="240" w:lineRule="auto"/>
              <w:ind w:firstLine="0" w:firstLineChars="0"/>
              <w:jc w:val="left"/>
              <w:rPr>
                <w:rStyle w:val="44"/>
                <w:rFonts w:ascii="宋体" w:hAnsi="宋体" w:eastAsia="宋体" w:cs="Times New Roman"/>
                <w:kern w:val="2"/>
                <w:sz w:val="21"/>
                <w:szCs w:val="21"/>
                <w:lang w:val="en-US" w:eastAsia="zh-CN" w:bidi="ar-SA"/>
              </w:rPr>
            </w:pPr>
            <w:r>
              <w:rPr>
                <w:rStyle w:val="44"/>
                <w:rFonts w:hint="eastAsia" w:ascii="宋体" w:hAnsi="宋体" w:eastAsia="宋体" w:cs="Times New Roman"/>
                <w:kern w:val="2"/>
                <w:sz w:val="21"/>
                <w:szCs w:val="21"/>
                <w:lang w:val="en-US" w:eastAsia="zh-CN" w:bidi="ar-SA"/>
              </w:rPr>
              <w:t>/</w:t>
            </w:r>
          </w:p>
        </w:tc>
        <w:tc>
          <w:tcPr>
            <w:tcW w:w="1952" w:type="dxa"/>
            <w:noWrap w:val="0"/>
            <w:vAlign w:val="center"/>
          </w:tcPr>
          <w:p>
            <w:pPr>
              <w:pStyle w:val="200"/>
              <w:widowControl/>
              <w:shd w:val="clear" w:color="auto" w:fill="FFFFFF"/>
              <w:spacing w:line="240" w:lineRule="auto"/>
              <w:ind w:firstLine="0" w:firstLineChars="0"/>
              <w:jc w:val="center"/>
              <w:rPr>
                <w:rStyle w:val="44"/>
                <w:rFonts w:hint="default" w:ascii="宋体" w:hAnsi="宋体" w:eastAsia="宋体" w:cs="Times New Roman"/>
                <w:kern w:val="2"/>
                <w:sz w:val="21"/>
                <w:szCs w:val="21"/>
                <w:lang w:val="en-US" w:eastAsia="zh-CN" w:bidi="ar-SA"/>
              </w:rPr>
            </w:pPr>
            <w:r>
              <w:rPr>
                <w:rStyle w:val="44"/>
                <w:rFonts w:hint="eastAsia" w:ascii="宋体" w:hAnsi="宋体" w:eastAsia="宋体" w:cs="Times New Roman"/>
                <w:kern w:val="2"/>
                <w:sz w:val="21"/>
                <w:szCs w:val="21"/>
                <w:lang w:val="en-US" w:eastAsia="zh-CN" w:bidi="ar-SA"/>
              </w:rPr>
              <w:t>/</w:t>
            </w:r>
          </w:p>
        </w:tc>
        <w:tc>
          <w:tcPr>
            <w:tcW w:w="793" w:type="dxa"/>
            <w:noWrap w:val="0"/>
            <w:vAlign w:val="center"/>
          </w:tcPr>
          <w:p>
            <w:pPr>
              <w:pStyle w:val="200"/>
              <w:widowControl/>
              <w:shd w:val="clear" w:color="auto" w:fill="FFFFFF"/>
              <w:spacing w:line="240" w:lineRule="auto"/>
              <w:ind w:firstLine="0" w:firstLineChars="0"/>
              <w:jc w:val="center"/>
              <w:rPr>
                <w:rStyle w:val="44"/>
                <w:rFonts w:hint="default" w:ascii="宋体" w:hAnsi="宋体" w:eastAsia="宋体" w:cs="Times New Roman"/>
                <w:kern w:val="2"/>
                <w:sz w:val="21"/>
                <w:szCs w:val="21"/>
                <w:lang w:val="en-US" w:eastAsia="zh-CN" w:bidi="ar-SA"/>
              </w:rPr>
            </w:pPr>
            <w:r>
              <w:rPr>
                <w:rStyle w:val="44"/>
                <w:rFonts w:hint="eastAsia" w:ascii="宋体" w:hAnsi="宋体" w:eastAsia="宋体" w:cs="Times New Roman"/>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1" w:type="dxa"/>
            <w:vMerge w:val="restart"/>
            <w:noWrap w:val="0"/>
            <w:vAlign w:val="center"/>
          </w:tcPr>
          <w:p>
            <w:pPr>
              <w:pStyle w:val="200"/>
              <w:widowControl/>
              <w:spacing w:line="240" w:lineRule="auto"/>
              <w:ind w:firstLine="0" w:firstLineChars="0"/>
              <w:jc w:val="left"/>
              <w:rPr>
                <w:rStyle w:val="44"/>
                <w:rFonts w:ascii="宋体" w:hAnsi="宋体" w:eastAsia="宋体" w:cs="Times New Roman"/>
                <w:kern w:val="2"/>
                <w:sz w:val="21"/>
                <w:szCs w:val="21"/>
                <w:lang w:val="en-US" w:eastAsia="zh-CN" w:bidi="ar-SA"/>
              </w:rPr>
            </w:pPr>
            <w:r>
              <w:rPr>
                <w:rStyle w:val="44"/>
                <w:rFonts w:hint="eastAsia" w:ascii="宋体" w:hAnsi="宋体" w:eastAsia="宋体" w:cs="Times New Roman"/>
                <w:kern w:val="2"/>
                <w:sz w:val="21"/>
                <w:szCs w:val="21"/>
                <w:lang w:val="en-US" w:eastAsia="zh-CN" w:bidi="ar-SA"/>
              </w:rPr>
              <w:t>YS5111022420002</w:t>
            </w:r>
          </w:p>
        </w:tc>
        <w:tc>
          <w:tcPr>
            <w:tcW w:w="708" w:type="dxa"/>
            <w:vMerge w:val="restart"/>
            <w:noWrap w:val="0"/>
            <w:vAlign w:val="center"/>
          </w:tcPr>
          <w:p>
            <w:pPr>
              <w:pStyle w:val="200"/>
              <w:widowControl/>
              <w:spacing w:line="240" w:lineRule="auto"/>
              <w:ind w:firstLine="0" w:firstLineChars="0"/>
              <w:jc w:val="left"/>
              <w:rPr>
                <w:rStyle w:val="44"/>
                <w:rFonts w:ascii="宋体" w:hAnsi="宋体" w:eastAsia="宋体" w:cs="Times New Roman"/>
                <w:kern w:val="2"/>
                <w:sz w:val="21"/>
                <w:szCs w:val="21"/>
                <w:lang w:val="en-US" w:eastAsia="zh-CN" w:bidi="ar-SA"/>
              </w:rPr>
            </w:pPr>
            <w:r>
              <w:rPr>
                <w:rStyle w:val="44"/>
                <w:rFonts w:hint="eastAsia" w:ascii="宋体" w:hAnsi="宋体" w:eastAsia="宋体" w:cs="Times New Roman"/>
                <w:kern w:val="2"/>
                <w:sz w:val="21"/>
                <w:szCs w:val="21"/>
                <w:lang w:val="en-US" w:eastAsia="zh-CN" w:bidi="ar-SA"/>
              </w:rPr>
              <w:t>乐山市市中区建设用地污染风险重点管控区2</w:t>
            </w:r>
          </w:p>
        </w:tc>
        <w:tc>
          <w:tcPr>
            <w:tcW w:w="5324" w:type="dxa"/>
            <w:vMerge w:val="continue"/>
            <w:noWrap w:val="0"/>
            <w:vAlign w:val="center"/>
          </w:tcPr>
          <w:p>
            <w:pPr>
              <w:pStyle w:val="200"/>
              <w:widowControl w:val="0"/>
              <w:spacing w:line="360" w:lineRule="auto"/>
              <w:ind w:firstLine="0" w:firstLineChars="0"/>
              <w:jc w:val="both"/>
              <w:rPr>
                <w:rStyle w:val="44"/>
                <w:rFonts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空间布局约束：</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禁止开发建设活动的要求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限制开发建设活动的要求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不符合空间布局要求活动的退出要求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其他空间布局约束要求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污染物排放管控：</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允许排放量要求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现有源提标升级改造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其他污染物排放管控要求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环境风险防控：</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联防联控要求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其他环境风险防控要求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资源开发利用效率要求：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水资源利用总量要求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地下水开采要求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能源利用总量及效率要求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禁燃区要求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其他资源利用效率要求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tc>
        <w:tc>
          <w:tcPr>
            <w:tcW w:w="1232" w:type="dxa"/>
            <w:noWrap w:val="0"/>
            <w:vAlign w:val="center"/>
          </w:tcPr>
          <w:p>
            <w:pPr>
              <w:pStyle w:val="200"/>
              <w:widowControl/>
              <w:spacing w:line="240" w:lineRule="auto"/>
              <w:ind w:firstLine="0" w:firstLineChars="0"/>
              <w:jc w:val="center"/>
              <w:rPr>
                <w:rStyle w:val="44"/>
                <w:rFonts w:ascii="宋体" w:hAnsi="宋体" w:eastAsia="宋体" w:cs="Times New Roman"/>
                <w:kern w:val="2"/>
                <w:sz w:val="21"/>
                <w:szCs w:val="21"/>
                <w:lang w:val="en-US" w:eastAsia="zh-CN" w:bidi="ar-SA"/>
              </w:rPr>
            </w:pPr>
            <w:r>
              <w:rPr>
                <w:rStyle w:val="44"/>
                <w:rFonts w:hint="eastAsia" w:ascii="宋体" w:hAnsi="宋体" w:eastAsia="宋体" w:cs="Times New Roman"/>
                <w:kern w:val="2"/>
                <w:sz w:val="21"/>
                <w:szCs w:val="21"/>
                <w:lang w:val="en-US" w:eastAsia="zh-CN" w:bidi="ar-SA"/>
              </w:rPr>
              <w:t>空间布局约束</w:t>
            </w:r>
          </w:p>
        </w:tc>
        <w:tc>
          <w:tcPr>
            <w:tcW w:w="3661" w:type="dxa"/>
            <w:noWrap w:val="0"/>
            <w:vAlign w:val="center"/>
          </w:tcPr>
          <w:p>
            <w:pPr>
              <w:pStyle w:val="200"/>
              <w:widowControl/>
              <w:shd w:val="clear" w:color="auto" w:fill="FFFFFF"/>
              <w:spacing w:line="240" w:lineRule="auto"/>
              <w:ind w:firstLine="0" w:firstLineChars="0"/>
              <w:jc w:val="left"/>
              <w:rPr>
                <w:rStyle w:val="44"/>
                <w:rFonts w:ascii="宋体" w:hAnsi="宋体" w:eastAsia="宋体" w:cs="Times New Roman"/>
                <w:kern w:val="2"/>
                <w:sz w:val="21"/>
                <w:szCs w:val="21"/>
                <w:lang w:val="en-US" w:eastAsia="zh-CN" w:bidi="ar-SA"/>
              </w:rPr>
            </w:pPr>
            <w:r>
              <w:rPr>
                <w:rStyle w:val="44"/>
                <w:rFonts w:hint="eastAsia" w:ascii="宋体" w:hAnsi="宋体" w:eastAsia="宋体" w:cs="Times New Roman"/>
                <w:kern w:val="2"/>
                <w:sz w:val="21"/>
                <w:szCs w:val="21"/>
                <w:lang w:val="en-US" w:eastAsia="zh-CN" w:bidi="ar-SA"/>
              </w:rPr>
              <w:t>禁止开发建设活动的要求</w:t>
            </w:r>
          </w:p>
          <w:p>
            <w:pPr>
              <w:pStyle w:val="200"/>
              <w:widowControl/>
              <w:shd w:val="clear" w:color="auto" w:fill="FFFFFF"/>
              <w:spacing w:line="240" w:lineRule="auto"/>
              <w:ind w:firstLine="0" w:firstLineChars="0"/>
              <w:jc w:val="left"/>
              <w:rPr>
                <w:rStyle w:val="44"/>
                <w:rFonts w:hint="eastAsia" w:ascii="宋体" w:hAnsi="宋体" w:eastAsia="宋体" w:cs="Times New Roman"/>
                <w:kern w:val="2"/>
                <w:sz w:val="21"/>
                <w:szCs w:val="21"/>
                <w:lang w:val="en-US" w:eastAsia="zh-CN" w:bidi="ar-SA"/>
              </w:rPr>
            </w:pPr>
            <w:r>
              <w:rPr>
                <w:rStyle w:val="44"/>
                <w:rFonts w:hint="eastAsia" w:ascii="宋体" w:hAnsi="宋体" w:eastAsia="宋体" w:cs="Times New Roman"/>
                <w:kern w:val="2"/>
                <w:sz w:val="21"/>
                <w:szCs w:val="21"/>
                <w:lang w:val="en-US" w:eastAsia="zh-CN" w:bidi="ar-SA"/>
              </w:rPr>
              <w:t>限制开发建设活动的要求</w:t>
            </w:r>
          </w:p>
          <w:p>
            <w:pPr>
              <w:pStyle w:val="200"/>
              <w:widowControl/>
              <w:shd w:val="clear" w:color="auto" w:fill="FFFFFF"/>
              <w:spacing w:line="240" w:lineRule="auto"/>
              <w:ind w:firstLine="0" w:firstLineChars="0"/>
              <w:jc w:val="left"/>
              <w:rPr>
                <w:rStyle w:val="44"/>
                <w:rFonts w:hint="eastAsia" w:ascii="宋体" w:hAnsi="宋体" w:eastAsia="宋体" w:cs="Times New Roman"/>
                <w:kern w:val="2"/>
                <w:sz w:val="21"/>
                <w:szCs w:val="21"/>
                <w:lang w:val="en-US" w:eastAsia="zh-CN" w:bidi="ar-SA"/>
              </w:rPr>
            </w:pPr>
            <w:r>
              <w:rPr>
                <w:rStyle w:val="44"/>
                <w:rFonts w:hint="eastAsia" w:ascii="宋体" w:hAnsi="宋体" w:eastAsia="宋体" w:cs="Times New Roman"/>
                <w:kern w:val="2"/>
                <w:sz w:val="21"/>
                <w:szCs w:val="21"/>
                <w:lang w:val="en-US" w:eastAsia="zh-CN" w:bidi="ar-SA"/>
              </w:rPr>
              <w:t>允许开发建设活动的要求</w:t>
            </w:r>
          </w:p>
          <w:p>
            <w:pPr>
              <w:pStyle w:val="200"/>
              <w:widowControl/>
              <w:shd w:val="clear" w:color="auto" w:fill="FFFFFF"/>
              <w:spacing w:line="240" w:lineRule="auto"/>
              <w:ind w:firstLine="0" w:firstLineChars="0"/>
              <w:jc w:val="left"/>
              <w:rPr>
                <w:rStyle w:val="44"/>
                <w:rFonts w:hint="eastAsia" w:ascii="宋体" w:hAnsi="宋体" w:eastAsia="宋体" w:cs="Times New Roman"/>
                <w:kern w:val="2"/>
                <w:sz w:val="21"/>
                <w:szCs w:val="21"/>
                <w:lang w:val="en-US" w:eastAsia="zh-CN" w:bidi="ar-SA"/>
              </w:rPr>
            </w:pPr>
            <w:r>
              <w:rPr>
                <w:rStyle w:val="44"/>
                <w:rFonts w:hint="eastAsia" w:ascii="宋体" w:hAnsi="宋体" w:eastAsia="宋体" w:cs="Times New Roman"/>
                <w:kern w:val="2"/>
                <w:sz w:val="21"/>
                <w:szCs w:val="21"/>
                <w:lang w:val="en-US" w:eastAsia="zh-CN" w:bidi="ar-SA"/>
              </w:rPr>
              <w:t>不符合空间布局要求活动的退出要求</w:t>
            </w:r>
          </w:p>
          <w:p>
            <w:pPr>
              <w:pStyle w:val="200"/>
              <w:widowControl/>
              <w:shd w:val="clear" w:color="auto" w:fill="FFFFFF"/>
              <w:spacing w:line="240" w:lineRule="auto"/>
              <w:ind w:firstLine="0" w:firstLineChars="0"/>
              <w:jc w:val="left"/>
              <w:rPr>
                <w:rStyle w:val="44"/>
                <w:rFonts w:hint="eastAsia" w:ascii="宋体" w:hAnsi="宋体" w:eastAsia="宋体" w:cs="Times New Roman"/>
                <w:kern w:val="2"/>
                <w:sz w:val="21"/>
                <w:szCs w:val="21"/>
                <w:lang w:val="en-US" w:eastAsia="zh-CN" w:bidi="ar-SA"/>
              </w:rPr>
            </w:pPr>
            <w:r>
              <w:rPr>
                <w:rStyle w:val="44"/>
                <w:rFonts w:hint="eastAsia" w:ascii="宋体" w:hAnsi="宋体" w:eastAsia="宋体" w:cs="Times New Roman"/>
                <w:kern w:val="2"/>
                <w:sz w:val="21"/>
                <w:szCs w:val="21"/>
                <w:lang w:val="en-US" w:eastAsia="zh-CN" w:bidi="ar-SA"/>
              </w:rPr>
              <w:t>其他空间布局约束要求</w:t>
            </w:r>
          </w:p>
        </w:tc>
        <w:tc>
          <w:tcPr>
            <w:tcW w:w="1952" w:type="dxa"/>
            <w:noWrap w:val="0"/>
            <w:vAlign w:val="center"/>
          </w:tcPr>
          <w:p>
            <w:pPr>
              <w:pStyle w:val="200"/>
              <w:widowControl/>
              <w:shd w:val="clear" w:color="auto" w:fill="FFFFFF"/>
              <w:spacing w:line="240" w:lineRule="auto"/>
              <w:ind w:firstLine="0" w:firstLineChars="0"/>
              <w:jc w:val="center"/>
              <w:rPr>
                <w:rStyle w:val="44"/>
                <w:rFonts w:hint="eastAsia" w:ascii="宋体" w:hAnsi="宋体" w:eastAsia="宋体" w:cs="Times New Roman"/>
                <w:kern w:val="2"/>
                <w:sz w:val="21"/>
                <w:szCs w:val="21"/>
                <w:lang w:val="en-US" w:eastAsia="zh-CN" w:bidi="ar-SA"/>
              </w:rPr>
            </w:pPr>
            <w:r>
              <w:rPr>
                <w:rStyle w:val="44"/>
                <w:rFonts w:hint="eastAsia" w:ascii="宋体" w:hAnsi="宋体" w:eastAsia="宋体" w:cs="Times New Roman"/>
                <w:color w:val="auto"/>
                <w:kern w:val="2"/>
                <w:sz w:val="21"/>
                <w:szCs w:val="21"/>
                <w:lang w:val="en-US" w:eastAsia="zh-CN" w:bidi="ar-SA"/>
              </w:rPr>
              <w:t>项目为产业政策允许类项目，位于嘉州工业园水口园区内，用地为工业用地，符合园区规划。</w:t>
            </w:r>
          </w:p>
        </w:tc>
        <w:tc>
          <w:tcPr>
            <w:tcW w:w="793" w:type="dxa"/>
            <w:noWrap w:val="0"/>
            <w:vAlign w:val="center"/>
          </w:tcPr>
          <w:p>
            <w:pPr>
              <w:pStyle w:val="200"/>
              <w:widowControl/>
              <w:shd w:val="clear" w:color="auto" w:fill="FFFFFF"/>
              <w:spacing w:line="240" w:lineRule="auto"/>
              <w:ind w:firstLine="0" w:firstLineChars="0"/>
              <w:jc w:val="center"/>
              <w:rPr>
                <w:rStyle w:val="44"/>
                <w:rFonts w:hint="eastAsia" w:ascii="宋体" w:hAnsi="宋体" w:eastAsia="宋体" w:cs="Times New Roman"/>
                <w:kern w:val="2"/>
                <w:sz w:val="21"/>
                <w:szCs w:val="21"/>
                <w:lang w:val="en-US" w:eastAsia="zh-CN" w:bidi="ar-SA"/>
              </w:rPr>
            </w:pPr>
            <w:r>
              <w:rPr>
                <w:rStyle w:val="44"/>
                <w:rFonts w:hint="eastAsia" w:ascii="宋体" w:hAnsi="宋体" w:eastAsia="宋体" w:cs="Times New Roman"/>
                <w:kern w:val="2"/>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1" w:type="dxa"/>
            <w:vMerge w:val="continue"/>
            <w:noWrap w:val="0"/>
            <w:vAlign w:val="center"/>
          </w:tcPr>
          <w:p>
            <w:pPr>
              <w:pStyle w:val="200"/>
              <w:widowControl/>
              <w:spacing w:line="240" w:lineRule="auto"/>
              <w:ind w:firstLine="0" w:firstLineChars="0"/>
              <w:jc w:val="left"/>
              <w:rPr>
                <w:rStyle w:val="44"/>
                <w:rFonts w:ascii="宋体" w:hAnsi="宋体" w:eastAsia="宋体" w:cs="Times New Roman"/>
                <w:kern w:val="2"/>
                <w:sz w:val="21"/>
                <w:szCs w:val="21"/>
                <w:lang w:val="en-US" w:eastAsia="zh-CN" w:bidi="ar-SA"/>
              </w:rPr>
            </w:pPr>
            <w:r>
              <w:rPr>
                <w:rStyle w:val="44"/>
                <w:rFonts w:hint="eastAsia" w:ascii="宋体" w:hAnsi="宋体" w:eastAsia="宋体" w:cs="Times New Roman"/>
                <w:kern w:val="2"/>
                <w:sz w:val="21"/>
                <w:szCs w:val="21"/>
                <w:lang w:val="en-US" w:eastAsia="zh-CN" w:bidi="ar-SA"/>
              </w:rPr>
              <w:t>YS5111022420002</w:t>
            </w:r>
          </w:p>
        </w:tc>
        <w:tc>
          <w:tcPr>
            <w:tcW w:w="708" w:type="dxa"/>
            <w:vMerge w:val="continue"/>
            <w:noWrap w:val="0"/>
            <w:vAlign w:val="center"/>
          </w:tcPr>
          <w:p>
            <w:pPr>
              <w:pStyle w:val="200"/>
              <w:widowControl/>
              <w:spacing w:line="240" w:lineRule="auto"/>
              <w:ind w:firstLine="0" w:firstLineChars="0"/>
              <w:jc w:val="left"/>
              <w:rPr>
                <w:rStyle w:val="44"/>
                <w:rFonts w:ascii="宋体" w:hAnsi="宋体" w:eastAsia="宋体" w:cs="Times New Roman"/>
                <w:kern w:val="2"/>
                <w:sz w:val="21"/>
                <w:szCs w:val="21"/>
                <w:lang w:val="en-US" w:eastAsia="zh-CN" w:bidi="ar-SA"/>
              </w:rPr>
            </w:pPr>
            <w:r>
              <w:rPr>
                <w:rStyle w:val="44"/>
                <w:rFonts w:hint="eastAsia" w:ascii="宋体" w:hAnsi="宋体" w:eastAsia="宋体" w:cs="Times New Roman"/>
                <w:kern w:val="2"/>
                <w:sz w:val="21"/>
                <w:szCs w:val="21"/>
                <w:lang w:val="en-US" w:eastAsia="zh-CN" w:bidi="ar-SA"/>
              </w:rPr>
              <w:t>乐山市市中区建设用地污染风险重点管控区2</w:t>
            </w:r>
          </w:p>
        </w:tc>
        <w:tc>
          <w:tcPr>
            <w:tcW w:w="5324" w:type="dxa"/>
            <w:vMerge w:val="continue"/>
            <w:noWrap w:val="0"/>
            <w:vAlign w:val="center"/>
          </w:tcPr>
          <w:p>
            <w:pPr>
              <w:pStyle w:val="200"/>
              <w:widowControl w:val="0"/>
              <w:spacing w:line="360" w:lineRule="auto"/>
              <w:ind w:firstLine="0" w:firstLineChars="0"/>
              <w:jc w:val="both"/>
              <w:rPr>
                <w:rStyle w:val="44"/>
                <w:rFonts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空间布局约束：</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禁止开发建设活动的要求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限制开发建设活动的要求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不符合空间布局要求活动的退出要求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其他空间布局约束要求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污染物排放管控：</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允许排放量要求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现有源提标升级改造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其他污染物排放管控要求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环境风险防控：</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联防联控要求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其他环境风险防控要求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资源开发利用效率要求：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水资源利用总量要求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地下水开采要求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能源利用总量及效率要求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禁燃区要求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其他资源利用效率要求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tc>
        <w:tc>
          <w:tcPr>
            <w:tcW w:w="1232" w:type="dxa"/>
            <w:noWrap w:val="0"/>
            <w:vAlign w:val="center"/>
          </w:tcPr>
          <w:p>
            <w:pPr>
              <w:pStyle w:val="200"/>
              <w:widowControl/>
              <w:spacing w:line="240" w:lineRule="auto"/>
              <w:ind w:firstLine="0" w:firstLineChars="0"/>
              <w:jc w:val="center"/>
              <w:rPr>
                <w:rStyle w:val="44"/>
                <w:rFonts w:ascii="宋体" w:hAnsi="宋体" w:eastAsia="宋体" w:cs="Times New Roman"/>
                <w:kern w:val="2"/>
                <w:sz w:val="21"/>
                <w:szCs w:val="21"/>
                <w:lang w:val="en-US" w:eastAsia="zh-CN" w:bidi="ar-SA"/>
              </w:rPr>
            </w:pPr>
            <w:r>
              <w:rPr>
                <w:rStyle w:val="44"/>
                <w:rFonts w:hint="eastAsia" w:ascii="宋体" w:hAnsi="宋体" w:eastAsia="宋体" w:cs="Times New Roman"/>
                <w:kern w:val="2"/>
                <w:sz w:val="21"/>
                <w:szCs w:val="21"/>
                <w:lang w:val="en-US" w:eastAsia="zh-CN" w:bidi="ar-SA"/>
              </w:rPr>
              <w:t>污染物排放管控</w:t>
            </w:r>
          </w:p>
        </w:tc>
        <w:tc>
          <w:tcPr>
            <w:tcW w:w="3661" w:type="dxa"/>
            <w:vMerge w:val="restart"/>
            <w:noWrap w:val="0"/>
            <w:vAlign w:val="center"/>
          </w:tcPr>
          <w:p>
            <w:pPr>
              <w:pStyle w:val="200"/>
              <w:widowControl/>
              <w:shd w:val="clear" w:color="auto" w:fill="FFFFFF"/>
              <w:spacing w:line="240" w:lineRule="auto"/>
              <w:ind w:firstLine="0" w:firstLineChars="0"/>
              <w:jc w:val="left"/>
              <w:rPr>
                <w:rStyle w:val="44"/>
                <w:rFonts w:ascii="宋体" w:hAnsi="宋体" w:eastAsia="宋体" w:cs="Times New Roman"/>
                <w:kern w:val="2"/>
                <w:sz w:val="21"/>
                <w:szCs w:val="21"/>
                <w:lang w:val="en-US" w:eastAsia="zh-CN" w:bidi="ar-SA"/>
              </w:rPr>
            </w:pPr>
            <w:r>
              <w:rPr>
                <w:rStyle w:val="44"/>
                <w:rFonts w:hint="eastAsia" w:ascii="宋体" w:hAnsi="宋体" w:eastAsia="宋体" w:cs="Times New Roman"/>
                <w:kern w:val="2"/>
                <w:sz w:val="21"/>
                <w:szCs w:val="21"/>
                <w:lang w:val="en-US" w:eastAsia="zh-CN" w:bidi="ar-SA"/>
              </w:rPr>
              <w:t>/</w:t>
            </w:r>
          </w:p>
        </w:tc>
        <w:tc>
          <w:tcPr>
            <w:tcW w:w="1952" w:type="dxa"/>
            <w:noWrap w:val="0"/>
            <w:vAlign w:val="center"/>
          </w:tcPr>
          <w:p>
            <w:pPr>
              <w:pStyle w:val="200"/>
              <w:widowControl/>
              <w:shd w:val="clear" w:color="auto" w:fill="FFFFFF"/>
              <w:spacing w:line="240" w:lineRule="auto"/>
              <w:ind w:firstLine="0" w:firstLineChars="0"/>
              <w:jc w:val="center"/>
              <w:rPr>
                <w:rStyle w:val="44"/>
                <w:rFonts w:hint="default" w:ascii="宋体" w:hAnsi="宋体" w:eastAsia="宋体" w:cs="Times New Roman"/>
                <w:kern w:val="2"/>
                <w:sz w:val="21"/>
                <w:szCs w:val="21"/>
                <w:lang w:val="en-US" w:eastAsia="zh-CN" w:bidi="ar-SA"/>
              </w:rPr>
            </w:pPr>
            <w:r>
              <w:rPr>
                <w:rStyle w:val="44"/>
                <w:rFonts w:hint="eastAsia" w:ascii="宋体" w:hAnsi="宋体" w:eastAsia="宋体" w:cs="Times New Roman"/>
                <w:kern w:val="2"/>
                <w:sz w:val="21"/>
                <w:szCs w:val="21"/>
                <w:lang w:val="en-US" w:eastAsia="zh-CN" w:bidi="ar-SA"/>
              </w:rPr>
              <w:t>/</w:t>
            </w:r>
          </w:p>
        </w:tc>
        <w:tc>
          <w:tcPr>
            <w:tcW w:w="793" w:type="dxa"/>
            <w:noWrap w:val="0"/>
            <w:vAlign w:val="center"/>
          </w:tcPr>
          <w:p>
            <w:pPr>
              <w:pStyle w:val="200"/>
              <w:widowControl/>
              <w:shd w:val="clear" w:color="auto" w:fill="FFFFFF"/>
              <w:spacing w:line="240" w:lineRule="auto"/>
              <w:ind w:firstLine="0" w:firstLineChars="0"/>
              <w:jc w:val="center"/>
              <w:rPr>
                <w:rStyle w:val="44"/>
                <w:rFonts w:hint="default" w:ascii="宋体" w:hAnsi="宋体" w:eastAsia="宋体" w:cs="Times New Roman"/>
                <w:kern w:val="2"/>
                <w:sz w:val="21"/>
                <w:szCs w:val="21"/>
                <w:lang w:val="en-US" w:eastAsia="zh-CN" w:bidi="ar-SA"/>
              </w:rPr>
            </w:pPr>
            <w:r>
              <w:rPr>
                <w:rStyle w:val="44"/>
                <w:rFonts w:hint="eastAsia" w:ascii="宋体" w:hAnsi="宋体" w:eastAsia="宋体" w:cs="Times New Roman"/>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1" w:type="dxa"/>
            <w:vMerge w:val="continue"/>
            <w:noWrap w:val="0"/>
            <w:vAlign w:val="center"/>
          </w:tcPr>
          <w:p>
            <w:pPr>
              <w:pStyle w:val="200"/>
              <w:widowControl/>
              <w:spacing w:line="240" w:lineRule="auto"/>
              <w:ind w:firstLine="0" w:firstLineChars="0"/>
              <w:jc w:val="left"/>
              <w:rPr>
                <w:rStyle w:val="44"/>
                <w:rFonts w:ascii="宋体" w:hAnsi="宋体" w:eastAsia="宋体" w:cs="Times New Roman"/>
                <w:kern w:val="2"/>
                <w:sz w:val="21"/>
                <w:szCs w:val="21"/>
                <w:lang w:val="en-US" w:eastAsia="zh-CN" w:bidi="ar-SA"/>
              </w:rPr>
            </w:pPr>
            <w:r>
              <w:rPr>
                <w:rStyle w:val="44"/>
                <w:rFonts w:hint="eastAsia" w:ascii="宋体" w:hAnsi="宋体" w:eastAsia="宋体" w:cs="Times New Roman"/>
                <w:kern w:val="2"/>
                <w:sz w:val="21"/>
                <w:szCs w:val="21"/>
                <w:lang w:val="en-US" w:eastAsia="zh-CN" w:bidi="ar-SA"/>
              </w:rPr>
              <w:t>YS5111022420002</w:t>
            </w:r>
          </w:p>
        </w:tc>
        <w:tc>
          <w:tcPr>
            <w:tcW w:w="708" w:type="dxa"/>
            <w:vMerge w:val="continue"/>
            <w:noWrap w:val="0"/>
            <w:vAlign w:val="center"/>
          </w:tcPr>
          <w:p>
            <w:pPr>
              <w:pStyle w:val="200"/>
              <w:widowControl/>
              <w:spacing w:line="240" w:lineRule="auto"/>
              <w:ind w:firstLine="0" w:firstLineChars="0"/>
              <w:jc w:val="left"/>
              <w:rPr>
                <w:rStyle w:val="44"/>
                <w:rFonts w:ascii="宋体" w:hAnsi="宋体" w:eastAsia="宋体" w:cs="Times New Roman"/>
                <w:kern w:val="2"/>
                <w:sz w:val="21"/>
                <w:szCs w:val="21"/>
                <w:lang w:val="en-US" w:eastAsia="zh-CN" w:bidi="ar-SA"/>
              </w:rPr>
            </w:pPr>
            <w:r>
              <w:rPr>
                <w:rStyle w:val="44"/>
                <w:rFonts w:hint="eastAsia" w:ascii="宋体" w:hAnsi="宋体" w:eastAsia="宋体" w:cs="Times New Roman"/>
                <w:kern w:val="2"/>
                <w:sz w:val="21"/>
                <w:szCs w:val="21"/>
                <w:lang w:val="en-US" w:eastAsia="zh-CN" w:bidi="ar-SA"/>
              </w:rPr>
              <w:t>乐山市市中区建设用地污染风险重点管控区2</w:t>
            </w:r>
          </w:p>
        </w:tc>
        <w:tc>
          <w:tcPr>
            <w:tcW w:w="5324" w:type="dxa"/>
            <w:vMerge w:val="continue"/>
            <w:noWrap w:val="0"/>
            <w:vAlign w:val="center"/>
          </w:tcPr>
          <w:p>
            <w:pPr>
              <w:pStyle w:val="200"/>
              <w:widowControl w:val="0"/>
              <w:spacing w:line="360" w:lineRule="auto"/>
              <w:ind w:firstLine="0" w:firstLineChars="0"/>
              <w:jc w:val="both"/>
              <w:rPr>
                <w:rStyle w:val="44"/>
                <w:rFonts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空间布局约束：</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禁止开发建设活动的要求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限制开发建设活动的要求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不符合空间布局要求活动的退出要求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其他空间布局约束要求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污染物排放管控：</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允许排放量要求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现有源提标升级改造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其他污染物排放管控要求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环境风险防控：</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联防联控要求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其他环境风险防控要求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资源开发利用效率要求：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水资源利用总量要求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地下水开采要求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能源利用总量及效率要求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禁燃区要求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其他资源利用效率要求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tc>
        <w:tc>
          <w:tcPr>
            <w:tcW w:w="1232" w:type="dxa"/>
            <w:noWrap w:val="0"/>
            <w:vAlign w:val="center"/>
          </w:tcPr>
          <w:p>
            <w:pPr>
              <w:pStyle w:val="200"/>
              <w:widowControl/>
              <w:spacing w:line="240" w:lineRule="auto"/>
              <w:ind w:firstLine="0" w:firstLineChars="0"/>
              <w:jc w:val="center"/>
              <w:rPr>
                <w:rStyle w:val="44"/>
                <w:rFonts w:ascii="宋体" w:hAnsi="宋体" w:eastAsia="宋体" w:cs="Times New Roman"/>
                <w:kern w:val="2"/>
                <w:sz w:val="21"/>
                <w:szCs w:val="21"/>
                <w:lang w:val="en-US" w:eastAsia="zh-CN" w:bidi="ar-SA"/>
              </w:rPr>
            </w:pPr>
            <w:r>
              <w:rPr>
                <w:rStyle w:val="44"/>
                <w:rFonts w:hint="eastAsia" w:ascii="宋体" w:hAnsi="宋体" w:eastAsia="宋体" w:cs="Times New Roman"/>
                <w:kern w:val="2"/>
                <w:sz w:val="21"/>
                <w:szCs w:val="21"/>
                <w:lang w:val="en-US" w:eastAsia="zh-CN" w:bidi="ar-SA"/>
              </w:rPr>
              <w:t>环境风险防控</w:t>
            </w:r>
          </w:p>
        </w:tc>
        <w:tc>
          <w:tcPr>
            <w:tcW w:w="3661" w:type="dxa"/>
            <w:vMerge w:val="continue"/>
            <w:noWrap w:val="0"/>
            <w:vAlign w:val="center"/>
          </w:tcPr>
          <w:p>
            <w:pPr>
              <w:pStyle w:val="200"/>
              <w:widowControl/>
              <w:shd w:val="clear" w:color="auto" w:fill="FFFFFF"/>
              <w:spacing w:line="240" w:lineRule="auto"/>
              <w:ind w:firstLine="0" w:firstLineChars="0"/>
              <w:jc w:val="left"/>
              <w:rPr>
                <w:rStyle w:val="44"/>
                <w:rFonts w:ascii="宋体" w:hAnsi="宋体" w:eastAsia="宋体" w:cs="Times New Roman"/>
                <w:kern w:val="2"/>
                <w:sz w:val="21"/>
                <w:szCs w:val="21"/>
                <w:lang w:val="en-US" w:eastAsia="zh-CN" w:bidi="ar-SA"/>
              </w:rPr>
            </w:pPr>
            <w:r>
              <w:rPr>
                <w:rStyle w:val="44"/>
                <w:rFonts w:hint="eastAsia" w:ascii="宋体" w:hAnsi="宋体" w:eastAsia="宋体" w:cs="Times New Roman"/>
                <w:kern w:val="2"/>
                <w:sz w:val="21"/>
                <w:szCs w:val="21"/>
                <w:lang w:val="en-US" w:eastAsia="zh-CN" w:bidi="ar-SA"/>
              </w:rPr>
              <w:t>/</w:t>
            </w:r>
          </w:p>
        </w:tc>
        <w:tc>
          <w:tcPr>
            <w:tcW w:w="1952" w:type="dxa"/>
            <w:noWrap w:val="0"/>
            <w:vAlign w:val="center"/>
          </w:tcPr>
          <w:p>
            <w:pPr>
              <w:pStyle w:val="200"/>
              <w:widowControl/>
              <w:shd w:val="clear" w:color="auto" w:fill="FFFFFF"/>
              <w:spacing w:line="240" w:lineRule="auto"/>
              <w:ind w:firstLine="0" w:firstLineChars="0"/>
              <w:jc w:val="center"/>
              <w:rPr>
                <w:rStyle w:val="44"/>
                <w:rFonts w:hint="default" w:ascii="宋体" w:hAnsi="宋体" w:eastAsia="宋体" w:cs="Times New Roman"/>
                <w:kern w:val="2"/>
                <w:sz w:val="21"/>
                <w:szCs w:val="21"/>
                <w:lang w:val="en-US" w:eastAsia="zh-CN" w:bidi="ar-SA"/>
              </w:rPr>
            </w:pPr>
            <w:r>
              <w:rPr>
                <w:rStyle w:val="44"/>
                <w:rFonts w:hint="eastAsia" w:ascii="宋体" w:hAnsi="宋体" w:eastAsia="宋体" w:cs="Times New Roman"/>
                <w:kern w:val="2"/>
                <w:sz w:val="21"/>
                <w:szCs w:val="21"/>
                <w:lang w:val="en-US" w:eastAsia="zh-CN" w:bidi="ar-SA"/>
              </w:rPr>
              <w:t>/</w:t>
            </w:r>
          </w:p>
        </w:tc>
        <w:tc>
          <w:tcPr>
            <w:tcW w:w="793" w:type="dxa"/>
            <w:noWrap w:val="0"/>
            <w:vAlign w:val="center"/>
          </w:tcPr>
          <w:p>
            <w:pPr>
              <w:pStyle w:val="200"/>
              <w:widowControl/>
              <w:shd w:val="clear" w:color="auto" w:fill="FFFFFF"/>
              <w:spacing w:line="240" w:lineRule="auto"/>
              <w:ind w:firstLine="0" w:firstLineChars="0"/>
              <w:jc w:val="center"/>
              <w:rPr>
                <w:rStyle w:val="44"/>
                <w:rFonts w:hint="default" w:ascii="宋体" w:hAnsi="宋体" w:eastAsia="宋体" w:cs="Times New Roman"/>
                <w:kern w:val="2"/>
                <w:sz w:val="21"/>
                <w:szCs w:val="21"/>
                <w:lang w:val="en-US" w:eastAsia="zh-CN" w:bidi="ar-SA"/>
              </w:rPr>
            </w:pPr>
            <w:r>
              <w:rPr>
                <w:rStyle w:val="44"/>
                <w:rFonts w:hint="eastAsia" w:ascii="宋体" w:hAnsi="宋体" w:eastAsia="宋体" w:cs="Times New Roman"/>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1" w:type="dxa"/>
            <w:vMerge w:val="continue"/>
            <w:noWrap w:val="0"/>
            <w:vAlign w:val="center"/>
          </w:tcPr>
          <w:p>
            <w:pPr>
              <w:pStyle w:val="200"/>
              <w:widowControl/>
              <w:spacing w:line="240" w:lineRule="auto"/>
              <w:ind w:firstLine="0" w:firstLineChars="0"/>
              <w:jc w:val="left"/>
              <w:rPr>
                <w:rStyle w:val="44"/>
                <w:rFonts w:ascii="宋体" w:hAnsi="宋体" w:eastAsia="宋体" w:cs="Times New Roman"/>
                <w:kern w:val="2"/>
                <w:sz w:val="21"/>
                <w:szCs w:val="21"/>
                <w:lang w:val="en-US" w:eastAsia="zh-CN" w:bidi="ar-SA"/>
              </w:rPr>
            </w:pPr>
            <w:r>
              <w:rPr>
                <w:rStyle w:val="44"/>
                <w:rFonts w:hint="eastAsia" w:ascii="宋体" w:hAnsi="宋体" w:eastAsia="宋体" w:cs="Times New Roman"/>
                <w:kern w:val="2"/>
                <w:sz w:val="21"/>
                <w:szCs w:val="21"/>
                <w:lang w:val="en-US" w:eastAsia="zh-CN" w:bidi="ar-SA"/>
              </w:rPr>
              <w:t>YS5111022420002</w:t>
            </w:r>
          </w:p>
        </w:tc>
        <w:tc>
          <w:tcPr>
            <w:tcW w:w="708" w:type="dxa"/>
            <w:vMerge w:val="continue"/>
            <w:noWrap w:val="0"/>
            <w:vAlign w:val="center"/>
          </w:tcPr>
          <w:p>
            <w:pPr>
              <w:pStyle w:val="200"/>
              <w:widowControl/>
              <w:spacing w:line="240" w:lineRule="auto"/>
              <w:ind w:firstLine="0" w:firstLineChars="0"/>
              <w:jc w:val="left"/>
              <w:rPr>
                <w:rStyle w:val="44"/>
                <w:rFonts w:ascii="宋体" w:hAnsi="宋体" w:eastAsia="宋体" w:cs="Times New Roman"/>
                <w:kern w:val="2"/>
                <w:sz w:val="21"/>
                <w:szCs w:val="21"/>
                <w:lang w:val="en-US" w:eastAsia="zh-CN" w:bidi="ar-SA"/>
              </w:rPr>
            </w:pPr>
            <w:r>
              <w:rPr>
                <w:rStyle w:val="44"/>
                <w:rFonts w:hint="eastAsia" w:ascii="宋体" w:hAnsi="宋体" w:eastAsia="宋体" w:cs="Times New Roman"/>
                <w:kern w:val="2"/>
                <w:sz w:val="21"/>
                <w:szCs w:val="21"/>
                <w:lang w:val="en-US" w:eastAsia="zh-CN" w:bidi="ar-SA"/>
              </w:rPr>
              <w:t>乐山市市中区建设用地污染风险重点管控区2</w:t>
            </w:r>
          </w:p>
        </w:tc>
        <w:tc>
          <w:tcPr>
            <w:tcW w:w="5324" w:type="dxa"/>
            <w:vMerge w:val="continue"/>
            <w:noWrap w:val="0"/>
            <w:vAlign w:val="center"/>
          </w:tcPr>
          <w:p>
            <w:pPr>
              <w:pStyle w:val="200"/>
              <w:widowControl w:val="0"/>
              <w:spacing w:line="360" w:lineRule="auto"/>
              <w:ind w:firstLine="0" w:firstLineChars="0"/>
              <w:jc w:val="both"/>
              <w:rPr>
                <w:rStyle w:val="44"/>
                <w:rFonts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空间布局约束：</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禁止开发建设活动的要求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限制开发建设活动的要求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不符合空间布局要求活动的退出要求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其他空间布局约束要求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污染物排放管控：</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允许排放量要求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现有源提标升级改造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其他污染物排放管控要求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环境风险防控：</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联防联控要求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其他环境风险防控要求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资源开发利用效率要求：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水资源利用总量要求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地下水开采要求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能源利用总量及效率要求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禁燃区要求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其他资源利用效率要求</w:t>
            </w:r>
          </w:p>
          <w:p>
            <w:pPr>
              <w:pStyle w:val="200"/>
              <w:widowControl w:val="0"/>
              <w:spacing w:line="360" w:lineRule="auto"/>
              <w:ind w:firstLine="0" w:firstLineChars="0"/>
              <w:jc w:val="both"/>
              <w:rPr>
                <w:rStyle w:val="44"/>
                <w:rFonts w:hint="eastAsia" w:ascii="宋体" w:hAnsi="宋体" w:eastAsia="宋体" w:cs="宋体"/>
                <w:color w:val="000000"/>
                <w:kern w:val="0"/>
                <w:sz w:val="21"/>
                <w:szCs w:val="21"/>
                <w:lang w:val="en-US" w:eastAsia="zh-CN" w:bidi="ar-SA"/>
              </w:rPr>
            </w:pPr>
            <w:r>
              <w:rPr>
                <w:rStyle w:val="44"/>
                <w:rFonts w:hint="eastAsia" w:ascii="宋体" w:hAnsi="宋体" w:eastAsia="宋体" w:cs="宋体"/>
                <w:color w:val="000000"/>
                <w:kern w:val="0"/>
                <w:sz w:val="21"/>
                <w:szCs w:val="21"/>
                <w:lang w:val="en-US" w:eastAsia="zh-CN" w:bidi="ar-SA"/>
              </w:rPr>
              <w:t>暂无</w:t>
            </w:r>
          </w:p>
        </w:tc>
        <w:tc>
          <w:tcPr>
            <w:tcW w:w="1232" w:type="dxa"/>
            <w:noWrap w:val="0"/>
            <w:vAlign w:val="center"/>
          </w:tcPr>
          <w:p>
            <w:pPr>
              <w:pStyle w:val="200"/>
              <w:widowControl/>
              <w:spacing w:line="240" w:lineRule="auto"/>
              <w:ind w:firstLine="0" w:firstLineChars="0"/>
              <w:jc w:val="center"/>
              <w:rPr>
                <w:rStyle w:val="44"/>
                <w:rFonts w:ascii="宋体" w:hAnsi="宋体" w:eastAsia="宋体" w:cs="Times New Roman"/>
                <w:kern w:val="2"/>
                <w:sz w:val="21"/>
                <w:szCs w:val="21"/>
                <w:lang w:val="en-US" w:eastAsia="zh-CN" w:bidi="ar-SA"/>
              </w:rPr>
            </w:pPr>
            <w:r>
              <w:rPr>
                <w:rStyle w:val="44"/>
                <w:rFonts w:hint="eastAsia" w:ascii="宋体" w:hAnsi="宋体" w:eastAsia="宋体" w:cs="Times New Roman"/>
                <w:kern w:val="2"/>
                <w:sz w:val="21"/>
                <w:szCs w:val="21"/>
                <w:lang w:val="en-US" w:eastAsia="zh-CN" w:bidi="ar-SA"/>
              </w:rPr>
              <w:t>资源开发效率要求</w:t>
            </w:r>
          </w:p>
        </w:tc>
        <w:tc>
          <w:tcPr>
            <w:tcW w:w="3661" w:type="dxa"/>
            <w:vMerge w:val="continue"/>
            <w:noWrap w:val="0"/>
            <w:vAlign w:val="center"/>
          </w:tcPr>
          <w:p>
            <w:pPr>
              <w:pStyle w:val="200"/>
              <w:widowControl/>
              <w:shd w:val="clear" w:color="auto" w:fill="FFFFFF"/>
              <w:spacing w:line="240" w:lineRule="auto"/>
              <w:ind w:firstLine="0" w:firstLineChars="0"/>
              <w:jc w:val="left"/>
              <w:rPr>
                <w:rStyle w:val="44"/>
                <w:rFonts w:ascii="宋体" w:hAnsi="宋体" w:eastAsia="宋体" w:cs="Times New Roman"/>
                <w:kern w:val="2"/>
                <w:sz w:val="21"/>
                <w:szCs w:val="21"/>
                <w:lang w:val="en-US" w:eastAsia="zh-CN" w:bidi="ar-SA"/>
              </w:rPr>
            </w:pPr>
            <w:r>
              <w:rPr>
                <w:rStyle w:val="44"/>
                <w:rFonts w:hint="eastAsia" w:ascii="宋体" w:hAnsi="宋体" w:eastAsia="宋体" w:cs="Times New Roman"/>
                <w:kern w:val="2"/>
                <w:sz w:val="21"/>
                <w:szCs w:val="21"/>
                <w:lang w:val="en-US" w:eastAsia="zh-CN" w:bidi="ar-SA"/>
              </w:rPr>
              <w:t>/</w:t>
            </w:r>
          </w:p>
        </w:tc>
        <w:tc>
          <w:tcPr>
            <w:tcW w:w="1952" w:type="dxa"/>
            <w:noWrap w:val="0"/>
            <w:vAlign w:val="center"/>
          </w:tcPr>
          <w:p>
            <w:pPr>
              <w:pStyle w:val="200"/>
              <w:widowControl/>
              <w:shd w:val="clear" w:color="auto" w:fill="FFFFFF"/>
              <w:spacing w:line="240" w:lineRule="auto"/>
              <w:ind w:firstLine="0" w:firstLineChars="0"/>
              <w:jc w:val="center"/>
              <w:rPr>
                <w:rStyle w:val="44"/>
                <w:rFonts w:hint="default" w:ascii="宋体" w:hAnsi="宋体" w:eastAsia="宋体" w:cs="Times New Roman"/>
                <w:kern w:val="2"/>
                <w:sz w:val="21"/>
                <w:szCs w:val="21"/>
                <w:lang w:val="en-US" w:eastAsia="zh-CN" w:bidi="ar-SA"/>
              </w:rPr>
            </w:pPr>
            <w:r>
              <w:rPr>
                <w:rStyle w:val="44"/>
                <w:rFonts w:hint="eastAsia" w:ascii="宋体" w:hAnsi="宋体" w:eastAsia="宋体" w:cs="Times New Roman"/>
                <w:kern w:val="2"/>
                <w:sz w:val="21"/>
                <w:szCs w:val="21"/>
                <w:lang w:val="en-US" w:eastAsia="zh-CN" w:bidi="ar-SA"/>
              </w:rPr>
              <w:t>/</w:t>
            </w:r>
          </w:p>
        </w:tc>
        <w:tc>
          <w:tcPr>
            <w:tcW w:w="793" w:type="dxa"/>
            <w:noWrap w:val="0"/>
            <w:vAlign w:val="center"/>
          </w:tcPr>
          <w:p>
            <w:pPr>
              <w:pStyle w:val="200"/>
              <w:widowControl/>
              <w:shd w:val="clear" w:color="auto" w:fill="FFFFFF"/>
              <w:spacing w:line="240" w:lineRule="auto"/>
              <w:ind w:firstLine="0" w:firstLineChars="0"/>
              <w:jc w:val="center"/>
              <w:rPr>
                <w:rStyle w:val="44"/>
                <w:rFonts w:hint="default" w:ascii="宋体" w:hAnsi="宋体" w:eastAsia="宋体" w:cs="Times New Roman"/>
                <w:kern w:val="2"/>
                <w:sz w:val="21"/>
                <w:szCs w:val="21"/>
                <w:lang w:val="en-US" w:eastAsia="zh-CN" w:bidi="ar-SA"/>
              </w:rPr>
            </w:pPr>
            <w:r>
              <w:rPr>
                <w:rStyle w:val="44"/>
                <w:rFonts w:hint="eastAsia" w:ascii="宋体" w:hAnsi="宋体" w:eastAsia="宋体" w:cs="Times New Roman"/>
                <w:kern w:val="2"/>
                <w:sz w:val="21"/>
                <w:szCs w:val="21"/>
                <w:lang w:val="en-US" w:eastAsia="zh-CN" w:bidi="ar-SA"/>
              </w:rPr>
              <w:t>/</w:t>
            </w:r>
          </w:p>
        </w:tc>
      </w:tr>
    </w:tbl>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outlineLvl w:val="9"/>
        <w:rPr>
          <w:rFonts w:hint="eastAsia" w:eastAsia="宋体"/>
          <w:lang w:val="en-US" w:eastAsia="zh-CN"/>
        </w:rPr>
        <w:sectPr>
          <w:pgSz w:w="16838" w:h="11906" w:orient="landscape"/>
          <w:pgMar w:top="1531" w:right="1701" w:bottom="1531" w:left="1701" w:header="851" w:footer="1077" w:gutter="0"/>
          <w:pgBorders>
            <w:top w:val="none" w:sz="0" w:space="0"/>
            <w:left w:val="none" w:sz="0" w:space="0"/>
            <w:bottom w:val="none" w:sz="0" w:space="0"/>
            <w:right w:val="none" w:sz="0" w:space="0"/>
          </w:pgBorders>
          <w:pgNumType w:fmt="decimal"/>
          <w:cols w:space="720" w:num="1"/>
          <w:docGrid w:linePitch="312" w:charSpace="0"/>
        </w:sectPr>
      </w:pPr>
    </w:p>
    <w:p>
      <w:pPr>
        <w:pStyle w:val="37"/>
        <w:jc w:val="center"/>
        <w:outlineLvl w:val="0"/>
        <w:rPr>
          <w:rFonts w:hint="default" w:ascii="Times New Roman" w:hAnsi="Times New Roman" w:eastAsia="黑体" w:cs="Times New Roman"/>
          <w:snapToGrid w:val="0"/>
          <w:color w:val="auto"/>
          <w:sz w:val="30"/>
          <w:szCs w:val="30"/>
          <w:highlight w:val="none"/>
        </w:rPr>
      </w:pPr>
      <w:r>
        <w:rPr>
          <w:rFonts w:hint="default" w:ascii="Times New Roman" w:hAnsi="Times New Roman" w:eastAsia="黑体" w:cs="Times New Roman"/>
          <w:snapToGrid w:val="0"/>
          <w:color w:val="auto"/>
          <w:sz w:val="30"/>
          <w:szCs w:val="30"/>
          <w:highlight w:val="none"/>
        </w:rPr>
        <w:t>二、建设项目工程分析</w:t>
      </w:r>
    </w:p>
    <w:tbl>
      <w:tblPr>
        <w:tblStyle w:val="4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23"/>
        <w:gridCol w:w="816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45" w:hRule="atLeast"/>
          <w:jc w:val="center"/>
        </w:trPr>
        <w:tc>
          <w:tcPr>
            <w:tcW w:w="823" w:type="dxa"/>
            <w:noWrap w:val="0"/>
            <w:vAlign w:val="center"/>
          </w:tcPr>
          <w:p>
            <w:pPr>
              <w:pStyle w:val="37"/>
              <w:adjustRightInd w:val="0"/>
              <w:snapToGrid w:val="0"/>
              <w:spacing w:before="0" w:beforeAutospacing="0" w:after="0" w:afterAutospacing="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建设内容</w:t>
            </w:r>
          </w:p>
        </w:tc>
        <w:tc>
          <w:tcPr>
            <w:tcW w:w="8161" w:type="dxa"/>
            <w:noWrap w:val="0"/>
            <w:vAlign w:val="top"/>
          </w:tcPr>
          <w:p>
            <w:pPr>
              <w:keepNext w:val="0"/>
              <w:keepLines w:val="0"/>
              <w:pageBreakBefore w:val="0"/>
              <w:widowControl w:val="0"/>
              <w:kinsoku/>
              <w:wordWrap/>
              <w:overflowPunct/>
              <w:topLinePunct w:val="0"/>
              <w:autoSpaceDE w:val="0"/>
              <w:autoSpaceDN w:val="0"/>
              <w:bidi w:val="0"/>
              <w:adjustRightInd w:val="0"/>
              <w:snapToGrid w:val="0"/>
              <w:spacing w:line="360" w:lineRule="auto"/>
              <w:ind w:firstLine="442" w:firstLineChars="200"/>
              <w:jc w:val="left"/>
              <w:textAlignment w:val="auto"/>
              <w:outlineLvl w:val="9"/>
              <w:rPr>
                <w:rFonts w:hint="default" w:ascii="Times New Roman" w:hAnsi="Times New Roman" w:cs="Times New Roman"/>
                <w:bCs/>
                <w:color w:val="auto"/>
                <w:sz w:val="22"/>
                <w:szCs w:val="22"/>
                <w:highlight w:val="none"/>
              </w:rPr>
            </w:pPr>
            <w:r>
              <w:rPr>
                <w:rFonts w:hint="eastAsia" w:ascii="Times New Roman" w:hAnsi="Times New Roman" w:cs="Times New Roman"/>
                <w:b/>
                <w:bCs/>
                <w:color w:val="auto"/>
                <w:kern w:val="0"/>
                <w:sz w:val="22"/>
                <w:szCs w:val="22"/>
                <w:highlight w:val="none"/>
                <w:lang w:val="en-US" w:eastAsia="zh-CN"/>
              </w:rPr>
              <w:t>1、项目由来</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40" w:firstLineChars="200"/>
              <w:jc w:val="both"/>
              <w:textAlignment w:val="auto"/>
              <w:outlineLvl w:val="9"/>
              <w:rPr>
                <w:rFonts w:hint="eastAsia" w:hAnsi="Times New Roman" w:eastAsia="宋体"/>
                <w:b w:val="0"/>
                <w:sz w:val="22"/>
                <w:szCs w:val="22"/>
                <w:highlight w:val="none"/>
                <w:lang w:val="en-US" w:eastAsia="zh-CN"/>
              </w:rPr>
            </w:pPr>
            <w:r>
              <w:rPr>
                <w:rFonts w:hint="eastAsia" w:hAnsi="Times New Roman"/>
                <w:b w:val="0"/>
                <w:sz w:val="22"/>
                <w:szCs w:val="22"/>
                <w:highlight w:val="none"/>
              </w:rPr>
              <w:t>夹层玻璃，就是在两块玻璃之间夹进一层以聚乙烯醇缩丁醛为主要成分的PVB中间膜。玻璃即使碎裂，碎片也会被粘在薄膜上，破碎的玻璃表面仍保持整洁光滑。这就有效防止了碎片扎伤和穿透坠落事件的发生，确保了人身安全。</w:t>
            </w:r>
            <w:r>
              <w:rPr>
                <w:rFonts w:hint="eastAsia" w:hAnsi="Times New Roman"/>
                <w:b w:val="0"/>
                <w:sz w:val="22"/>
                <w:szCs w:val="22"/>
                <w:highlight w:val="none"/>
                <w:lang w:val="en-US" w:eastAsia="zh-CN"/>
              </w:rPr>
              <w:t>同时，它的隔音性能比普通玻璃强数倍，可降低噪音，从而营造出宜人的内部安静而又舒适的环境，且可以屏蔽掉99%以上的太阳光线中的有害射线，这大大有助于保护人们的肌肤健康及室内建筑物陈设、家具、展览品、商品等免受紫外线的照射伤害，有利于人类的工作、生活及健康。</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40" w:firstLineChars="200"/>
              <w:jc w:val="both"/>
              <w:textAlignment w:val="auto"/>
              <w:outlineLvl w:val="9"/>
              <w:rPr>
                <w:rFonts w:hint="eastAsia" w:hAnsi="Times New Roman"/>
                <w:b w:val="0"/>
                <w:sz w:val="22"/>
                <w:szCs w:val="22"/>
                <w:highlight w:val="none"/>
              </w:rPr>
            </w:pPr>
            <w:r>
              <w:rPr>
                <w:rFonts w:hint="eastAsia" w:hAnsi="Times New Roman"/>
                <w:b w:val="0"/>
                <w:sz w:val="22"/>
                <w:szCs w:val="22"/>
                <w:highlight w:val="none"/>
                <w:lang w:val="en-US" w:eastAsia="zh-CN"/>
              </w:rPr>
              <w:t>面对市场的快速发展和需求，</w:t>
            </w:r>
            <w:r>
              <w:rPr>
                <w:rFonts w:hint="eastAsia" w:ascii="Times New Roman" w:hAnsi="Times New Roman" w:cs="Times New Roman"/>
                <w:bCs/>
                <w:color w:val="auto"/>
                <w:sz w:val="22"/>
                <w:szCs w:val="22"/>
                <w:highlight w:val="none"/>
                <w:lang w:eastAsia="zh-CN"/>
              </w:rPr>
              <w:t>经乐山市中区发展和改革局备案（</w:t>
            </w:r>
            <w:r>
              <w:rPr>
                <w:rFonts w:hint="eastAsia" w:ascii="Times New Roman" w:hAnsi="Times New Roman" w:cs="Times New Roman"/>
                <w:color w:val="auto"/>
                <w:kern w:val="0"/>
                <w:sz w:val="22"/>
                <w:szCs w:val="22"/>
                <w:highlight w:val="none"/>
                <w:lang w:eastAsia="zh-CN"/>
              </w:rPr>
              <w:t>川投资备【2302-511102-04-01-531656】FGQB-0020号</w:t>
            </w:r>
            <w:r>
              <w:rPr>
                <w:rFonts w:hint="eastAsia" w:ascii="Times New Roman" w:hAnsi="Times New Roman" w:cs="Times New Roman"/>
                <w:bCs/>
                <w:color w:val="auto"/>
                <w:sz w:val="22"/>
                <w:szCs w:val="22"/>
                <w:highlight w:val="none"/>
                <w:lang w:eastAsia="zh-CN"/>
              </w:rPr>
              <w:t>），</w:t>
            </w:r>
            <w:r>
              <w:rPr>
                <w:rFonts w:hint="eastAsia" w:hAnsi="Times New Roman"/>
                <w:b w:val="0"/>
                <w:sz w:val="22"/>
                <w:szCs w:val="22"/>
                <w:highlight w:val="none"/>
                <w:lang w:val="en-US" w:eastAsia="zh-CN"/>
              </w:rPr>
              <w:t>四川珑博新材料有限公司拟投资3000万元，在嘉州工业园水口园区内</w:t>
            </w:r>
            <w:r>
              <w:rPr>
                <w:rFonts w:hint="eastAsia" w:hAnsi="Times New Roman"/>
                <w:b w:val="0"/>
                <w:sz w:val="22"/>
                <w:szCs w:val="22"/>
                <w:highlight w:val="none"/>
              </w:rPr>
              <w:t>建设</w:t>
            </w:r>
            <w:r>
              <w:rPr>
                <w:rFonts w:hint="eastAsia" w:hAnsi="Times New Roman"/>
                <w:b w:val="0"/>
                <w:sz w:val="22"/>
                <w:szCs w:val="22"/>
                <w:highlight w:val="none"/>
                <w:lang w:val="en-US" w:eastAsia="zh-CN"/>
              </w:rPr>
              <w:t>博物馆展柜玻璃加工项目，建设特种玻璃（夹层玻璃）生产线2条，达到年产夹层玻璃8万平方米的生产能力。</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40" w:firstLineChars="200"/>
              <w:jc w:val="left"/>
              <w:textAlignment w:val="auto"/>
              <w:outlineLvl w:val="9"/>
              <w:rPr>
                <w:rFonts w:hint="default" w:ascii="Times New Roman" w:hAnsi="Times New Roman" w:cs="Times New Roman"/>
                <w:bCs/>
                <w:color w:val="auto"/>
                <w:sz w:val="22"/>
                <w:szCs w:val="22"/>
                <w:highlight w:val="none"/>
              </w:rPr>
            </w:pPr>
            <w:r>
              <w:rPr>
                <w:rFonts w:hint="default" w:ascii="Times New Roman" w:hAnsi="Times New Roman" w:cs="Times New Roman"/>
                <w:bCs/>
                <w:color w:val="auto"/>
                <w:sz w:val="22"/>
                <w:szCs w:val="22"/>
                <w:highlight w:val="none"/>
              </w:rPr>
              <w:t>根据《建设项目环境影响评价分类管理名录》（</w:t>
            </w:r>
            <w:r>
              <w:rPr>
                <w:rFonts w:hint="eastAsia" w:ascii="Times New Roman" w:hAnsi="Times New Roman" w:cs="Times New Roman"/>
                <w:bCs/>
                <w:color w:val="auto"/>
                <w:sz w:val="22"/>
                <w:szCs w:val="22"/>
                <w:highlight w:val="none"/>
                <w:lang w:val="en-US" w:eastAsia="zh-CN"/>
              </w:rPr>
              <w:t>2021年版</w:t>
            </w:r>
            <w:r>
              <w:rPr>
                <w:rFonts w:hint="default" w:ascii="Times New Roman" w:hAnsi="Times New Roman" w:cs="Times New Roman"/>
                <w:bCs/>
                <w:color w:val="auto"/>
                <w:sz w:val="22"/>
                <w:szCs w:val="22"/>
                <w:highlight w:val="none"/>
              </w:rPr>
              <w:t>），本项目属于</w:t>
            </w:r>
            <w:r>
              <w:rPr>
                <w:rFonts w:hint="eastAsia" w:ascii="Times New Roman" w:hAnsi="Times New Roman" w:cs="Times New Roman"/>
                <w:bCs/>
                <w:color w:val="auto"/>
                <w:sz w:val="22"/>
                <w:szCs w:val="22"/>
                <w:highlight w:val="none"/>
                <w:lang w:eastAsia="zh-CN"/>
              </w:rPr>
              <w:t>“二十七、非金属矿物制品业</w:t>
            </w:r>
            <w:r>
              <w:rPr>
                <w:rFonts w:hint="default" w:ascii="Times New Roman" w:hAnsi="Times New Roman" w:cs="Times New Roman"/>
                <w:bCs/>
                <w:color w:val="auto"/>
                <w:sz w:val="22"/>
                <w:szCs w:val="22"/>
                <w:highlight w:val="none"/>
              </w:rPr>
              <w:t xml:space="preserve"> </w:t>
            </w:r>
            <w:r>
              <w:rPr>
                <w:rFonts w:hint="eastAsia" w:ascii="Times New Roman" w:hAnsi="Times New Roman" w:cs="Times New Roman"/>
                <w:bCs/>
                <w:color w:val="auto"/>
                <w:sz w:val="22"/>
                <w:szCs w:val="22"/>
                <w:highlight w:val="none"/>
                <w:lang w:val="en-US" w:eastAsia="zh-CN"/>
              </w:rPr>
              <w:t>57中</w:t>
            </w:r>
            <w:r>
              <w:rPr>
                <w:rFonts w:hint="eastAsia" w:ascii="Times New Roman" w:hAnsi="Times New Roman" w:cs="Times New Roman"/>
                <w:bCs/>
                <w:color w:val="auto"/>
                <w:sz w:val="22"/>
                <w:szCs w:val="22"/>
                <w:highlight w:val="none"/>
                <w:lang w:eastAsia="zh-CN"/>
              </w:rPr>
              <w:t>玻璃制造</w:t>
            </w:r>
            <w:r>
              <w:rPr>
                <w:rFonts w:hint="eastAsia" w:ascii="Times New Roman" w:hAnsi="Times New Roman" w:cs="Times New Roman"/>
                <w:bCs/>
                <w:color w:val="auto"/>
                <w:sz w:val="22"/>
                <w:szCs w:val="22"/>
                <w:highlight w:val="none"/>
                <w:lang w:val="en-US" w:eastAsia="zh-CN"/>
              </w:rPr>
              <w:t xml:space="preserve"> 304 特种玻璃制造</w:t>
            </w:r>
            <w:r>
              <w:rPr>
                <w:rFonts w:hint="eastAsia" w:ascii="Times New Roman" w:hAnsi="Times New Roman" w:cs="Times New Roman"/>
                <w:bCs/>
                <w:color w:val="auto"/>
                <w:sz w:val="22"/>
                <w:szCs w:val="22"/>
                <w:highlight w:val="none"/>
                <w:lang w:eastAsia="zh-CN"/>
              </w:rPr>
              <w:t>”，</w:t>
            </w:r>
            <w:r>
              <w:rPr>
                <w:rFonts w:hint="default" w:ascii="Times New Roman" w:hAnsi="Times New Roman" w:cs="Times New Roman"/>
                <w:bCs/>
                <w:color w:val="auto"/>
                <w:sz w:val="22"/>
                <w:szCs w:val="22"/>
                <w:highlight w:val="none"/>
              </w:rPr>
              <w:t>应当编制环境影响报告表。</w:t>
            </w:r>
            <w:r>
              <w:rPr>
                <w:rFonts w:hint="eastAsia" w:ascii="Times New Roman" w:hAnsi="Times New Roman" w:cs="Times New Roman"/>
                <w:bCs/>
                <w:color w:val="auto"/>
                <w:sz w:val="22"/>
                <w:szCs w:val="22"/>
                <w:highlight w:val="none"/>
                <w:lang w:eastAsia="zh-CN"/>
              </w:rPr>
              <w:t>为此，四川珑博新材料有限公司</w:t>
            </w:r>
            <w:r>
              <w:rPr>
                <w:rFonts w:hint="default" w:ascii="Times New Roman" w:hAnsi="Times New Roman" w:cs="Times New Roman"/>
                <w:bCs/>
                <w:color w:val="auto"/>
                <w:sz w:val="22"/>
                <w:szCs w:val="22"/>
                <w:highlight w:val="none"/>
              </w:rPr>
              <w:t>委托</w:t>
            </w:r>
            <w:r>
              <w:rPr>
                <w:rFonts w:hint="eastAsia" w:ascii="Times New Roman" w:hAnsi="Times New Roman" w:cs="Times New Roman"/>
                <w:bCs/>
                <w:color w:val="auto"/>
                <w:sz w:val="22"/>
                <w:szCs w:val="22"/>
                <w:highlight w:val="none"/>
                <w:lang w:eastAsia="zh-CN"/>
              </w:rPr>
              <w:t>四川乐水清山环保技术咨询有限公司（以下简称“我公司”）进行</w:t>
            </w:r>
            <w:r>
              <w:rPr>
                <w:rFonts w:hint="default" w:ascii="Times New Roman" w:hAnsi="Times New Roman" w:cs="Times New Roman"/>
                <w:bCs/>
                <w:color w:val="auto"/>
                <w:sz w:val="22"/>
                <w:szCs w:val="22"/>
                <w:highlight w:val="none"/>
              </w:rPr>
              <w:t>本项目的环境影响评价工作。我</w:t>
            </w:r>
            <w:r>
              <w:rPr>
                <w:rFonts w:hint="eastAsia" w:ascii="Times New Roman" w:hAnsi="Times New Roman" w:cs="Times New Roman"/>
                <w:bCs/>
                <w:color w:val="auto"/>
                <w:sz w:val="22"/>
                <w:szCs w:val="22"/>
                <w:highlight w:val="none"/>
                <w:lang w:eastAsia="zh-CN"/>
              </w:rPr>
              <w:t>公司</w:t>
            </w:r>
            <w:r>
              <w:rPr>
                <w:rFonts w:hint="default" w:ascii="Times New Roman" w:hAnsi="Times New Roman" w:cs="Times New Roman"/>
                <w:bCs/>
                <w:color w:val="auto"/>
                <w:sz w:val="22"/>
                <w:szCs w:val="22"/>
                <w:highlight w:val="none"/>
              </w:rPr>
              <w:t>在接受该项目环境影响报告表编制工作后，积极开展现场踏勘、资料收集、整理工作。在掌握了充分的资料数据基础上，对有关环境现状和可能产生的环境影响进行分析后，按照《环境影响评价技术导则》相关标准和规范的要求，进行</w:t>
            </w:r>
            <w:r>
              <w:rPr>
                <w:rFonts w:hint="eastAsia" w:ascii="Times New Roman" w:hAnsi="Times New Roman" w:cs="Times New Roman"/>
                <w:bCs/>
                <w:color w:val="auto"/>
                <w:sz w:val="22"/>
                <w:szCs w:val="22"/>
                <w:highlight w:val="none"/>
                <w:lang w:eastAsia="zh-CN"/>
              </w:rPr>
              <w:t>“博物馆展柜玻璃加工”</w:t>
            </w:r>
            <w:r>
              <w:rPr>
                <w:rFonts w:hint="default" w:ascii="Times New Roman" w:hAnsi="Times New Roman" w:cs="Times New Roman"/>
                <w:bCs/>
                <w:color w:val="auto"/>
                <w:sz w:val="22"/>
                <w:szCs w:val="22"/>
                <w:highlight w:val="none"/>
              </w:rPr>
              <w:t>环境影响报告表的环评编制工作。</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42" w:firstLineChars="200"/>
              <w:jc w:val="left"/>
              <w:textAlignment w:val="auto"/>
              <w:outlineLvl w:val="9"/>
              <w:rPr>
                <w:rFonts w:hint="eastAsia" w:ascii="Times New Roman" w:hAnsi="Times New Roman" w:eastAsia="宋体" w:cs="Times New Roman"/>
                <w:b/>
                <w:bCs w:val="0"/>
                <w:color w:val="auto"/>
                <w:sz w:val="22"/>
                <w:szCs w:val="22"/>
                <w:highlight w:val="none"/>
                <w:lang w:val="en-US" w:eastAsia="zh-CN"/>
              </w:rPr>
            </w:pPr>
            <w:r>
              <w:rPr>
                <w:rFonts w:hint="eastAsia" w:ascii="Times New Roman" w:hAnsi="Times New Roman" w:cs="Times New Roman"/>
                <w:b/>
                <w:bCs w:val="0"/>
                <w:color w:val="auto"/>
                <w:sz w:val="22"/>
                <w:szCs w:val="22"/>
                <w:highlight w:val="none"/>
                <w:lang w:val="en-US" w:eastAsia="zh-CN"/>
              </w:rPr>
              <w:t>2、项目概况</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42" w:firstLineChars="200"/>
              <w:jc w:val="left"/>
              <w:textAlignment w:val="auto"/>
              <w:outlineLvl w:val="9"/>
              <w:rPr>
                <w:rFonts w:hint="eastAsia" w:ascii="Times New Roman" w:hAnsi="Times New Roman" w:cs="Times New Roman"/>
                <w:b/>
                <w:bCs w:val="0"/>
                <w:color w:val="auto"/>
                <w:sz w:val="22"/>
                <w:szCs w:val="22"/>
                <w:highlight w:val="none"/>
                <w:lang w:eastAsia="zh-CN"/>
              </w:rPr>
            </w:pPr>
            <w:r>
              <w:rPr>
                <w:rFonts w:hint="eastAsia" w:ascii="Times New Roman" w:hAnsi="Times New Roman" w:cs="Times New Roman"/>
                <w:b/>
                <w:bCs w:val="0"/>
                <w:color w:val="auto"/>
                <w:sz w:val="22"/>
                <w:szCs w:val="22"/>
                <w:highlight w:val="none"/>
                <w:lang w:val="en-US" w:eastAsia="zh-CN"/>
              </w:rPr>
              <w:t xml:space="preserve">2.1 </w:t>
            </w:r>
            <w:r>
              <w:rPr>
                <w:rFonts w:hint="eastAsia" w:ascii="Times New Roman" w:hAnsi="Times New Roman" w:cs="Times New Roman"/>
                <w:b/>
                <w:bCs w:val="0"/>
                <w:color w:val="auto"/>
                <w:sz w:val="22"/>
                <w:szCs w:val="22"/>
                <w:highlight w:val="none"/>
                <w:lang w:eastAsia="zh-CN"/>
              </w:rPr>
              <w:t>项目基本情况</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40" w:firstLineChars="200"/>
              <w:jc w:val="left"/>
              <w:textAlignment w:val="auto"/>
              <w:outlineLvl w:val="9"/>
              <w:rPr>
                <w:rFonts w:hint="eastAsia" w:ascii="Times New Roman" w:hAnsi="Times New Roman" w:eastAsia="宋体" w:cs="Times New Roman"/>
                <w:bCs/>
                <w:color w:val="auto"/>
                <w:sz w:val="22"/>
                <w:szCs w:val="22"/>
                <w:highlight w:val="none"/>
                <w:lang w:eastAsia="zh-CN"/>
              </w:rPr>
            </w:pPr>
            <w:r>
              <w:rPr>
                <w:rFonts w:hint="eastAsia" w:ascii="Times New Roman" w:hAnsi="Times New Roman" w:cs="Times New Roman"/>
                <w:bCs/>
                <w:color w:val="auto"/>
                <w:sz w:val="22"/>
                <w:szCs w:val="22"/>
                <w:highlight w:val="none"/>
                <w:lang w:eastAsia="zh-CN"/>
              </w:rPr>
              <w:t>项目名称：博物馆展柜玻璃加工</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40" w:firstLineChars="200"/>
              <w:jc w:val="left"/>
              <w:textAlignment w:val="auto"/>
              <w:outlineLvl w:val="9"/>
              <w:rPr>
                <w:rFonts w:hint="eastAsia" w:ascii="Times New Roman" w:hAnsi="Times New Roman" w:eastAsia="宋体" w:cs="Times New Roman"/>
                <w:bCs/>
                <w:color w:val="auto"/>
                <w:sz w:val="22"/>
                <w:szCs w:val="22"/>
                <w:highlight w:val="none"/>
                <w:lang w:eastAsia="zh-CN"/>
              </w:rPr>
            </w:pPr>
            <w:r>
              <w:rPr>
                <w:rFonts w:hint="eastAsia" w:ascii="Times New Roman" w:hAnsi="Times New Roman" w:cs="Times New Roman"/>
                <w:bCs/>
                <w:color w:val="auto"/>
                <w:sz w:val="22"/>
                <w:szCs w:val="22"/>
                <w:highlight w:val="none"/>
                <w:lang w:eastAsia="zh-CN"/>
              </w:rPr>
              <w:t>建设单位：四川珑博新材料有限公司</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40" w:firstLineChars="200"/>
              <w:jc w:val="left"/>
              <w:textAlignment w:val="auto"/>
              <w:outlineLvl w:val="9"/>
              <w:rPr>
                <w:rFonts w:hint="eastAsia" w:ascii="Times New Roman" w:hAnsi="Times New Roman" w:eastAsia="宋体" w:cs="Times New Roman"/>
                <w:bCs/>
                <w:color w:val="auto"/>
                <w:sz w:val="22"/>
                <w:szCs w:val="22"/>
                <w:highlight w:val="none"/>
                <w:lang w:val="en-US" w:eastAsia="zh-CN"/>
              </w:rPr>
            </w:pPr>
            <w:r>
              <w:rPr>
                <w:rFonts w:hint="eastAsia" w:ascii="Times New Roman" w:hAnsi="Times New Roman" w:cs="Times New Roman"/>
                <w:bCs/>
                <w:color w:val="auto"/>
                <w:sz w:val="22"/>
                <w:szCs w:val="22"/>
                <w:highlight w:val="none"/>
                <w:lang w:eastAsia="zh-CN"/>
              </w:rPr>
              <w:t>建设地点：</w:t>
            </w:r>
            <w:r>
              <w:rPr>
                <w:rFonts w:hint="eastAsia" w:hAnsi="Times New Roman"/>
                <w:b w:val="0"/>
                <w:sz w:val="22"/>
                <w:szCs w:val="22"/>
                <w:highlight w:val="none"/>
                <w:lang w:val="en-US" w:eastAsia="zh-CN"/>
              </w:rPr>
              <w:t>四川省乐山市工业集中区（嘉州工业园水口园区）</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40" w:firstLineChars="200"/>
              <w:jc w:val="left"/>
              <w:textAlignment w:val="auto"/>
              <w:outlineLvl w:val="9"/>
              <w:rPr>
                <w:rFonts w:hint="eastAsia" w:ascii="Times New Roman" w:hAnsi="Times New Roman" w:eastAsia="宋体" w:cs="Times New Roman"/>
                <w:bCs/>
                <w:color w:val="auto"/>
                <w:sz w:val="22"/>
                <w:szCs w:val="22"/>
                <w:highlight w:val="none"/>
                <w:lang w:val="en-US" w:eastAsia="zh-CN"/>
              </w:rPr>
            </w:pPr>
            <w:r>
              <w:rPr>
                <w:rFonts w:hint="eastAsia" w:ascii="Times New Roman" w:hAnsi="Times New Roman" w:cs="Times New Roman"/>
                <w:bCs/>
                <w:color w:val="auto"/>
                <w:sz w:val="22"/>
                <w:szCs w:val="22"/>
                <w:highlight w:val="none"/>
                <w:lang w:eastAsia="zh-CN"/>
              </w:rPr>
              <w:t>建设性质：新建</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40" w:firstLineChars="200"/>
              <w:jc w:val="left"/>
              <w:textAlignment w:val="auto"/>
              <w:outlineLvl w:val="9"/>
              <w:rPr>
                <w:rFonts w:hint="eastAsia" w:ascii="Times New Roman" w:hAnsi="Times New Roman" w:eastAsia="宋体" w:cs="Times New Roman"/>
                <w:bCs/>
                <w:color w:val="auto"/>
                <w:sz w:val="22"/>
                <w:szCs w:val="22"/>
                <w:highlight w:val="none"/>
                <w:lang w:val="en-US" w:eastAsia="zh-CN"/>
              </w:rPr>
            </w:pPr>
            <w:r>
              <w:rPr>
                <w:rFonts w:hint="eastAsia" w:ascii="Times New Roman" w:hAnsi="Times New Roman" w:cs="Times New Roman"/>
                <w:bCs/>
                <w:color w:val="auto"/>
                <w:sz w:val="22"/>
                <w:szCs w:val="22"/>
                <w:highlight w:val="none"/>
                <w:lang w:eastAsia="zh-CN"/>
              </w:rPr>
              <w:t>占地面积：</w:t>
            </w:r>
            <w:r>
              <w:rPr>
                <w:rFonts w:hint="eastAsia" w:ascii="Times New Roman" w:hAnsi="Times New Roman" w:cs="Times New Roman"/>
                <w:bCs/>
                <w:color w:val="auto"/>
                <w:sz w:val="22"/>
                <w:szCs w:val="22"/>
                <w:highlight w:val="none"/>
                <w:lang w:val="en-US" w:eastAsia="zh-CN"/>
              </w:rPr>
              <w:t>13333.33m</w:t>
            </w:r>
            <w:r>
              <w:rPr>
                <w:rFonts w:hint="eastAsia" w:ascii="Times New Roman" w:hAnsi="Times New Roman" w:cs="Times New Roman"/>
                <w:bCs/>
                <w:color w:val="auto"/>
                <w:sz w:val="22"/>
                <w:szCs w:val="22"/>
                <w:highlight w:val="none"/>
                <w:vertAlign w:val="superscript"/>
                <w:lang w:val="en-US" w:eastAsia="zh-CN"/>
              </w:rPr>
              <w:t>2</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40" w:firstLineChars="200"/>
              <w:jc w:val="left"/>
              <w:textAlignment w:val="auto"/>
              <w:outlineLvl w:val="9"/>
              <w:rPr>
                <w:rFonts w:hint="eastAsia" w:ascii="Times New Roman" w:hAnsi="Times New Roman" w:eastAsia="宋体" w:cs="Times New Roman"/>
                <w:bCs/>
                <w:color w:val="auto"/>
                <w:sz w:val="22"/>
                <w:szCs w:val="22"/>
                <w:highlight w:val="none"/>
                <w:lang w:val="en-US" w:eastAsia="zh-CN"/>
              </w:rPr>
            </w:pPr>
            <w:r>
              <w:rPr>
                <w:rFonts w:hint="eastAsia" w:ascii="Times New Roman" w:hAnsi="Times New Roman" w:cs="Times New Roman"/>
                <w:bCs/>
                <w:color w:val="auto"/>
                <w:sz w:val="22"/>
                <w:szCs w:val="22"/>
                <w:highlight w:val="none"/>
                <w:lang w:eastAsia="zh-CN"/>
              </w:rPr>
              <w:t>总投资：</w:t>
            </w:r>
            <w:r>
              <w:rPr>
                <w:rFonts w:hint="eastAsia" w:ascii="Times New Roman" w:hAnsi="Times New Roman" w:cs="Times New Roman"/>
                <w:bCs/>
                <w:color w:val="auto"/>
                <w:sz w:val="22"/>
                <w:szCs w:val="22"/>
                <w:highlight w:val="none"/>
                <w:lang w:val="en-US" w:eastAsia="zh-CN"/>
              </w:rPr>
              <w:t>3000万元</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42" w:firstLineChars="200"/>
              <w:jc w:val="left"/>
              <w:textAlignment w:val="auto"/>
              <w:outlineLvl w:val="9"/>
              <w:rPr>
                <w:rFonts w:hint="eastAsia" w:ascii="Times New Roman" w:hAnsi="Times New Roman" w:cs="Times New Roman"/>
                <w:b/>
                <w:bCs w:val="0"/>
                <w:color w:val="auto"/>
                <w:sz w:val="22"/>
                <w:szCs w:val="22"/>
                <w:highlight w:val="none"/>
                <w:lang w:val="en-US" w:eastAsia="zh-CN"/>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42" w:firstLineChars="200"/>
              <w:jc w:val="left"/>
              <w:textAlignment w:val="auto"/>
              <w:outlineLvl w:val="9"/>
              <w:rPr>
                <w:rFonts w:hint="eastAsia" w:ascii="Times New Roman" w:hAnsi="Times New Roman" w:eastAsia="宋体" w:cs="Times New Roman"/>
                <w:b/>
                <w:bCs w:val="0"/>
                <w:color w:val="auto"/>
                <w:sz w:val="22"/>
                <w:szCs w:val="22"/>
                <w:highlight w:val="none"/>
                <w:lang w:eastAsia="zh-CN"/>
              </w:rPr>
            </w:pPr>
            <w:r>
              <w:rPr>
                <w:rFonts w:hint="eastAsia" w:ascii="Times New Roman" w:hAnsi="Times New Roman" w:cs="Times New Roman"/>
                <w:b/>
                <w:bCs w:val="0"/>
                <w:color w:val="auto"/>
                <w:sz w:val="22"/>
                <w:szCs w:val="22"/>
                <w:highlight w:val="none"/>
                <w:lang w:val="en-US" w:eastAsia="zh-CN"/>
              </w:rPr>
              <w:t xml:space="preserve">2.2 </w:t>
            </w:r>
            <w:r>
              <w:rPr>
                <w:rFonts w:hint="eastAsia" w:ascii="Times New Roman" w:hAnsi="Times New Roman" w:cs="Times New Roman"/>
                <w:b/>
                <w:bCs w:val="0"/>
                <w:color w:val="auto"/>
                <w:sz w:val="22"/>
                <w:szCs w:val="22"/>
                <w:highlight w:val="none"/>
                <w:lang w:eastAsia="zh-CN"/>
              </w:rPr>
              <w:t>建设内容及规模</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40" w:firstLineChars="200"/>
              <w:jc w:val="left"/>
              <w:textAlignment w:val="auto"/>
              <w:outlineLvl w:val="9"/>
              <w:rPr>
                <w:rFonts w:hint="eastAsia" w:ascii="Times New Roman" w:hAnsi="Times New Roman" w:eastAsia="宋体" w:cs="Times New Roman"/>
                <w:bCs/>
                <w:color w:val="auto"/>
                <w:sz w:val="22"/>
                <w:szCs w:val="22"/>
                <w:highlight w:val="none"/>
                <w:lang w:val="en-US" w:eastAsia="zh-CN"/>
              </w:rPr>
            </w:pPr>
            <w:r>
              <w:rPr>
                <w:rFonts w:hint="eastAsia" w:ascii="Times New Roman" w:hAnsi="Times New Roman" w:cs="Times New Roman"/>
                <w:bCs/>
                <w:color w:val="auto"/>
                <w:sz w:val="22"/>
                <w:szCs w:val="22"/>
                <w:highlight w:val="none"/>
                <w:lang w:val="en-US" w:eastAsia="zh-CN"/>
              </w:rPr>
              <w:t>项目占地13333.33m</w:t>
            </w:r>
            <w:r>
              <w:rPr>
                <w:rFonts w:hint="eastAsia" w:ascii="Times New Roman" w:hAnsi="Times New Roman" w:cs="Times New Roman"/>
                <w:bCs/>
                <w:color w:val="auto"/>
                <w:sz w:val="22"/>
                <w:szCs w:val="22"/>
                <w:highlight w:val="none"/>
                <w:vertAlign w:val="superscript"/>
                <w:lang w:val="en-US" w:eastAsia="zh-CN"/>
              </w:rPr>
              <w:t>2</w:t>
            </w:r>
            <w:r>
              <w:rPr>
                <w:rFonts w:hint="default" w:ascii="Times New Roman" w:hAnsi="Times New Roman" w:cs="Times New Roman"/>
                <w:bCs/>
                <w:color w:val="auto"/>
                <w:sz w:val="22"/>
                <w:szCs w:val="22"/>
                <w:highlight w:val="none"/>
              </w:rPr>
              <w:t>，</w:t>
            </w:r>
            <w:r>
              <w:rPr>
                <w:rFonts w:hint="eastAsia" w:hAnsi="Times New Roman"/>
                <w:b w:val="0"/>
                <w:sz w:val="22"/>
                <w:szCs w:val="22"/>
                <w:highlight w:val="none"/>
                <w:lang w:val="en-US" w:eastAsia="zh-CN"/>
              </w:rPr>
              <w:t>建设特种玻璃（夹层玻璃）生产线2条，达到年产夹层玻璃8万平方米的生产能力</w:t>
            </w:r>
            <w:r>
              <w:rPr>
                <w:rFonts w:hint="eastAsia" w:ascii="Times New Roman" w:hAnsi="Times New Roman" w:cs="Times New Roman"/>
                <w:bCs/>
                <w:color w:val="auto"/>
                <w:sz w:val="22"/>
                <w:szCs w:val="22"/>
                <w:highlight w:val="none"/>
                <w:lang w:val="en-US" w:eastAsia="zh-CN"/>
              </w:rPr>
              <w:t>。</w:t>
            </w:r>
            <w:r>
              <w:rPr>
                <w:rFonts w:hint="eastAsia" w:ascii="Times New Roman" w:hAnsi="Times New Roman" w:cs="Times New Roman"/>
                <w:bCs/>
                <w:color w:val="auto"/>
                <w:sz w:val="22"/>
                <w:szCs w:val="22"/>
                <w:highlight w:val="none"/>
                <w:lang w:eastAsia="zh-CN"/>
              </w:rPr>
              <w:t>项目组成情况见下表：</w:t>
            </w:r>
          </w:p>
          <w:p>
            <w:pPr>
              <w:adjustRightInd w:val="0"/>
              <w:jc w:val="center"/>
              <w:textAlignment w:val="baseline"/>
              <w:rPr>
                <w:rFonts w:hint="default" w:ascii="Times New Roman" w:hAnsi="Times New Roman" w:cs="Times New Roman"/>
                <w:color w:val="auto"/>
                <w:sz w:val="24"/>
                <w:highlight w:val="none"/>
              </w:rPr>
            </w:pPr>
            <w:r>
              <w:rPr>
                <w:rFonts w:hint="default" w:ascii="Times New Roman" w:hAnsi="Times New Roman" w:cs="Times New Roman"/>
                <w:b/>
                <w:bCs/>
                <w:color w:val="auto"/>
                <w:szCs w:val="21"/>
                <w:highlight w:val="none"/>
              </w:rPr>
              <w:t>表2-1 项目组成及主要环境问题表</w:t>
            </w:r>
          </w:p>
          <w:tbl>
            <w:tblPr>
              <w:tblStyle w:val="42"/>
              <w:tblW w:w="81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4"/>
              <w:gridCol w:w="901"/>
              <w:gridCol w:w="1330"/>
              <w:gridCol w:w="2731"/>
              <w:gridCol w:w="853"/>
              <w:gridCol w:w="1003"/>
              <w:gridCol w:w="6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555" w:type="dxa"/>
                  <w:gridSpan w:val="2"/>
                  <w:vMerge w:val="restart"/>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工程名称</w:t>
                  </w:r>
                </w:p>
              </w:tc>
              <w:tc>
                <w:tcPr>
                  <w:tcW w:w="4061" w:type="dxa"/>
                  <w:gridSpan w:val="2"/>
                  <w:vMerge w:val="restart"/>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建设内容及规模</w:t>
                  </w:r>
                </w:p>
              </w:tc>
              <w:tc>
                <w:tcPr>
                  <w:tcW w:w="1856" w:type="dxa"/>
                  <w:gridSpan w:val="2"/>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可能产生的环境问题</w:t>
                  </w:r>
                </w:p>
              </w:tc>
              <w:tc>
                <w:tcPr>
                  <w:tcW w:w="668" w:type="dxa"/>
                  <w:vMerge w:val="restart"/>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55" w:type="dxa"/>
                  <w:gridSpan w:val="2"/>
                  <w:vMerge w:val="continue"/>
                  <w:noWrap w:val="0"/>
                  <w:vAlign w:val="center"/>
                </w:tcPr>
                <w:p>
                  <w:pPr>
                    <w:jc w:val="center"/>
                    <w:rPr>
                      <w:rFonts w:hint="default" w:ascii="Times New Roman" w:hAnsi="Times New Roman" w:cs="Times New Roman"/>
                      <w:color w:val="auto"/>
                      <w:szCs w:val="21"/>
                      <w:highlight w:val="none"/>
                    </w:rPr>
                  </w:pPr>
                </w:p>
              </w:tc>
              <w:tc>
                <w:tcPr>
                  <w:tcW w:w="4061" w:type="dxa"/>
                  <w:gridSpan w:val="2"/>
                  <w:vMerge w:val="continue"/>
                  <w:noWrap w:val="0"/>
                  <w:vAlign w:val="center"/>
                </w:tcPr>
                <w:p>
                  <w:pPr>
                    <w:jc w:val="center"/>
                    <w:rPr>
                      <w:rFonts w:hint="default" w:ascii="Times New Roman" w:hAnsi="Times New Roman" w:cs="Times New Roman"/>
                      <w:color w:val="auto"/>
                      <w:szCs w:val="21"/>
                      <w:highlight w:val="none"/>
                    </w:rPr>
                  </w:pPr>
                </w:p>
              </w:tc>
              <w:tc>
                <w:tcPr>
                  <w:tcW w:w="853"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施工期</w:t>
                  </w:r>
                </w:p>
              </w:tc>
              <w:tc>
                <w:tcPr>
                  <w:tcW w:w="1003"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营运期</w:t>
                  </w:r>
                </w:p>
              </w:tc>
              <w:tc>
                <w:tcPr>
                  <w:tcW w:w="668" w:type="dxa"/>
                  <w:vMerge w:val="continue"/>
                  <w:noWrap w:val="0"/>
                  <w:vAlign w:val="center"/>
                </w:tcPr>
                <w:p>
                  <w:pPr>
                    <w:jc w:val="center"/>
                    <w:rPr>
                      <w:rFonts w:hint="default" w:ascii="Times New Roman" w:hAnsi="Times New Roman"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54"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主体工程</w:t>
                  </w:r>
                </w:p>
              </w:tc>
              <w:tc>
                <w:tcPr>
                  <w:tcW w:w="901"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生产车间</w:t>
                  </w:r>
                </w:p>
              </w:tc>
              <w:tc>
                <w:tcPr>
                  <w:tcW w:w="4061" w:type="dxa"/>
                  <w:gridSpan w:val="2"/>
                  <w:noWrap w:val="0"/>
                  <w:vAlign w:val="center"/>
                </w:tcPr>
                <w:p>
                  <w:pPr>
                    <w:rPr>
                      <w:rFonts w:hint="default"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1#楼，1F，</w:t>
                  </w:r>
                  <w:r>
                    <w:rPr>
                      <w:rFonts w:hint="default" w:ascii="Times New Roman" w:hAnsi="Times New Roman" w:eastAsia="宋体" w:cs="Times New Roman"/>
                      <w:color w:val="auto"/>
                      <w:szCs w:val="21"/>
                      <w:highlight w:val="none"/>
                      <w:lang w:eastAsia="zh-CN"/>
                    </w:rPr>
                    <w:t>占地</w:t>
                  </w:r>
                  <w:r>
                    <w:rPr>
                      <w:rFonts w:hint="eastAsia" w:ascii="Times New Roman" w:hAnsi="Times New Roman" w:eastAsia="宋体" w:cs="Times New Roman"/>
                      <w:color w:val="auto"/>
                      <w:szCs w:val="21"/>
                      <w:highlight w:val="none"/>
                      <w:lang w:val="en-US" w:eastAsia="zh-CN"/>
                    </w:rPr>
                    <w:t>约7600</w:t>
                  </w:r>
                  <w:r>
                    <w:rPr>
                      <w:rFonts w:hint="default" w:ascii="Times New Roman" w:hAnsi="Times New Roman" w:eastAsia="宋体" w:cs="Times New Roman"/>
                      <w:color w:val="auto"/>
                      <w:szCs w:val="21"/>
                      <w:highlight w:val="none"/>
                      <w:lang w:val="en-US" w:eastAsia="zh-CN"/>
                    </w:rPr>
                    <w:t>m</w:t>
                  </w:r>
                  <w:r>
                    <w:rPr>
                      <w:rFonts w:hint="default" w:ascii="Times New Roman" w:hAnsi="Times New Roman" w:eastAsia="宋体" w:cs="Times New Roman"/>
                      <w:color w:val="auto"/>
                      <w:szCs w:val="21"/>
                      <w:highlight w:val="none"/>
                      <w:vertAlign w:val="superscript"/>
                      <w:lang w:val="en-US" w:eastAsia="zh-CN"/>
                    </w:rPr>
                    <w:t>2</w:t>
                  </w:r>
                  <w:r>
                    <w:rPr>
                      <w:rFonts w:hint="default" w:ascii="Times New Roman" w:hAnsi="Times New Roman" w:eastAsia="宋体" w:cs="Times New Roman"/>
                      <w:color w:val="auto"/>
                      <w:szCs w:val="21"/>
                      <w:highlight w:val="none"/>
                      <w:lang w:val="en-US" w:eastAsia="zh-CN"/>
                    </w:rPr>
                    <w:t>，</w:t>
                  </w:r>
                  <w:r>
                    <w:rPr>
                      <w:rFonts w:hint="eastAsia" w:ascii="Times New Roman" w:hAnsi="Times New Roman" w:eastAsia="宋体" w:cs="Times New Roman"/>
                      <w:color w:val="auto"/>
                      <w:szCs w:val="21"/>
                      <w:highlight w:val="none"/>
                      <w:lang w:val="en-US" w:eastAsia="zh-CN"/>
                    </w:rPr>
                    <w:t>位于厂区北部，建设特种玻璃（夹层玻璃）生产线2条，达到年产夹层玻璃8万平方米的生产能力。车间内布置有喷漆房（7m×5m×3m）和晾干区（10m×5m×3m），均为密闭空间。</w:t>
                  </w:r>
                </w:p>
              </w:tc>
              <w:tc>
                <w:tcPr>
                  <w:tcW w:w="853" w:type="dxa"/>
                  <w:vMerge w:val="restart"/>
                  <w:noWrap w:val="0"/>
                  <w:vAlign w:val="center"/>
                </w:tcPr>
                <w:p>
                  <w:pP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生活</w:t>
                  </w:r>
                </w:p>
                <w:p>
                  <w:pP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污水、</w:t>
                  </w:r>
                </w:p>
                <w:p>
                  <w:pP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施工</w:t>
                  </w:r>
                </w:p>
                <w:p>
                  <w:pP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废水、</w:t>
                  </w:r>
                </w:p>
                <w:p>
                  <w:pP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施工</w:t>
                  </w:r>
                </w:p>
                <w:p>
                  <w:pP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噪声、</w:t>
                  </w:r>
                </w:p>
                <w:p>
                  <w:pP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建筑</w:t>
                  </w:r>
                </w:p>
                <w:p>
                  <w:pP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废渣、</w:t>
                  </w:r>
                </w:p>
                <w:p>
                  <w:pP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施工</w:t>
                  </w:r>
                </w:p>
                <w:p>
                  <w:pP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扬尘、</w:t>
                  </w:r>
                </w:p>
                <w:p>
                  <w:pP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生活</w:t>
                  </w:r>
                </w:p>
                <w:p>
                  <w:pP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垃圾</w:t>
                  </w:r>
                </w:p>
              </w:tc>
              <w:tc>
                <w:tcPr>
                  <w:tcW w:w="1003"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rPr>
                    <w:t>废气、噪声</w:t>
                  </w:r>
                  <w:r>
                    <w:rPr>
                      <w:rFonts w:hint="default" w:ascii="Times New Roman" w:hAnsi="Times New Roman" w:cs="Times New Roman"/>
                      <w:color w:val="auto"/>
                      <w:szCs w:val="21"/>
                      <w:highlight w:val="none"/>
                      <w:lang w:eastAsia="zh-CN"/>
                    </w:rPr>
                    <w:t>、固废</w:t>
                  </w:r>
                  <w:r>
                    <w:rPr>
                      <w:rFonts w:hint="eastAsia" w:ascii="Times New Roman" w:hAnsi="Times New Roman" w:cs="Times New Roman"/>
                      <w:color w:val="auto"/>
                      <w:szCs w:val="21"/>
                      <w:highlight w:val="none"/>
                      <w:lang w:eastAsia="zh-CN"/>
                    </w:rPr>
                    <w:t>、</w:t>
                  </w:r>
                  <w:r>
                    <w:rPr>
                      <w:rFonts w:hint="eastAsia" w:ascii="Times New Roman" w:hAnsi="Times New Roman" w:cs="Times New Roman"/>
                      <w:color w:val="auto"/>
                      <w:szCs w:val="21"/>
                      <w:highlight w:val="none"/>
                      <w:lang w:val="en-US" w:eastAsia="zh-CN"/>
                    </w:rPr>
                    <w:t>废水</w:t>
                  </w:r>
                </w:p>
              </w:tc>
              <w:tc>
                <w:tcPr>
                  <w:tcW w:w="668" w:type="dxa"/>
                  <w:noWrap w:val="0"/>
                  <w:vAlign w:val="center"/>
                </w:tcPr>
                <w:p>
                  <w:pPr>
                    <w:jc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654" w:type="dxa"/>
                  <w:vMerge w:val="restart"/>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辅助工程</w:t>
                  </w:r>
                </w:p>
              </w:tc>
              <w:tc>
                <w:tcPr>
                  <w:tcW w:w="901" w:type="dxa"/>
                  <w:noWrap w:val="0"/>
                  <w:vAlign w:val="center"/>
                </w:tcPr>
                <w:p>
                  <w:pPr>
                    <w:jc w:val="center"/>
                    <w:rPr>
                      <w:rFonts w:hint="default" w:ascii="Times New Roman" w:hAnsi="Times New Roman" w:cs="Times New Roman"/>
                      <w:color w:val="auto"/>
                      <w:szCs w:val="21"/>
                      <w:highlight w:val="none"/>
                      <w:lang w:eastAsia="zh-CN"/>
                    </w:rPr>
                  </w:pPr>
                  <w:r>
                    <w:rPr>
                      <w:rFonts w:hint="default" w:ascii="Times New Roman" w:hAnsi="Times New Roman" w:cs="Times New Roman"/>
                      <w:color w:val="auto"/>
                      <w:szCs w:val="21"/>
                      <w:highlight w:val="none"/>
                    </w:rPr>
                    <w:t>办公</w:t>
                  </w:r>
                  <w:r>
                    <w:rPr>
                      <w:rFonts w:hint="eastAsia" w:ascii="Times New Roman" w:hAnsi="Times New Roman" w:cs="Times New Roman"/>
                      <w:color w:val="auto"/>
                      <w:szCs w:val="21"/>
                      <w:highlight w:val="none"/>
                      <w:lang w:val="en-US" w:eastAsia="zh-CN"/>
                    </w:rPr>
                    <w:t>生活</w:t>
                  </w:r>
                  <w:r>
                    <w:rPr>
                      <w:rFonts w:hint="default" w:ascii="Times New Roman" w:hAnsi="Times New Roman" w:cs="Times New Roman"/>
                      <w:color w:val="auto"/>
                      <w:szCs w:val="21"/>
                      <w:highlight w:val="none"/>
                      <w:lang w:val="en-US" w:eastAsia="zh-CN"/>
                    </w:rPr>
                    <w:t>区</w:t>
                  </w:r>
                </w:p>
              </w:tc>
              <w:tc>
                <w:tcPr>
                  <w:tcW w:w="4061" w:type="dxa"/>
                  <w:gridSpan w:val="2"/>
                  <w:noWrap w:val="0"/>
                  <w:vAlign w:val="center"/>
                </w:tcPr>
                <w:p>
                  <w:pPr>
                    <w:jc w:val="left"/>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2#楼，3F，其中第3层为宿舍，位于厂区西南部，</w:t>
                  </w:r>
                  <w:r>
                    <w:rPr>
                      <w:rFonts w:hint="default" w:ascii="Times New Roman" w:hAnsi="Times New Roman" w:eastAsia="宋体" w:cs="Times New Roman"/>
                      <w:color w:val="auto"/>
                      <w:szCs w:val="21"/>
                      <w:highlight w:val="none"/>
                      <w:lang w:eastAsia="zh-CN"/>
                    </w:rPr>
                    <w:t>占地</w:t>
                  </w:r>
                  <w:r>
                    <w:rPr>
                      <w:rFonts w:hint="eastAsia" w:ascii="Times New Roman" w:hAnsi="Times New Roman" w:eastAsia="宋体" w:cs="Times New Roman"/>
                      <w:color w:val="auto"/>
                      <w:szCs w:val="21"/>
                      <w:highlight w:val="none"/>
                      <w:lang w:val="en-US" w:eastAsia="zh-CN"/>
                    </w:rPr>
                    <w:t>约440</w:t>
                  </w:r>
                  <w:r>
                    <w:rPr>
                      <w:rFonts w:hint="default" w:ascii="Times New Roman" w:hAnsi="Times New Roman" w:eastAsia="宋体" w:cs="Times New Roman"/>
                      <w:color w:val="auto"/>
                      <w:szCs w:val="21"/>
                      <w:highlight w:val="none"/>
                      <w:lang w:val="en-US" w:eastAsia="zh-CN"/>
                    </w:rPr>
                    <w:t>m</w:t>
                  </w:r>
                  <w:r>
                    <w:rPr>
                      <w:rFonts w:hint="default" w:ascii="Times New Roman" w:hAnsi="Times New Roman" w:eastAsia="宋体" w:cs="Times New Roman"/>
                      <w:color w:val="auto"/>
                      <w:szCs w:val="21"/>
                      <w:highlight w:val="none"/>
                      <w:vertAlign w:val="superscript"/>
                      <w:lang w:val="en-US" w:eastAsia="zh-CN"/>
                    </w:rPr>
                    <w:t>2</w:t>
                  </w:r>
                  <w:r>
                    <w:rPr>
                      <w:rFonts w:hint="default" w:ascii="Times New Roman" w:hAnsi="Times New Roman" w:cs="Times New Roman"/>
                      <w:color w:val="auto"/>
                      <w:szCs w:val="21"/>
                      <w:highlight w:val="none"/>
                      <w:lang w:eastAsia="zh-CN"/>
                    </w:rPr>
                    <w:t>。</w:t>
                  </w:r>
                </w:p>
              </w:tc>
              <w:tc>
                <w:tcPr>
                  <w:tcW w:w="853" w:type="dxa"/>
                  <w:vMerge w:val="continue"/>
                  <w:noWrap w:val="0"/>
                  <w:vAlign w:val="center"/>
                </w:tcPr>
                <w:p>
                  <w:pPr>
                    <w:jc w:val="center"/>
                    <w:rPr>
                      <w:rFonts w:hint="default" w:ascii="Times New Roman" w:hAnsi="Times New Roman" w:cs="Times New Roman"/>
                      <w:color w:val="auto"/>
                      <w:szCs w:val="21"/>
                      <w:highlight w:val="none"/>
                    </w:rPr>
                  </w:pPr>
                </w:p>
              </w:tc>
              <w:tc>
                <w:tcPr>
                  <w:tcW w:w="1003" w:type="dxa"/>
                  <w:vMerge w:val="restart"/>
                  <w:noWrap w:val="0"/>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废气、</w:t>
                  </w:r>
                  <w:r>
                    <w:rPr>
                      <w:rFonts w:hint="default" w:ascii="Times New Roman" w:hAnsi="Times New Roman" w:cs="Times New Roman"/>
                      <w:color w:val="auto"/>
                      <w:szCs w:val="21"/>
                      <w:highlight w:val="none"/>
                      <w:lang w:val="en-US" w:eastAsia="zh-CN"/>
                    </w:rPr>
                    <w:t>废水、生活垃圾</w:t>
                  </w:r>
                </w:p>
              </w:tc>
              <w:tc>
                <w:tcPr>
                  <w:tcW w:w="668" w:type="dxa"/>
                  <w:noWrap w:val="0"/>
                  <w:vAlign w:val="center"/>
                </w:tcPr>
                <w:p>
                  <w:pPr>
                    <w:jc w:val="center"/>
                    <w:rPr>
                      <w:rFonts w:hint="default" w:ascii="Times New Roman" w:hAnsi="Times New Roman" w:cs="Times New Roman"/>
                      <w:color w:val="auto"/>
                      <w:szCs w:val="21"/>
                      <w:highlight w:val="none"/>
                      <w:lang w:eastAsia="zh-CN"/>
                    </w:rPr>
                  </w:pPr>
                  <w:r>
                    <w:rPr>
                      <w:rFonts w:hint="default" w:ascii="Times New Roman" w:hAnsi="Times New Roman" w:eastAsia="宋体" w:cs="Times New Roman"/>
                      <w:color w:val="auto"/>
                      <w:szCs w:val="21"/>
                      <w:highlight w:val="none"/>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654" w:type="dxa"/>
                  <w:vMerge w:val="continue"/>
                  <w:noWrap w:val="0"/>
                  <w:vAlign w:val="center"/>
                </w:tcPr>
                <w:p>
                  <w:pPr>
                    <w:jc w:val="center"/>
                    <w:rPr>
                      <w:rFonts w:hint="default" w:ascii="Times New Roman" w:hAnsi="Times New Roman" w:cs="Times New Roman"/>
                      <w:color w:val="auto"/>
                      <w:szCs w:val="21"/>
                      <w:highlight w:val="none"/>
                    </w:rPr>
                  </w:pPr>
                </w:p>
              </w:tc>
              <w:tc>
                <w:tcPr>
                  <w:tcW w:w="901"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门卫、食堂</w:t>
                  </w:r>
                </w:p>
              </w:tc>
              <w:tc>
                <w:tcPr>
                  <w:tcW w:w="4061" w:type="dxa"/>
                  <w:gridSpan w:val="2"/>
                  <w:noWrap w:val="0"/>
                  <w:vAlign w:val="center"/>
                </w:tcPr>
                <w:p>
                  <w:pPr>
                    <w:jc w:val="left"/>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3#楼，1F，设置门卫室、食堂，位于厂区东南部，</w:t>
                  </w:r>
                  <w:r>
                    <w:rPr>
                      <w:rFonts w:hint="default" w:ascii="Times New Roman" w:hAnsi="Times New Roman" w:eastAsia="宋体" w:cs="Times New Roman"/>
                      <w:color w:val="auto"/>
                      <w:szCs w:val="21"/>
                      <w:highlight w:val="none"/>
                      <w:lang w:eastAsia="zh-CN"/>
                    </w:rPr>
                    <w:t>占地</w:t>
                  </w:r>
                  <w:r>
                    <w:rPr>
                      <w:rFonts w:hint="eastAsia" w:ascii="Times New Roman" w:hAnsi="Times New Roman" w:eastAsia="宋体" w:cs="Times New Roman"/>
                      <w:color w:val="auto"/>
                      <w:szCs w:val="21"/>
                      <w:highlight w:val="none"/>
                      <w:lang w:val="en-US" w:eastAsia="zh-CN"/>
                    </w:rPr>
                    <w:t>约150</w:t>
                  </w:r>
                  <w:r>
                    <w:rPr>
                      <w:rFonts w:hint="default" w:ascii="Times New Roman" w:hAnsi="Times New Roman" w:eastAsia="宋体" w:cs="Times New Roman"/>
                      <w:color w:val="auto"/>
                      <w:szCs w:val="21"/>
                      <w:highlight w:val="none"/>
                      <w:lang w:val="en-US" w:eastAsia="zh-CN"/>
                    </w:rPr>
                    <w:t>m</w:t>
                  </w:r>
                  <w:r>
                    <w:rPr>
                      <w:rFonts w:hint="default" w:ascii="Times New Roman" w:hAnsi="Times New Roman" w:eastAsia="宋体" w:cs="Times New Roman"/>
                      <w:color w:val="auto"/>
                      <w:szCs w:val="21"/>
                      <w:highlight w:val="none"/>
                      <w:vertAlign w:val="superscript"/>
                      <w:lang w:val="en-US" w:eastAsia="zh-CN"/>
                    </w:rPr>
                    <w:t>2</w:t>
                  </w:r>
                  <w:r>
                    <w:rPr>
                      <w:rFonts w:hint="default" w:ascii="Times New Roman" w:hAnsi="Times New Roman" w:cs="Times New Roman"/>
                      <w:color w:val="auto"/>
                      <w:szCs w:val="21"/>
                      <w:highlight w:val="none"/>
                      <w:lang w:eastAsia="zh-CN"/>
                    </w:rPr>
                    <w:t>。</w:t>
                  </w:r>
                </w:p>
              </w:tc>
              <w:tc>
                <w:tcPr>
                  <w:tcW w:w="853" w:type="dxa"/>
                  <w:vMerge w:val="continue"/>
                  <w:noWrap w:val="0"/>
                  <w:vAlign w:val="center"/>
                </w:tcPr>
                <w:p>
                  <w:pPr>
                    <w:jc w:val="center"/>
                    <w:rPr>
                      <w:rFonts w:hint="default" w:ascii="Times New Roman" w:hAnsi="Times New Roman" w:cs="Times New Roman"/>
                      <w:color w:val="auto"/>
                      <w:szCs w:val="21"/>
                      <w:highlight w:val="none"/>
                    </w:rPr>
                  </w:pPr>
                </w:p>
              </w:tc>
              <w:tc>
                <w:tcPr>
                  <w:tcW w:w="1003" w:type="dxa"/>
                  <w:vMerge w:val="continue"/>
                  <w:noWrap w:val="0"/>
                  <w:vAlign w:val="center"/>
                </w:tcPr>
                <w:p>
                  <w:pPr>
                    <w:jc w:val="center"/>
                    <w:rPr>
                      <w:rFonts w:hint="default" w:ascii="Times New Roman" w:hAnsi="Times New Roman" w:cs="Times New Roman"/>
                      <w:color w:val="auto"/>
                      <w:szCs w:val="21"/>
                      <w:highlight w:val="none"/>
                      <w:lang w:val="en-US" w:eastAsia="zh-CN"/>
                    </w:rPr>
                  </w:pPr>
                </w:p>
              </w:tc>
              <w:tc>
                <w:tcPr>
                  <w:tcW w:w="668" w:type="dxa"/>
                  <w:noWrap w:val="0"/>
                  <w:vAlign w:val="center"/>
                </w:tcPr>
                <w:p>
                  <w:pPr>
                    <w:jc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654" w:type="dxa"/>
                  <w:vMerge w:val="restart"/>
                  <w:noWrap w:val="0"/>
                  <w:vAlign w:val="center"/>
                </w:tcPr>
                <w:p>
                  <w:pPr>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lang w:eastAsia="zh-CN"/>
                    </w:rPr>
                    <w:t>储运工程</w:t>
                  </w:r>
                </w:p>
              </w:tc>
              <w:tc>
                <w:tcPr>
                  <w:tcW w:w="901"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原片区</w:t>
                  </w:r>
                </w:p>
              </w:tc>
              <w:tc>
                <w:tcPr>
                  <w:tcW w:w="4061" w:type="dxa"/>
                  <w:gridSpan w:val="2"/>
                  <w:noWrap w:val="0"/>
                  <w:vAlign w:val="center"/>
                </w:tcPr>
                <w:p>
                  <w:pPr>
                    <w:jc w:val="left"/>
                    <w:rPr>
                      <w:rFonts w:hint="default" w:ascii="Times New Roman" w:hAnsi="Times New Roman" w:cs="Times New Roman"/>
                      <w:color w:val="auto"/>
                      <w:szCs w:val="21"/>
                      <w:highlight w:val="yellow"/>
                      <w:lang w:val="en-US" w:eastAsia="zh-CN"/>
                    </w:rPr>
                  </w:pPr>
                  <w:r>
                    <w:rPr>
                      <w:rFonts w:hint="eastAsia" w:ascii="Times New Roman" w:hAnsi="Times New Roman" w:cs="Times New Roman"/>
                      <w:color w:val="auto"/>
                      <w:szCs w:val="21"/>
                      <w:highlight w:val="none"/>
                      <w:lang w:val="en-US" w:eastAsia="zh-CN"/>
                    </w:rPr>
                    <w:t>布置在生产车间南部。</w:t>
                  </w:r>
                </w:p>
              </w:tc>
              <w:tc>
                <w:tcPr>
                  <w:tcW w:w="853" w:type="dxa"/>
                  <w:vMerge w:val="continue"/>
                  <w:noWrap w:val="0"/>
                  <w:vAlign w:val="center"/>
                </w:tcPr>
                <w:p>
                  <w:pPr>
                    <w:jc w:val="center"/>
                    <w:rPr>
                      <w:rFonts w:hint="default" w:ascii="Times New Roman" w:hAnsi="Times New Roman" w:cs="Times New Roman"/>
                      <w:color w:val="auto"/>
                      <w:szCs w:val="21"/>
                      <w:highlight w:val="none"/>
                    </w:rPr>
                  </w:pPr>
                </w:p>
              </w:tc>
              <w:tc>
                <w:tcPr>
                  <w:tcW w:w="1003" w:type="dxa"/>
                  <w:noWrap w:val="0"/>
                  <w:vAlign w:val="center"/>
                </w:tcPr>
                <w:p>
                  <w:pPr>
                    <w:jc w:val="center"/>
                    <w:rPr>
                      <w:rFonts w:hint="default" w:ascii="Times New Roman" w:hAnsi="Times New Roman" w:eastAsia="宋体" w:cs="Times New Roman"/>
                      <w:color w:val="auto"/>
                      <w:szCs w:val="21"/>
                      <w:highlight w:val="none"/>
                      <w:lang w:eastAsia="zh-CN"/>
                    </w:rPr>
                  </w:pPr>
                  <w:r>
                    <w:rPr>
                      <w:rFonts w:hint="eastAsia" w:ascii="Times New Roman" w:hAnsi="Times New Roman" w:cs="Times New Roman"/>
                      <w:color w:val="auto"/>
                      <w:szCs w:val="21"/>
                      <w:highlight w:val="none"/>
                      <w:lang w:val="en-US" w:eastAsia="zh-CN"/>
                    </w:rPr>
                    <w:t>/</w:t>
                  </w:r>
                </w:p>
              </w:tc>
              <w:tc>
                <w:tcPr>
                  <w:tcW w:w="668" w:type="dxa"/>
                  <w:noWrap w:val="0"/>
                  <w:vAlign w:val="center"/>
                </w:tcPr>
                <w:p>
                  <w:pPr>
                    <w:jc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4" w:type="dxa"/>
                  <w:vMerge w:val="continue"/>
                  <w:noWrap w:val="0"/>
                  <w:vAlign w:val="center"/>
                </w:tcPr>
                <w:p>
                  <w:pPr>
                    <w:jc w:val="center"/>
                    <w:rPr>
                      <w:rFonts w:hint="default" w:ascii="Times New Roman" w:hAnsi="Times New Roman" w:cs="Times New Roman"/>
                      <w:color w:val="auto"/>
                      <w:szCs w:val="21"/>
                      <w:highlight w:val="none"/>
                      <w:lang w:eastAsia="zh-CN"/>
                    </w:rPr>
                  </w:pPr>
                </w:p>
              </w:tc>
              <w:tc>
                <w:tcPr>
                  <w:tcW w:w="901" w:type="dxa"/>
                  <w:noWrap w:val="0"/>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成品区</w:t>
                  </w:r>
                </w:p>
              </w:tc>
              <w:tc>
                <w:tcPr>
                  <w:tcW w:w="4061" w:type="dxa"/>
                  <w:gridSpan w:val="2"/>
                  <w:noWrap w:val="0"/>
                  <w:vAlign w:val="center"/>
                </w:tcPr>
                <w:p>
                  <w:pPr>
                    <w:jc w:val="left"/>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布置在生产车间东部。</w:t>
                  </w:r>
                </w:p>
              </w:tc>
              <w:tc>
                <w:tcPr>
                  <w:tcW w:w="853" w:type="dxa"/>
                  <w:vMerge w:val="continue"/>
                  <w:noWrap w:val="0"/>
                  <w:vAlign w:val="center"/>
                </w:tcPr>
                <w:p>
                  <w:pPr>
                    <w:jc w:val="center"/>
                    <w:rPr>
                      <w:rFonts w:hint="default" w:ascii="Times New Roman" w:hAnsi="Times New Roman" w:cs="Times New Roman"/>
                      <w:color w:val="auto"/>
                      <w:szCs w:val="21"/>
                      <w:highlight w:val="none"/>
                    </w:rPr>
                  </w:pPr>
                </w:p>
              </w:tc>
              <w:tc>
                <w:tcPr>
                  <w:tcW w:w="1003" w:type="dxa"/>
                  <w:noWrap w:val="0"/>
                  <w:vAlign w:val="center"/>
                </w:tcPr>
                <w:p>
                  <w:pPr>
                    <w:jc w:val="center"/>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w:t>
                  </w:r>
                </w:p>
              </w:tc>
              <w:tc>
                <w:tcPr>
                  <w:tcW w:w="668" w:type="dxa"/>
                  <w:noWrap w:val="0"/>
                  <w:vAlign w:val="center"/>
                </w:tcPr>
                <w:p>
                  <w:pPr>
                    <w:jc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654" w:type="dxa"/>
                  <w:vMerge w:val="continue"/>
                  <w:noWrap w:val="0"/>
                  <w:vAlign w:val="center"/>
                </w:tcPr>
                <w:p>
                  <w:pPr>
                    <w:jc w:val="center"/>
                    <w:rPr>
                      <w:rFonts w:hint="default" w:ascii="Times New Roman" w:hAnsi="Times New Roman" w:cs="Times New Roman"/>
                      <w:color w:val="auto"/>
                      <w:szCs w:val="21"/>
                      <w:highlight w:val="none"/>
                      <w:lang w:eastAsia="zh-CN"/>
                    </w:rPr>
                  </w:pPr>
                </w:p>
              </w:tc>
              <w:tc>
                <w:tcPr>
                  <w:tcW w:w="901" w:type="dxa"/>
                  <w:noWrap w:val="0"/>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PVB胶片储存室</w:t>
                  </w:r>
                </w:p>
              </w:tc>
              <w:tc>
                <w:tcPr>
                  <w:tcW w:w="4061" w:type="dxa"/>
                  <w:gridSpan w:val="2"/>
                  <w:noWrap w:val="0"/>
                  <w:vAlign w:val="center"/>
                </w:tcPr>
                <w:p>
                  <w:pPr>
                    <w:jc w:val="left"/>
                    <w:rPr>
                      <w:rFonts w:hint="eastAsia" w:ascii="Times New Roman" w:hAnsi="Times New Roman" w:cs="Times New Roman"/>
                      <w:color w:val="auto"/>
                      <w:szCs w:val="21"/>
                      <w:highlight w:val="yellow"/>
                      <w:lang w:val="en-US" w:eastAsia="zh-CN"/>
                    </w:rPr>
                  </w:pPr>
                  <w:r>
                    <w:rPr>
                      <w:rFonts w:hint="eastAsia" w:ascii="Times New Roman" w:hAnsi="Times New Roman" w:cs="Times New Roman"/>
                      <w:color w:val="auto"/>
                      <w:szCs w:val="21"/>
                      <w:highlight w:val="none"/>
                      <w:lang w:val="en-US" w:eastAsia="zh-CN"/>
                    </w:rPr>
                    <w:t>生产车间内中部</w:t>
                  </w:r>
                  <w:r>
                    <w:rPr>
                      <w:rFonts w:hint="default" w:ascii="Times New Roman" w:hAnsi="Times New Roman" w:cs="Times New Roman"/>
                      <w:color w:val="auto"/>
                      <w:szCs w:val="21"/>
                      <w:highlight w:val="none"/>
                      <w:lang w:val="en-US" w:eastAsia="zh-CN"/>
                    </w:rPr>
                    <w:t>设置1个</w:t>
                  </w:r>
                  <w:r>
                    <w:rPr>
                      <w:rFonts w:hint="eastAsia" w:ascii="Times New Roman" w:hAnsi="Times New Roman" w:cs="Times New Roman"/>
                      <w:color w:val="auto"/>
                      <w:szCs w:val="21"/>
                      <w:highlight w:val="none"/>
                      <w:lang w:val="en-US" w:eastAsia="zh-CN"/>
                    </w:rPr>
                    <w:t>PVB胶片储存室</w:t>
                  </w:r>
                  <w:r>
                    <w:rPr>
                      <w:rFonts w:hint="default" w:ascii="Times New Roman" w:hAnsi="Times New Roman" w:cs="Times New Roman"/>
                      <w:color w:val="auto"/>
                      <w:szCs w:val="21"/>
                      <w:highlight w:val="none"/>
                      <w:lang w:eastAsia="zh-CN"/>
                    </w:rPr>
                    <w:t>，占地约</w:t>
                  </w:r>
                  <w:r>
                    <w:rPr>
                      <w:rFonts w:hint="eastAsia" w:ascii="Times New Roman" w:hAnsi="Times New Roman" w:cs="Times New Roman"/>
                      <w:color w:val="auto"/>
                      <w:szCs w:val="21"/>
                      <w:highlight w:val="none"/>
                      <w:lang w:val="en-US" w:eastAsia="zh-CN"/>
                    </w:rPr>
                    <w:t>50</w:t>
                  </w:r>
                  <w:r>
                    <w:rPr>
                      <w:rFonts w:hint="default" w:ascii="Times New Roman" w:hAnsi="Times New Roman" w:eastAsia="宋体" w:cs="Times New Roman"/>
                      <w:color w:val="auto"/>
                      <w:szCs w:val="21"/>
                      <w:highlight w:val="none"/>
                      <w:lang w:val="en-US" w:eastAsia="zh-CN"/>
                    </w:rPr>
                    <w:t>m</w:t>
                  </w:r>
                  <w:r>
                    <w:rPr>
                      <w:rFonts w:hint="default" w:ascii="Times New Roman" w:hAnsi="Times New Roman" w:eastAsia="宋体" w:cs="Times New Roman"/>
                      <w:color w:val="auto"/>
                      <w:szCs w:val="21"/>
                      <w:highlight w:val="none"/>
                      <w:vertAlign w:val="superscript"/>
                      <w:lang w:val="en-US" w:eastAsia="zh-CN"/>
                    </w:rPr>
                    <w:t>2</w:t>
                  </w:r>
                  <w:r>
                    <w:rPr>
                      <w:rFonts w:hint="default" w:ascii="Times New Roman" w:hAnsi="Times New Roman" w:eastAsia="宋体" w:cs="Times New Roman"/>
                      <w:color w:val="auto"/>
                      <w:szCs w:val="21"/>
                      <w:highlight w:val="none"/>
                      <w:lang w:val="en-US" w:eastAsia="zh-CN"/>
                    </w:rPr>
                    <w:t>。</w:t>
                  </w:r>
                </w:p>
              </w:tc>
              <w:tc>
                <w:tcPr>
                  <w:tcW w:w="853" w:type="dxa"/>
                  <w:vMerge w:val="continue"/>
                  <w:noWrap w:val="0"/>
                  <w:vAlign w:val="center"/>
                </w:tcPr>
                <w:p>
                  <w:pPr>
                    <w:jc w:val="center"/>
                    <w:rPr>
                      <w:rFonts w:hint="default" w:ascii="Times New Roman" w:hAnsi="Times New Roman" w:cs="Times New Roman"/>
                      <w:color w:val="auto"/>
                      <w:szCs w:val="21"/>
                      <w:highlight w:val="none"/>
                    </w:rPr>
                  </w:pPr>
                </w:p>
              </w:tc>
              <w:tc>
                <w:tcPr>
                  <w:tcW w:w="1003" w:type="dxa"/>
                  <w:noWrap w:val="0"/>
                  <w:vAlign w:val="center"/>
                </w:tcPr>
                <w:p>
                  <w:pPr>
                    <w:jc w:val="center"/>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w:t>
                  </w:r>
                </w:p>
              </w:tc>
              <w:tc>
                <w:tcPr>
                  <w:tcW w:w="668" w:type="dxa"/>
                  <w:noWrap w:val="0"/>
                  <w:vAlign w:val="center"/>
                </w:tcPr>
                <w:p>
                  <w:pPr>
                    <w:jc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654" w:type="dxa"/>
                  <w:vMerge w:val="continue"/>
                  <w:noWrap w:val="0"/>
                  <w:vAlign w:val="center"/>
                </w:tcPr>
                <w:p>
                  <w:pPr>
                    <w:jc w:val="center"/>
                    <w:rPr>
                      <w:rFonts w:hint="default" w:ascii="Times New Roman" w:hAnsi="Times New Roman" w:cs="Times New Roman"/>
                      <w:color w:val="auto"/>
                      <w:szCs w:val="21"/>
                      <w:highlight w:val="none"/>
                      <w:lang w:eastAsia="zh-CN"/>
                    </w:rPr>
                  </w:pPr>
                </w:p>
              </w:tc>
              <w:tc>
                <w:tcPr>
                  <w:tcW w:w="901" w:type="dxa"/>
                  <w:noWrap w:val="0"/>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漆库房</w:t>
                  </w:r>
                </w:p>
              </w:tc>
              <w:tc>
                <w:tcPr>
                  <w:tcW w:w="4061" w:type="dxa"/>
                  <w:gridSpan w:val="2"/>
                  <w:noWrap w:val="0"/>
                  <w:vAlign w:val="center"/>
                </w:tcPr>
                <w:p>
                  <w:pPr>
                    <w:jc w:val="left"/>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生产车间内中西部</w:t>
                  </w:r>
                  <w:r>
                    <w:rPr>
                      <w:rFonts w:hint="default" w:ascii="Times New Roman" w:hAnsi="Times New Roman" w:cs="Times New Roman"/>
                      <w:color w:val="auto"/>
                      <w:szCs w:val="21"/>
                      <w:highlight w:val="none"/>
                      <w:lang w:val="en-US" w:eastAsia="zh-CN"/>
                    </w:rPr>
                    <w:t>设置1个</w:t>
                  </w:r>
                  <w:r>
                    <w:rPr>
                      <w:rFonts w:hint="eastAsia" w:ascii="Times New Roman" w:hAnsi="Times New Roman" w:cs="Times New Roman"/>
                      <w:color w:val="auto"/>
                      <w:szCs w:val="21"/>
                      <w:highlight w:val="none"/>
                      <w:lang w:val="en-US" w:eastAsia="zh-CN"/>
                    </w:rPr>
                    <w:t>漆库房</w:t>
                  </w:r>
                  <w:r>
                    <w:rPr>
                      <w:rFonts w:hint="default" w:ascii="Times New Roman" w:hAnsi="Times New Roman" w:cs="Times New Roman"/>
                      <w:color w:val="auto"/>
                      <w:szCs w:val="21"/>
                      <w:highlight w:val="none"/>
                      <w:lang w:eastAsia="zh-CN"/>
                    </w:rPr>
                    <w:t>，占地约</w:t>
                  </w:r>
                  <w:r>
                    <w:rPr>
                      <w:rFonts w:hint="eastAsia" w:ascii="Times New Roman" w:hAnsi="Times New Roman" w:cs="Times New Roman"/>
                      <w:color w:val="auto"/>
                      <w:szCs w:val="21"/>
                      <w:highlight w:val="none"/>
                      <w:lang w:val="en-US" w:eastAsia="zh-CN"/>
                    </w:rPr>
                    <w:t>5</w:t>
                  </w:r>
                  <w:r>
                    <w:rPr>
                      <w:rFonts w:hint="default" w:ascii="Times New Roman" w:hAnsi="Times New Roman" w:eastAsia="宋体" w:cs="Times New Roman"/>
                      <w:color w:val="auto"/>
                      <w:szCs w:val="21"/>
                      <w:highlight w:val="none"/>
                      <w:lang w:val="en-US" w:eastAsia="zh-CN"/>
                    </w:rPr>
                    <w:t>m</w:t>
                  </w:r>
                  <w:r>
                    <w:rPr>
                      <w:rFonts w:hint="default" w:ascii="Times New Roman" w:hAnsi="Times New Roman" w:eastAsia="宋体" w:cs="Times New Roman"/>
                      <w:color w:val="auto"/>
                      <w:szCs w:val="21"/>
                      <w:highlight w:val="none"/>
                      <w:vertAlign w:val="superscript"/>
                      <w:lang w:val="en-US" w:eastAsia="zh-CN"/>
                    </w:rPr>
                    <w:t>2</w:t>
                  </w:r>
                  <w:r>
                    <w:rPr>
                      <w:rFonts w:hint="default" w:ascii="Times New Roman" w:hAnsi="Times New Roman" w:eastAsia="宋体" w:cs="Times New Roman"/>
                      <w:color w:val="auto"/>
                      <w:szCs w:val="21"/>
                      <w:highlight w:val="none"/>
                      <w:lang w:val="en-US" w:eastAsia="zh-CN"/>
                    </w:rPr>
                    <w:t>。</w:t>
                  </w:r>
                </w:p>
              </w:tc>
              <w:tc>
                <w:tcPr>
                  <w:tcW w:w="853" w:type="dxa"/>
                  <w:vMerge w:val="continue"/>
                  <w:noWrap w:val="0"/>
                  <w:vAlign w:val="center"/>
                </w:tcPr>
                <w:p>
                  <w:pPr>
                    <w:jc w:val="center"/>
                    <w:rPr>
                      <w:rFonts w:hint="default" w:ascii="Times New Roman" w:hAnsi="Times New Roman" w:cs="Times New Roman"/>
                      <w:color w:val="auto"/>
                      <w:szCs w:val="21"/>
                      <w:highlight w:val="none"/>
                    </w:rPr>
                  </w:pPr>
                </w:p>
              </w:tc>
              <w:tc>
                <w:tcPr>
                  <w:tcW w:w="1003" w:type="dxa"/>
                  <w:noWrap w:val="0"/>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w:t>
                  </w:r>
                </w:p>
              </w:tc>
              <w:tc>
                <w:tcPr>
                  <w:tcW w:w="668" w:type="dxa"/>
                  <w:noWrap w:val="0"/>
                  <w:vAlign w:val="center"/>
                </w:tcPr>
                <w:p>
                  <w:pPr>
                    <w:jc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654" w:type="dxa"/>
                  <w:vMerge w:val="continue"/>
                  <w:noWrap w:val="0"/>
                  <w:vAlign w:val="center"/>
                </w:tcPr>
                <w:p>
                  <w:pPr>
                    <w:jc w:val="center"/>
                    <w:rPr>
                      <w:rFonts w:hint="default" w:ascii="Times New Roman" w:hAnsi="Times New Roman" w:cs="Times New Roman"/>
                      <w:color w:val="auto"/>
                      <w:szCs w:val="21"/>
                      <w:highlight w:val="none"/>
                      <w:lang w:eastAsia="zh-CN"/>
                    </w:rPr>
                  </w:pPr>
                </w:p>
              </w:tc>
              <w:tc>
                <w:tcPr>
                  <w:tcW w:w="901" w:type="dxa"/>
                  <w:noWrap w:val="0"/>
                  <w:vAlign w:val="center"/>
                </w:tcPr>
                <w:p>
                  <w:pPr>
                    <w:jc w:val="center"/>
                    <w:rPr>
                      <w:rFonts w:hint="default" w:ascii="Times New Roman" w:hAnsi="Times New Roman" w:cs="Times New Roman"/>
                      <w:color w:val="auto"/>
                      <w:szCs w:val="21"/>
                      <w:highlight w:val="none"/>
                      <w:lang w:eastAsia="zh-CN"/>
                    </w:rPr>
                  </w:pPr>
                  <w:r>
                    <w:rPr>
                      <w:rFonts w:hint="default" w:ascii="Times New Roman" w:hAnsi="Times New Roman" w:cs="Times New Roman"/>
                      <w:color w:val="auto"/>
                      <w:szCs w:val="21"/>
                      <w:highlight w:val="none"/>
                      <w:lang w:eastAsia="zh-CN"/>
                    </w:rPr>
                    <w:t>危废</w:t>
                  </w:r>
                  <w:r>
                    <w:rPr>
                      <w:rFonts w:hint="eastAsia" w:ascii="Times New Roman" w:hAnsi="Times New Roman" w:cs="Times New Roman"/>
                      <w:color w:val="auto"/>
                      <w:szCs w:val="21"/>
                      <w:highlight w:val="none"/>
                      <w:lang w:val="en-US" w:eastAsia="zh-CN"/>
                    </w:rPr>
                    <w:t>暂存</w:t>
                  </w:r>
                  <w:r>
                    <w:rPr>
                      <w:rFonts w:hint="default" w:ascii="Times New Roman" w:hAnsi="Times New Roman" w:cs="Times New Roman"/>
                      <w:color w:val="auto"/>
                      <w:szCs w:val="21"/>
                      <w:highlight w:val="none"/>
                      <w:lang w:eastAsia="zh-CN"/>
                    </w:rPr>
                    <w:t>间</w:t>
                  </w:r>
                </w:p>
              </w:tc>
              <w:tc>
                <w:tcPr>
                  <w:tcW w:w="4061" w:type="dxa"/>
                  <w:gridSpan w:val="2"/>
                  <w:noWrap w:val="0"/>
                  <w:vAlign w:val="center"/>
                </w:tcPr>
                <w:p>
                  <w:pPr>
                    <w:jc w:val="left"/>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生产车间内中西部</w:t>
                  </w:r>
                  <w:r>
                    <w:rPr>
                      <w:rFonts w:hint="default" w:ascii="Times New Roman" w:hAnsi="Times New Roman" w:cs="Times New Roman"/>
                      <w:color w:val="auto"/>
                      <w:szCs w:val="21"/>
                      <w:highlight w:val="none"/>
                      <w:lang w:val="en-US" w:eastAsia="zh-CN"/>
                    </w:rPr>
                    <w:t>设置1个</w:t>
                  </w:r>
                  <w:r>
                    <w:rPr>
                      <w:rFonts w:hint="default" w:ascii="Times New Roman" w:hAnsi="Times New Roman" w:cs="Times New Roman"/>
                      <w:color w:val="auto"/>
                      <w:szCs w:val="21"/>
                      <w:highlight w:val="none"/>
                      <w:lang w:eastAsia="zh-CN"/>
                    </w:rPr>
                    <w:t>危废暂存间，占地约</w:t>
                  </w:r>
                  <w:r>
                    <w:rPr>
                      <w:rFonts w:hint="eastAsia" w:ascii="Times New Roman" w:hAnsi="Times New Roman" w:cs="Times New Roman"/>
                      <w:color w:val="auto"/>
                      <w:szCs w:val="21"/>
                      <w:highlight w:val="none"/>
                      <w:lang w:val="en-US" w:eastAsia="zh-CN"/>
                    </w:rPr>
                    <w:t>5</w:t>
                  </w:r>
                  <w:r>
                    <w:rPr>
                      <w:rFonts w:hint="default" w:ascii="Times New Roman" w:hAnsi="Times New Roman" w:eastAsia="宋体" w:cs="Times New Roman"/>
                      <w:color w:val="auto"/>
                      <w:szCs w:val="21"/>
                      <w:highlight w:val="none"/>
                      <w:lang w:val="en-US" w:eastAsia="zh-CN"/>
                    </w:rPr>
                    <w:t>m</w:t>
                  </w:r>
                  <w:r>
                    <w:rPr>
                      <w:rFonts w:hint="default" w:ascii="Times New Roman" w:hAnsi="Times New Roman" w:eastAsia="宋体" w:cs="Times New Roman"/>
                      <w:color w:val="auto"/>
                      <w:szCs w:val="21"/>
                      <w:highlight w:val="none"/>
                      <w:vertAlign w:val="superscript"/>
                      <w:lang w:val="en-US" w:eastAsia="zh-CN"/>
                    </w:rPr>
                    <w:t>2</w:t>
                  </w:r>
                  <w:r>
                    <w:rPr>
                      <w:rFonts w:hint="default" w:ascii="Times New Roman" w:hAnsi="Times New Roman" w:eastAsia="宋体" w:cs="Times New Roman"/>
                      <w:color w:val="auto"/>
                      <w:szCs w:val="21"/>
                      <w:highlight w:val="none"/>
                      <w:lang w:val="en-US" w:eastAsia="zh-CN"/>
                    </w:rPr>
                    <w:t>。</w:t>
                  </w:r>
                </w:p>
              </w:tc>
              <w:tc>
                <w:tcPr>
                  <w:tcW w:w="853" w:type="dxa"/>
                  <w:vMerge w:val="continue"/>
                  <w:noWrap w:val="0"/>
                  <w:vAlign w:val="center"/>
                </w:tcPr>
                <w:p>
                  <w:pPr>
                    <w:jc w:val="center"/>
                    <w:rPr>
                      <w:rFonts w:hint="default" w:ascii="Times New Roman" w:hAnsi="Times New Roman" w:cs="Times New Roman"/>
                      <w:color w:val="auto"/>
                      <w:szCs w:val="21"/>
                      <w:highlight w:val="none"/>
                    </w:rPr>
                  </w:pPr>
                </w:p>
              </w:tc>
              <w:tc>
                <w:tcPr>
                  <w:tcW w:w="1003" w:type="dxa"/>
                  <w:noWrap w:val="0"/>
                  <w:vAlign w:val="center"/>
                </w:tcPr>
                <w:p>
                  <w:pPr>
                    <w:jc w:val="center"/>
                    <w:rPr>
                      <w:rFonts w:hint="default" w:ascii="Times New Roman" w:hAnsi="Times New Roman" w:cs="Times New Roman"/>
                      <w:color w:val="auto"/>
                      <w:szCs w:val="21"/>
                      <w:highlight w:val="none"/>
                      <w:lang w:eastAsia="zh-CN"/>
                    </w:rPr>
                  </w:pPr>
                  <w:r>
                    <w:rPr>
                      <w:rFonts w:hint="default" w:ascii="Times New Roman" w:hAnsi="Times New Roman" w:cs="Times New Roman"/>
                      <w:color w:val="auto"/>
                      <w:szCs w:val="21"/>
                      <w:highlight w:val="none"/>
                      <w:lang w:eastAsia="zh-CN"/>
                    </w:rPr>
                    <w:t>固废</w:t>
                  </w:r>
                </w:p>
              </w:tc>
              <w:tc>
                <w:tcPr>
                  <w:tcW w:w="668" w:type="dxa"/>
                  <w:noWrap w:val="0"/>
                  <w:vAlign w:val="center"/>
                </w:tcPr>
                <w:p>
                  <w:pPr>
                    <w:jc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654" w:type="dxa"/>
                  <w:vMerge w:val="restart"/>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公用工程</w:t>
                  </w:r>
                </w:p>
              </w:tc>
              <w:tc>
                <w:tcPr>
                  <w:tcW w:w="901"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供电</w:t>
                  </w:r>
                </w:p>
              </w:tc>
              <w:tc>
                <w:tcPr>
                  <w:tcW w:w="4061" w:type="dxa"/>
                  <w:gridSpan w:val="2"/>
                  <w:noWrap w:val="0"/>
                  <w:vAlign w:val="center"/>
                </w:tcPr>
                <w:p>
                  <w:pPr>
                    <w:jc w:val="center"/>
                    <w:rPr>
                      <w:rFonts w:hint="default"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 w:val="21"/>
                      <w:szCs w:val="21"/>
                      <w:lang w:eastAsia="zh-CN"/>
                    </w:rPr>
                    <w:t>园区供电</w:t>
                  </w:r>
                  <w:r>
                    <w:rPr>
                      <w:rFonts w:hint="default" w:ascii="Times New Roman" w:hAnsi="Times New Roman" w:cs="Times New Roman"/>
                      <w:color w:val="auto"/>
                      <w:szCs w:val="21"/>
                      <w:highlight w:val="none"/>
                      <w:lang w:eastAsia="zh-CN"/>
                    </w:rPr>
                    <w:t>。</w:t>
                  </w:r>
                </w:p>
              </w:tc>
              <w:tc>
                <w:tcPr>
                  <w:tcW w:w="853" w:type="dxa"/>
                  <w:vMerge w:val="continue"/>
                  <w:noWrap w:val="0"/>
                  <w:vAlign w:val="center"/>
                </w:tcPr>
                <w:p>
                  <w:pPr>
                    <w:jc w:val="center"/>
                    <w:rPr>
                      <w:rFonts w:hint="default" w:ascii="Times New Roman" w:hAnsi="Times New Roman" w:cs="Times New Roman"/>
                      <w:color w:val="auto"/>
                      <w:szCs w:val="21"/>
                      <w:highlight w:val="none"/>
                    </w:rPr>
                  </w:pPr>
                </w:p>
              </w:tc>
              <w:tc>
                <w:tcPr>
                  <w:tcW w:w="1003"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668" w:type="dxa"/>
                  <w:noWrap w:val="0"/>
                  <w:vAlign w:val="center"/>
                </w:tcPr>
                <w:p>
                  <w:pPr>
                    <w:jc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eastAsia="zh-C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4" w:type="dxa"/>
                  <w:vMerge w:val="continue"/>
                  <w:noWrap w:val="0"/>
                  <w:vAlign w:val="center"/>
                </w:tcPr>
                <w:p>
                  <w:pPr>
                    <w:jc w:val="center"/>
                    <w:rPr>
                      <w:rFonts w:hint="default" w:ascii="Times New Roman" w:hAnsi="Times New Roman" w:cs="Times New Roman"/>
                      <w:color w:val="auto"/>
                      <w:szCs w:val="21"/>
                      <w:highlight w:val="none"/>
                    </w:rPr>
                  </w:pPr>
                </w:p>
              </w:tc>
              <w:tc>
                <w:tcPr>
                  <w:tcW w:w="901"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供水</w:t>
                  </w:r>
                </w:p>
              </w:tc>
              <w:tc>
                <w:tcPr>
                  <w:tcW w:w="4061" w:type="dxa"/>
                  <w:gridSpan w:val="2"/>
                  <w:noWrap w:val="0"/>
                  <w:vAlign w:val="center"/>
                </w:tcPr>
                <w:p>
                  <w:pPr>
                    <w:jc w:val="center"/>
                    <w:rPr>
                      <w:rFonts w:hint="default"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 w:val="21"/>
                      <w:szCs w:val="21"/>
                      <w:lang w:val="en-US" w:eastAsia="zh-CN"/>
                    </w:rPr>
                    <w:t>园区</w:t>
                  </w:r>
                  <w:r>
                    <w:rPr>
                      <w:rFonts w:hint="default" w:ascii="Times New Roman" w:hAnsi="Times New Roman" w:eastAsia="宋体" w:cs="Times New Roman"/>
                      <w:color w:val="auto"/>
                      <w:sz w:val="21"/>
                      <w:szCs w:val="21"/>
                    </w:rPr>
                    <w:t>供水</w:t>
                  </w:r>
                  <w:r>
                    <w:rPr>
                      <w:rFonts w:hint="default" w:ascii="Times New Roman" w:hAnsi="Times New Roman" w:cs="Times New Roman"/>
                      <w:color w:val="auto"/>
                      <w:szCs w:val="21"/>
                      <w:highlight w:val="none"/>
                      <w:lang w:eastAsia="zh-CN"/>
                    </w:rPr>
                    <w:t>。</w:t>
                  </w:r>
                </w:p>
              </w:tc>
              <w:tc>
                <w:tcPr>
                  <w:tcW w:w="853" w:type="dxa"/>
                  <w:vMerge w:val="continue"/>
                  <w:noWrap w:val="0"/>
                  <w:vAlign w:val="center"/>
                </w:tcPr>
                <w:p>
                  <w:pPr>
                    <w:jc w:val="center"/>
                    <w:rPr>
                      <w:rFonts w:hint="default" w:ascii="Times New Roman" w:hAnsi="Times New Roman" w:cs="Times New Roman"/>
                      <w:color w:val="auto"/>
                      <w:szCs w:val="21"/>
                      <w:highlight w:val="none"/>
                    </w:rPr>
                  </w:pPr>
                </w:p>
              </w:tc>
              <w:tc>
                <w:tcPr>
                  <w:tcW w:w="1003"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668"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eastAsia="宋体" w:cs="Times New Roman"/>
                      <w:color w:val="auto"/>
                      <w:szCs w:val="21"/>
                      <w:highlight w:val="none"/>
                      <w:lang w:eastAsia="zh-C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654" w:type="dxa"/>
                  <w:vMerge w:val="continue"/>
                  <w:noWrap w:val="0"/>
                  <w:vAlign w:val="center"/>
                </w:tcPr>
                <w:p>
                  <w:pPr>
                    <w:jc w:val="center"/>
                    <w:rPr>
                      <w:rFonts w:hint="default" w:ascii="Times New Roman" w:hAnsi="Times New Roman" w:cs="Times New Roman"/>
                      <w:color w:val="auto"/>
                      <w:szCs w:val="21"/>
                      <w:highlight w:val="none"/>
                    </w:rPr>
                  </w:pPr>
                </w:p>
              </w:tc>
              <w:tc>
                <w:tcPr>
                  <w:tcW w:w="901"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排水</w:t>
                  </w:r>
                </w:p>
              </w:tc>
              <w:tc>
                <w:tcPr>
                  <w:tcW w:w="4061" w:type="dxa"/>
                  <w:gridSpan w:val="2"/>
                  <w:noWrap w:val="0"/>
                  <w:vAlign w:val="center"/>
                </w:tcPr>
                <w:p>
                  <w:pPr>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雨污分流</w:t>
                  </w:r>
                  <w:r>
                    <w:rPr>
                      <w:rFonts w:hint="default" w:ascii="Times New Roman" w:hAnsi="Times New Roman" w:cs="Times New Roman"/>
                      <w:color w:val="auto"/>
                      <w:szCs w:val="21"/>
                      <w:highlight w:val="none"/>
                      <w:lang w:eastAsia="zh-CN"/>
                    </w:rPr>
                    <w:t>；</w:t>
                  </w:r>
                  <w:r>
                    <w:rPr>
                      <w:rStyle w:val="44"/>
                      <w:rFonts w:hint="default" w:ascii="Times New Roman" w:hAnsi="Times New Roman" w:eastAsia="宋体" w:cs="Times New Roman"/>
                      <w:color w:val="auto"/>
                      <w:kern w:val="2"/>
                      <w:sz w:val="21"/>
                      <w:szCs w:val="21"/>
                      <w:lang w:val="en-US" w:eastAsia="zh-CN" w:bidi="ar-SA"/>
                    </w:rPr>
                    <w:t>本项目磨边、清洗、冷却水循环使用，不外排；水帘柜废水循环使用，一年更换一次，排入乐山市工业集中区污水处理厂；生活污水经预处理后排入乐山市工业集中区污水处理厂处理后达标排放。</w:t>
                  </w:r>
                </w:p>
              </w:tc>
              <w:tc>
                <w:tcPr>
                  <w:tcW w:w="853" w:type="dxa"/>
                  <w:vMerge w:val="continue"/>
                  <w:noWrap w:val="0"/>
                  <w:vAlign w:val="center"/>
                </w:tcPr>
                <w:p>
                  <w:pPr>
                    <w:jc w:val="center"/>
                    <w:rPr>
                      <w:rFonts w:hint="default" w:ascii="Times New Roman" w:hAnsi="Times New Roman" w:cs="Times New Roman"/>
                      <w:color w:val="auto"/>
                      <w:szCs w:val="21"/>
                      <w:highlight w:val="none"/>
                    </w:rPr>
                  </w:pPr>
                </w:p>
              </w:tc>
              <w:tc>
                <w:tcPr>
                  <w:tcW w:w="1003"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668" w:type="dxa"/>
                  <w:noWrap w:val="0"/>
                  <w:vAlign w:val="center"/>
                </w:tcPr>
                <w:p>
                  <w:pPr>
                    <w:jc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654" w:type="dxa"/>
                  <w:vMerge w:val="continue"/>
                  <w:noWrap w:val="0"/>
                  <w:vAlign w:val="center"/>
                </w:tcPr>
                <w:p>
                  <w:pPr>
                    <w:jc w:val="center"/>
                    <w:rPr>
                      <w:rFonts w:hint="default" w:ascii="Times New Roman" w:hAnsi="Times New Roman" w:cs="Times New Roman"/>
                      <w:color w:val="auto"/>
                      <w:szCs w:val="21"/>
                      <w:highlight w:val="none"/>
                    </w:rPr>
                  </w:pPr>
                </w:p>
              </w:tc>
              <w:tc>
                <w:tcPr>
                  <w:tcW w:w="901" w:type="dxa"/>
                  <w:vMerge w:val="restart"/>
                  <w:noWrap w:val="0"/>
                  <w:vAlign w:val="center"/>
                </w:tcPr>
                <w:p>
                  <w:pPr>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lang w:eastAsia="zh-CN"/>
                    </w:rPr>
                    <w:t>废水</w:t>
                  </w:r>
                </w:p>
              </w:tc>
              <w:tc>
                <w:tcPr>
                  <w:tcW w:w="4061" w:type="dxa"/>
                  <w:gridSpan w:val="2"/>
                  <w:noWrap w:val="0"/>
                  <w:vAlign w:val="center"/>
                </w:tcPr>
                <w:p>
                  <w:pPr>
                    <w:jc w:val="left"/>
                    <w:rPr>
                      <w:rFonts w:hint="default" w:ascii="Times New Roman" w:hAnsi="Times New Roman" w:eastAsia="宋体" w:cs="Times New Roman"/>
                      <w:color w:val="auto"/>
                      <w:szCs w:val="21"/>
                      <w:highlight w:val="none"/>
                      <w:lang w:eastAsia="zh-CN"/>
                    </w:rPr>
                  </w:pPr>
                  <w:r>
                    <w:rPr>
                      <w:rStyle w:val="44"/>
                      <w:rFonts w:hint="default" w:ascii="Times New Roman" w:hAnsi="Times New Roman" w:eastAsia="宋体" w:cs="Times New Roman"/>
                      <w:color w:val="auto"/>
                      <w:kern w:val="2"/>
                      <w:sz w:val="21"/>
                      <w:szCs w:val="21"/>
                      <w:lang w:val="en-US" w:eastAsia="zh-CN" w:bidi="ar-SA"/>
                    </w:rPr>
                    <w:t>项目</w:t>
                  </w:r>
                  <w:r>
                    <w:rPr>
                      <w:rStyle w:val="44"/>
                      <w:rFonts w:hint="eastAsia" w:ascii="Times New Roman" w:hAnsi="Times New Roman" w:eastAsia="宋体" w:cs="Times New Roman"/>
                      <w:color w:val="auto"/>
                      <w:kern w:val="2"/>
                      <w:sz w:val="21"/>
                      <w:szCs w:val="21"/>
                      <w:lang w:val="en-US" w:eastAsia="zh-CN" w:bidi="ar-SA"/>
                    </w:rPr>
                    <w:t>磨边、清洗废水经循环水池</w:t>
                  </w:r>
                  <w:r>
                    <w:rPr>
                      <w:rStyle w:val="44"/>
                      <w:rFonts w:hint="default" w:ascii="Times New Roman" w:hAnsi="Times New Roman" w:eastAsia="宋体" w:cs="Times New Roman"/>
                      <w:color w:val="auto"/>
                      <w:kern w:val="2"/>
                      <w:sz w:val="21"/>
                      <w:szCs w:val="21"/>
                      <w:lang w:val="en-US" w:eastAsia="zh-CN" w:bidi="ar-SA"/>
                    </w:rPr>
                    <w:t>（</w:t>
                  </w:r>
                  <w:r>
                    <w:rPr>
                      <w:rStyle w:val="44"/>
                      <w:rFonts w:hint="eastAsia" w:ascii="Times New Roman" w:hAnsi="Times New Roman" w:eastAsia="宋体" w:cs="Times New Roman"/>
                      <w:color w:val="auto"/>
                      <w:kern w:val="2"/>
                      <w:sz w:val="21"/>
                      <w:szCs w:val="21"/>
                      <w:highlight w:val="none"/>
                      <w:lang w:val="en-US" w:eastAsia="zh-CN" w:bidi="ar-SA"/>
                    </w:rPr>
                    <w:t>160</w:t>
                  </w:r>
                  <w:r>
                    <w:rPr>
                      <w:rStyle w:val="44"/>
                      <w:rFonts w:hint="default" w:ascii="Times New Roman" w:hAnsi="Times New Roman" w:eastAsia="宋体" w:cs="Times New Roman"/>
                      <w:color w:val="auto"/>
                      <w:kern w:val="2"/>
                      <w:sz w:val="21"/>
                      <w:szCs w:val="21"/>
                      <w:highlight w:val="none"/>
                      <w:lang w:val="en-US" w:eastAsia="zh-CN" w:bidi="ar-SA"/>
                    </w:rPr>
                    <w:t>m</w:t>
                  </w:r>
                  <w:r>
                    <w:rPr>
                      <w:rStyle w:val="44"/>
                      <w:rFonts w:hint="default" w:ascii="Times New Roman" w:hAnsi="Times New Roman" w:eastAsia="宋体" w:cs="Times New Roman"/>
                      <w:color w:val="auto"/>
                      <w:kern w:val="2"/>
                      <w:sz w:val="21"/>
                      <w:szCs w:val="21"/>
                      <w:highlight w:val="none"/>
                      <w:vertAlign w:val="superscript"/>
                      <w:lang w:val="en-US" w:eastAsia="zh-CN" w:bidi="ar-SA"/>
                    </w:rPr>
                    <w:t>3</w:t>
                  </w:r>
                  <w:r>
                    <w:rPr>
                      <w:rStyle w:val="44"/>
                      <w:rFonts w:hint="default" w:ascii="Times New Roman" w:hAnsi="Times New Roman" w:eastAsia="宋体" w:cs="Times New Roman"/>
                      <w:color w:val="auto"/>
                      <w:kern w:val="2"/>
                      <w:sz w:val="21"/>
                      <w:szCs w:val="21"/>
                      <w:lang w:val="en-US" w:eastAsia="zh-CN" w:bidi="ar-SA"/>
                    </w:rPr>
                    <w:t>）</w:t>
                  </w:r>
                  <w:r>
                    <w:rPr>
                      <w:rStyle w:val="44"/>
                      <w:rFonts w:hint="eastAsia" w:ascii="Times New Roman" w:hAnsi="Times New Roman" w:eastAsia="宋体" w:cs="Times New Roman"/>
                      <w:color w:val="auto"/>
                      <w:kern w:val="2"/>
                      <w:sz w:val="21"/>
                      <w:szCs w:val="21"/>
                      <w:lang w:val="en-US" w:eastAsia="zh-CN" w:bidi="ar-SA"/>
                    </w:rPr>
                    <w:t>沉淀后循环使用</w:t>
                  </w:r>
                  <w:r>
                    <w:rPr>
                      <w:rFonts w:hint="default" w:ascii="Times New Roman" w:hAnsi="Times New Roman" w:eastAsia="宋体" w:cs="Times New Roman"/>
                      <w:color w:val="auto"/>
                      <w:szCs w:val="21"/>
                      <w:highlight w:val="none"/>
                      <w:lang w:eastAsia="zh-CN"/>
                    </w:rPr>
                    <w:t>。</w:t>
                  </w:r>
                </w:p>
              </w:tc>
              <w:tc>
                <w:tcPr>
                  <w:tcW w:w="853" w:type="dxa"/>
                  <w:vMerge w:val="continue"/>
                  <w:noWrap w:val="0"/>
                  <w:vAlign w:val="center"/>
                </w:tcPr>
                <w:p>
                  <w:pPr>
                    <w:jc w:val="center"/>
                    <w:rPr>
                      <w:rFonts w:hint="default" w:ascii="Times New Roman" w:hAnsi="Times New Roman" w:cs="Times New Roman"/>
                      <w:color w:val="auto"/>
                      <w:szCs w:val="21"/>
                      <w:highlight w:val="none"/>
                    </w:rPr>
                  </w:pPr>
                </w:p>
              </w:tc>
              <w:tc>
                <w:tcPr>
                  <w:tcW w:w="1003" w:type="dxa"/>
                  <w:vMerge w:val="restart"/>
                  <w:noWrap w:val="0"/>
                  <w:vAlign w:val="center"/>
                </w:tcPr>
                <w:p>
                  <w:pPr>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lang w:eastAsia="zh-CN"/>
                    </w:rPr>
                    <w:t>废水</w:t>
                  </w:r>
                </w:p>
              </w:tc>
              <w:tc>
                <w:tcPr>
                  <w:tcW w:w="668" w:type="dxa"/>
                  <w:noWrap w:val="0"/>
                  <w:vAlign w:val="center"/>
                </w:tcPr>
                <w:p>
                  <w:pPr>
                    <w:jc w:val="center"/>
                    <w:rPr>
                      <w:rFonts w:hint="default" w:ascii="Times New Roman" w:hAnsi="Times New Roman" w:cs="Times New Roman"/>
                      <w:color w:val="auto"/>
                      <w:szCs w:val="21"/>
                      <w:highlight w:val="none"/>
                      <w:lang w:eastAsia="zh-CN"/>
                    </w:rPr>
                  </w:pPr>
                  <w:r>
                    <w:rPr>
                      <w:rFonts w:hint="default" w:ascii="Times New Roman" w:hAnsi="Times New Roman" w:eastAsia="宋体" w:cs="Times New Roman"/>
                      <w:color w:val="auto"/>
                      <w:szCs w:val="21"/>
                      <w:highlight w:val="none"/>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654" w:type="dxa"/>
                  <w:vMerge w:val="continue"/>
                  <w:noWrap w:val="0"/>
                  <w:vAlign w:val="center"/>
                </w:tcPr>
                <w:p>
                  <w:pPr>
                    <w:jc w:val="center"/>
                    <w:rPr>
                      <w:rFonts w:hint="default" w:ascii="Times New Roman" w:hAnsi="Times New Roman" w:cs="Times New Roman"/>
                      <w:color w:val="auto"/>
                      <w:szCs w:val="21"/>
                      <w:highlight w:val="none"/>
                    </w:rPr>
                  </w:pPr>
                </w:p>
              </w:tc>
              <w:tc>
                <w:tcPr>
                  <w:tcW w:w="901" w:type="dxa"/>
                  <w:vMerge w:val="continue"/>
                  <w:noWrap w:val="0"/>
                  <w:vAlign w:val="center"/>
                </w:tcPr>
                <w:p>
                  <w:pPr>
                    <w:jc w:val="center"/>
                    <w:rPr>
                      <w:rFonts w:hint="default" w:ascii="Times New Roman" w:hAnsi="Times New Roman" w:cs="Times New Roman"/>
                      <w:color w:val="auto"/>
                      <w:szCs w:val="21"/>
                      <w:highlight w:val="none"/>
                      <w:lang w:eastAsia="zh-CN"/>
                    </w:rPr>
                  </w:pPr>
                </w:p>
              </w:tc>
              <w:tc>
                <w:tcPr>
                  <w:tcW w:w="4061" w:type="dxa"/>
                  <w:gridSpan w:val="2"/>
                  <w:noWrap w:val="0"/>
                  <w:vAlign w:val="center"/>
                </w:tcPr>
                <w:p>
                  <w:pPr>
                    <w:jc w:val="left"/>
                    <w:rPr>
                      <w:rStyle w:val="44"/>
                      <w:rFonts w:hint="default" w:ascii="Times New Roman" w:hAnsi="Times New Roman" w:eastAsia="宋体" w:cs="Times New Roman"/>
                      <w:color w:val="auto"/>
                      <w:kern w:val="2"/>
                      <w:sz w:val="21"/>
                      <w:szCs w:val="21"/>
                      <w:lang w:val="en-US" w:eastAsia="zh-CN" w:bidi="ar-SA"/>
                    </w:rPr>
                  </w:pPr>
                  <w:r>
                    <w:rPr>
                      <w:rStyle w:val="44"/>
                      <w:rFonts w:hint="eastAsia" w:ascii="Times New Roman" w:hAnsi="Times New Roman" w:eastAsia="宋体" w:cs="Times New Roman"/>
                      <w:color w:val="auto"/>
                      <w:kern w:val="2"/>
                      <w:sz w:val="21"/>
                      <w:szCs w:val="21"/>
                      <w:lang w:val="en-US" w:eastAsia="zh-CN" w:bidi="ar-SA"/>
                    </w:rPr>
                    <w:t>设置20m</w:t>
                  </w:r>
                  <w:r>
                    <w:rPr>
                      <w:rStyle w:val="44"/>
                      <w:rFonts w:hint="eastAsia" w:ascii="Times New Roman" w:hAnsi="Times New Roman" w:eastAsia="宋体" w:cs="Times New Roman"/>
                      <w:color w:val="auto"/>
                      <w:kern w:val="2"/>
                      <w:sz w:val="21"/>
                      <w:szCs w:val="21"/>
                      <w:vertAlign w:val="superscript"/>
                      <w:lang w:val="en-US" w:eastAsia="zh-CN" w:bidi="ar-SA"/>
                    </w:rPr>
                    <w:t>3</w:t>
                  </w:r>
                  <w:r>
                    <w:rPr>
                      <w:rStyle w:val="44"/>
                      <w:rFonts w:hint="eastAsia" w:ascii="Times New Roman" w:hAnsi="Times New Roman" w:eastAsia="宋体" w:cs="Times New Roman"/>
                      <w:color w:val="auto"/>
                      <w:kern w:val="2"/>
                      <w:sz w:val="21"/>
                      <w:szCs w:val="21"/>
                      <w:lang w:val="en-US" w:eastAsia="zh-CN" w:bidi="ar-SA"/>
                    </w:rPr>
                    <w:t>冷却水池，冷却水循环使用。</w:t>
                  </w:r>
                </w:p>
              </w:tc>
              <w:tc>
                <w:tcPr>
                  <w:tcW w:w="853" w:type="dxa"/>
                  <w:vMerge w:val="continue"/>
                  <w:noWrap w:val="0"/>
                  <w:vAlign w:val="center"/>
                </w:tcPr>
                <w:p>
                  <w:pPr>
                    <w:jc w:val="center"/>
                    <w:rPr>
                      <w:rFonts w:hint="default" w:ascii="Times New Roman" w:hAnsi="Times New Roman" w:cs="Times New Roman"/>
                      <w:color w:val="auto"/>
                      <w:szCs w:val="21"/>
                      <w:highlight w:val="none"/>
                    </w:rPr>
                  </w:pPr>
                </w:p>
              </w:tc>
              <w:tc>
                <w:tcPr>
                  <w:tcW w:w="1003" w:type="dxa"/>
                  <w:vMerge w:val="continue"/>
                  <w:noWrap w:val="0"/>
                  <w:vAlign w:val="center"/>
                </w:tcPr>
                <w:p>
                  <w:pPr>
                    <w:jc w:val="center"/>
                    <w:rPr>
                      <w:rFonts w:hint="default" w:ascii="Times New Roman" w:hAnsi="Times New Roman" w:cs="Times New Roman"/>
                      <w:color w:val="auto"/>
                      <w:szCs w:val="21"/>
                      <w:highlight w:val="none"/>
                      <w:lang w:eastAsia="zh-CN"/>
                    </w:rPr>
                  </w:pPr>
                </w:p>
              </w:tc>
              <w:tc>
                <w:tcPr>
                  <w:tcW w:w="668" w:type="dxa"/>
                  <w:noWrap w:val="0"/>
                  <w:vAlign w:val="center"/>
                </w:tcPr>
                <w:p>
                  <w:pPr>
                    <w:jc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4" w:type="dxa"/>
                  <w:vMerge w:val="continue"/>
                  <w:noWrap w:val="0"/>
                  <w:vAlign w:val="center"/>
                </w:tcPr>
                <w:p>
                  <w:pPr>
                    <w:jc w:val="center"/>
                    <w:rPr>
                      <w:rFonts w:hint="default" w:ascii="Times New Roman" w:hAnsi="Times New Roman" w:cs="Times New Roman"/>
                      <w:color w:val="auto"/>
                      <w:szCs w:val="21"/>
                      <w:highlight w:val="none"/>
                    </w:rPr>
                  </w:pPr>
                </w:p>
              </w:tc>
              <w:tc>
                <w:tcPr>
                  <w:tcW w:w="901" w:type="dxa"/>
                  <w:vMerge w:val="continue"/>
                  <w:noWrap w:val="0"/>
                  <w:vAlign w:val="center"/>
                </w:tcPr>
                <w:p>
                  <w:pPr>
                    <w:jc w:val="center"/>
                    <w:rPr>
                      <w:rFonts w:hint="default" w:ascii="Times New Roman" w:hAnsi="Times New Roman" w:cs="Times New Roman"/>
                      <w:color w:val="auto"/>
                      <w:szCs w:val="21"/>
                      <w:highlight w:val="none"/>
                    </w:rPr>
                  </w:pPr>
                </w:p>
              </w:tc>
              <w:tc>
                <w:tcPr>
                  <w:tcW w:w="4061" w:type="dxa"/>
                  <w:gridSpan w:val="2"/>
                  <w:noWrap w:val="0"/>
                  <w:vAlign w:val="center"/>
                </w:tcPr>
                <w:p>
                  <w:pPr>
                    <w:jc w:val="left"/>
                    <w:rPr>
                      <w:rFonts w:hint="default" w:ascii="Times New Roman" w:hAnsi="Times New Roman" w:eastAsia="宋体" w:cs="Times New Roman"/>
                      <w:color w:val="auto"/>
                      <w:szCs w:val="21"/>
                      <w:highlight w:val="none"/>
                      <w:lang w:eastAsia="zh-CN"/>
                    </w:rPr>
                  </w:pPr>
                  <w:r>
                    <w:rPr>
                      <w:rStyle w:val="44"/>
                      <w:rFonts w:hint="default" w:ascii="Times New Roman" w:hAnsi="Times New Roman" w:eastAsia="宋体" w:cs="Times New Roman"/>
                      <w:kern w:val="2"/>
                      <w:sz w:val="21"/>
                      <w:szCs w:val="21"/>
                      <w:lang w:val="en-US" w:eastAsia="zh-CN" w:bidi="ar-SA"/>
                    </w:rPr>
                    <w:t>生活污水经化粪池预处</w:t>
                  </w:r>
                  <w:r>
                    <w:rPr>
                      <w:rStyle w:val="44"/>
                      <w:rFonts w:hint="default" w:ascii="Times New Roman" w:hAnsi="Times New Roman" w:eastAsia="宋体" w:cs="Times New Roman"/>
                      <w:color w:val="auto"/>
                      <w:kern w:val="2"/>
                      <w:sz w:val="21"/>
                      <w:szCs w:val="21"/>
                      <w:highlight w:val="none"/>
                      <w:lang w:val="en-US" w:eastAsia="zh-CN" w:bidi="ar-SA"/>
                    </w:rPr>
                    <w:t>理（5m</w:t>
                  </w:r>
                  <w:r>
                    <w:rPr>
                      <w:rStyle w:val="44"/>
                      <w:rFonts w:hint="default" w:ascii="Times New Roman" w:hAnsi="Times New Roman" w:eastAsia="宋体" w:cs="Times New Roman"/>
                      <w:color w:val="auto"/>
                      <w:kern w:val="2"/>
                      <w:sz w:val="21"/>
                      <w:szCs w:val="21"/>
                      <w:highlight w:val="none"/>
                      <w:vertAlign w:val="superscript"/>
                      <w:lang w:val="en-US" w:eastAsia="zh-CN" w:bidi="ar-SA"/>
                    </w:rPr>
                    <w:t>3</w:t>
                  </w:r>
                  <w:r>
                    <w:rPr>
                      <w:rStyle w:val="44"/>
                      <w:rFonts w:hint="default" w:ascii="Times New Roman" w:hAnsi="Times New Roman" w:eastAsia="宋体" w:cs="Times New Roman"/>
                      <w:color w:val="auto"/>
                      <w:kern w:val="2"/>
                      <w:sz w:val="21"/>
                      <w:szCs w:val="21"/>
                      <w:highlight w:val="none"/>
                      <w:lang w:val="en-US" w:eastAsia="zh-CN" w:bidi="ar-SA"/>
                    </w:rPr>
                    <w:t>），</w:t>
                  </w:r>
                  <w:r>
                    <w:rPr>
                      <w:rStyle w:val="44"/>
                      <w:rFonts w:hint="eastAsia" w:ascii="宋体" w:hAnsi="宋体" w:eastAsia="宋体" w:cs="Times New Roman"/>
                      <w:color w:val="auto"/>
                      <w:kern w:val="2"/>
                      <w:sz w:val="21"/>
                      <w:szCs w:val="21"/>
                      <w:lang w:val="en-US" w:eastAsia="zh-CN" w:bidi="ar-SA"/>
                    </w:rPr>
                    <w:t>排入乐山市工业集中区污水处理厂处理后达标排放。</w:t>
                  </w:r>
                </w:p>
              </w:tc>
              <w:tc>
                <w:tcPr>
                  <w:tcW w:w="853" w:type="dxa"/>
                  <w:vMerge w:val="continue"/>
                  <w:noWrap w:val="0"/>
                  <w:vAlign w:val="center"/>
                </w:tcPr>
                <w:p>
                  <w:pPr>
                    <w:jc w:val="center"/>
                    <w:rPr>
                      <w:rFonts w:hint="default" w:ascii="Times New Roman" w:hAnsi="Times New Roman" w:cs="Times New Roman"/>
                      <w:color w:val="auto"/>
                      <w:szCs w:val="21"/>
                      <w:highlight w:val="none"/>
                    </w:rPr>
                  </w:pPr>
                </w:p>
              </w:tc>
              <w:tc>
                <w:tcPr>
                  <w:tcW w:w="1003" w:type="dxa"/>
                  <w:vMerge w:val="continue"/>
                  <w:noWrap w:val="0"/>
                  <w:vAlign w:val="center"/>
                </w:tcPr>
                <w:p>
                  <w:pPr>
                    <w:jc w:val="center"/>
                    <w:rPr>
                      <w:rFonts w:hint="default" w:ascii="Times New Roman" w:hAnsi="Times New Roman" w:cs="Times New Roman"/>
                      <w:color w:val="auto"/>
                      <w:szCs w:val="21"/>
                      <w:highlight w:val="none"/>
                    </w:rPr>
                  </w:pPr>
                </w:p>
              </w:tc>
              <w:tc>
                <w:tcPr>
                  <w:tcW w:w="668" w:type="dxa"/>
                  <w:noWrap w:val="0"/>
                  <w:vAlign w:val="center"/>
                </w:tcPr>
                <w:p>
                  <w:pPr>
                    <w:jc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4" w:type="dxa"/>
                  <w:vMerge w:val="continue"/>
                  <w:noWrap w:val="0"/>
                  <w:vAlign w:val="center"/>
                </w:tcPr>
                <w:p>
                  <w:pPr>
                    <w:jc w:val="center"/>
                    <w:rPr>
                      <w:rFonts w:hint="default" w:ascii="Times New Roman" w:hAnsi="Times New Roman" w:cs="Times New Roman"/>
                      <w:color w:val="auto"/>
                      <w:szCs w:val="21"/>
                      <w:highlight w:val="none"/>
                    </w:rPr>
                  </w:pPr>
                </w:p>
              </w:tc>
              <w:tc>
                <w:tcPr>
                  <w:tcW w:w="901" w:type="dxa"/>
                  <w:vMerge w:val="continue"/>
                  <w:noWrap w:val="0"/>
                  <w:vAlign w:val="center"/>
                </w:tcPr>
                <w:p>
                  <w:pPr>
                    <w:jc w:val="center"/>
                    <w:rPr>
                      <w:rFonts w:hint="default" w:ascii="Times New Roman" w:hAnsi="Times New Roman" w:cs="Times New Roman"/>
                      <w:color w:val="auto"/>
                      <w:szCs w:val="21"/>
                      <w:highlight w:val="none"/>
                    </w:rPr>
                  </w:pPr>
                </w:p>
              </w:tc>
              <w:tc>
                <w:tcPr>
                  <w:tcW w:w="4061" w:type="dxa"/>
                  <w:gridSpan w:val="2"/>
                  <w:noWrap w:val="0"/>
                  <w:vAlign w:val="center"/>
                </w:tcPr>
                <w:p>
                  <w:pPr>
                    <w:jc w:val="left"/>
                    <w:rPr>
                      <w:rStyle w:val="44"/>
                      <w:rFonts w:hint="default" w:ascii="Times New Roman" w:hAnsi="Times New Roman" w:eastAsia="宋体" w:cs="Times New Roman"/>
                      <w:kern w:val="2"/>
                      <w:sz w:val="21"/>
                      <w:szCs w:val="21"/>
                      <w:lang w:val="en-US" w:eastAsia="zh-CN" w:bidi="ar-SA"/>
                    </w:rPr>
                  </w:pPr>
                  <w:r>
                    <w:rPr>
                      <w:rStyle w:val="44"/>
                      <w:rFonts w:hint="eastAsia" w:ascii="Times New Roman" w:hAnsi="Times New Roman" w:eastAsia="宋体" w:cs="Times New Roman"/>
                      <w:kern w:val="2"/>
                      <w:sz w:val="21"/>
                      <w:szCs w:val="21"/>
                      <w:lang w:val="en-US" w:eastAsia="zh-CN" w:bidi="ar-SA"/>
                    </w:rPr>
                    <w:t>水帘柜废水：循环水箱储水量约1m</w:t>
                  </w:r>
                  <w:r>
                    <w:rPr>
                      <w:rStyle w:val="44"/>
                      <w:rFonts w:hint="eastAsia" w:ascii="Times New Roman" w:hAnsi="Times New Roman" w:eastAsia="宋体" w:cs="Times New Roman"/>
                      <w:kern w:val="2"/>
                      <w:sz w:val="21"/>
                      <w:szCs w:val="21"/>
                      <w:vertAlign w:val="superscript"/>
                      <w:lang w:val="en-US" w:eastAsia="zh-CN" w:bidi="ar-SA"/>
                    </w:rPr>
                    <w:t>3</w:t>
                  </w:r>
                  <w:r>
                    <w:rPr>
                      <w:rStyle w:val="44"/>
                      <w:rFonts w:hint="eastAsia" w:ascii="Times New Roman" w:hAnsi="Times New Roman" w:eastAsia="宋体" w:cs="Times New Roman"/>
                      <w:kern w:val="2"/>
                      <w:sz w:val="21"/>
                      <w:szCs w:val="21"/>
                      <w:lang w:val="en-US" w:eastAsia="zh-CN" w:bidi="ar-SA"/>
                    </w:rPr>
                    <w:t>，将水面浮渣（漆渣）打捞处理后循环使用，一年更换一次，</w:t>
                  </w:r>
                  <w:r>
                    <w:rPr>
                      <w:rStyle w:val="44"/>
                      <w:rFonts w:hint="eastAsia" w:ascii="宋体" w:hAnsi="宋体" w:eastAsia="宋体" w:cs="Times New Roman"/>
                      <w:color w:val="auto"/>
                      <w:kern w:val="2"/>
                      <w:sz w:val="21"/>
                      <w:szCs w:val="21"/>
                      <w:lang w:val="en-US" w:eastAsia="zh-CN" w:bidi="ar-SA"/>
                    </w:rPr>
                    <w:t>排入乐山市工业集中区污水处理厂处理后达标排放。</w:t>
                  </w:r>
                </w:p>
              </w:tc>
              <w:tc>
                <w:tcPr>
                  <w:tcW w:w="853" w:type="dxa"/>
                  <w:vMerge w:val="continue"/>
                  <w:noWrap w:val="0"/>
                  <w:vAlign w:val="center"/>
                </w:tcPr>
                <w:p>
                  <w:pPr>
                    <w:jc w:val="center"/>
                    <w:rPr>
                      <w:rFonts w:hint="default" w:ascii="Times New Roman" w:hAnsi="Times New Roman" w:cs="Times New Roman"/>
                      <w:color w:val="auto"/>
                      <w:szCs w:val="21"/>
                      <w:highlight w:val="none"/>
                    </w:rPr>
                  </w:pPr>
                </w:p>
              </w:tc>
              <w:tc>
                <w:tcPr>
                  <w:tcW w:w="1003" w:type="dxa"/>
                  <w:vMerge w:val="continue"/>
                  <w:noWrap w:val="0"/>
                  <w:vAlign w:val="center"/>
                </w:tcPr>
                <w:p>
                  <w:pPr>
                    <w:jc w:val="center"/>
                    <w:rPr>
                      <w:rFonts w:hint="default" w:ascii="Times New Roman" w:hAnsi="Times New Roman" w:cs="Times New Roman"/>
                      <w:color w:val="auto"/>
                      <w:szCs w:val="21"/>
                      <w:highlight w:val="none"/>
                    </w:rPr>
                  </w:pPr>
                </w:p>
              </w:tc>
              <w:tc>
                <w:tcPr>
                  <w:tcW w:w="668" w:type="dxa"/>
                  <w:noWrap w:val="0"/>
                  <w:vAlign w:val="center"/>
                </w:tcPr>
                <w:p>
                  <w:pPr>
                    <w:jc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jc w:val="center"/>
              </w:trPr>
              <w:tc>
                <w:tcPr>
                  <w:tcW w:w="654" w:type="dxa"/>
                  <w:vMerge w:val="continue"/>
                  <w:noWrap w:val="0"/>
                  <w:vAlign w:val="center"/>
                </w:tcPr>
                <w:p>
                  <w:pPr>
                    <w:jc w:val="center"/>
                    <w:rPr>
                      <w:rFonts w:hint="default" w:ascii="Times New Roman" w:hAnsi="Times New Roman" w:cs="Times New Roman"/>
                      <w:color w:val="auto"/>
                      <w:szCs w:val="21"/>
                      <w:highlight w:val="none"/>
                    </w:rPr>
                  </w:pPr>
                </w:p>
              </w:tc>
              <w:tc>
                <w:tcPr>
                  <w:tcW w:w="901" w:type="dxa"/>
                  <w:vMerge w:val="restart"/>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废气</w:t>
                  </w:r>
                </w:p>
              </w:tc>
              <w:tc>
                <w:tcPr>
                  <w:tcW w:w="4061" w:type="dxa"/>
                  <w:gridSpan w:val="2"/>
                  <w:noWrap w:val="0"/>
                  <w:vAlign w:val="center"/>
                </w:tcPr>
                <w:p>
                  <w:pPr>
                    <w:jc w:val="left"/>
                    <w:rPr>
                      <w:rFonts w:hint="default" w:ascii="Times New Roman" w:hAnsi="Times New Roman" w:eastAsia="宋体" w:cs="Times New Roman"/>
                      <w:color w:val="auto"/>
                      <w:szCs w:val="21"/>
                      <w:highlight w:val="none"/>
                      <w:lang w:val="en-US" w:eastAsia="zh-CN"/>
                    </w:rPr>
                  </w:pPr>
                  <w:r>
                    <w:rPr>
                      <w:rStyle w:val="44"/>
                      <w:rFonts w:hint="default" w:ascii="Times New Roman" w:hAnsi="Times New Roman" w:eastAsia="宋体" w:cs="Times New Roman"/>
                      <w:kern w:val="2"/>
                      <w:sz w:val="21"/>
                      <w:szCs w:val="21"/>
                      <w:lang w:val="en-US" w:eastAsia="zh-CN" w:bidi="ar-SA"/>
                    </w:rPr>
                    <w:t>喷漆房废气收集后，经“水帘柜+干式过滤+两级活性炭”处理后通过1根15m排气筒（DA00</w:t>
                  </w:r>
                  <w:r>
                    <w:rPr>
                      <w:rStyle w:val="44"/>
                      <w:rFonts w:hint="eastAsia" w:ascii="Times New Roman" w:hAnsi="Times New Roman" w:eastAsia="宋体" w:cs="Times New Roman"/>
                      <w:kern w:val="2"/>
                      <w:sz w:val="21"/>
                      <w:szCs w:val="21"/>
                      <w:lang w:val="en-US" w:eastAsia="zh-CN" w:bidi="ar-SA"/>
                    </w:rPr>
                    <w:t>1</w:t>
                  </w:r>
                  <w:r>
                    <w:rPr>
                      <w:rStyle w:val="44"/>
                      <w:rFonts w:hint="default" w:ascii="Times New Roman" w:hAnsi="Times New Roman" w:eastAsia="宋体" w:cs="Times New Roman"/>
                      <w:kern w:val="2"/>
                      <w:sz w:val="21"/>
                      <w:szCs w:val="21"/>
                      <w:lang w:val="en-US" w:eastAsia="zh-CN" w:bidi="ar-SA"/>
                    </w:rPr>
                    <w:t>）排放。</w:t>
                  </w:r>
                </w:p>
              </w:tc>
              <w:tc>
                <w:tcPr>
                  <w:tcW w:w="853" w:type="dxa"/>
                  <w:vMerge w:val="continue"/>
                  <w:noWrap w:val="0"/>
                  <w:vAlign w:val="center"/>
                </w:tcPr>
                <w:p>
                  <w:pPr>
                    <w:jc w:val="center"/>
                    <w:rPr>
                      <w:rFonts w:hint="default" w:ascii="Times New Roman" w:hAnsi="Times New Roman" w:cs="Times New Roman"/>
                      <w:color w:val="auto"/>
                      <w:szCs w:val="21"/>
                      <w:highlight w:val="none"/>
                    </w:rPr>
                  </w:pPr>
                </w:p>
              </w:tc>
              <w:tc>
                <w:tcPr>
                  <w:tcW w:w="1003" w:type="dxa"/>
                  <w:vMerge w:val="restart"/>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废气</w:t>
                  </w:r>
                </w:p>
              </w:tc>
              <w:tc>
                <w:tcPr>
                  <w:tcW w:w="668" w:type="dxa"/>
                  <w:vMerge w:val="restart"/>
                  <w:noWrap w:val="0"/>
                  <w:vAlign w:val="center"/>
                </w:tcPr>
                <w:p>
                  <w:pPr>
                    <w:jc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jc w:val="center"/>
              </w:trPr>
              <w:tc>
                <w:tcPr>
                  <w:tcW w:w="654" w:type="dxa"/>
                  <w:vMerge w:val="continue"/>
                  <w:noWrap w:val="0"/>
                  <w:vAlign w:val="center"/>
                </w:tcPr>
                <w:p>
                  <w:pPr>
                    <w:jc w:val="center"/>
                    <w:rPr>
                      <w:rFonts w:hint="default" w:ascii="Times New Roman" w:hAnsi="Times New Roman" w:cs="Times New Roman"/>
                      <w:color w:val="auto"/>
                      <w:szCs w:val="21"/>
                      <w:highlight w:val="none"/>
                    </w:rPr>
                  </w:pPr>
                </w:p>
              </w:tc>
              <w:tc>
                <w:tcPr>
                  <w:tcW w:w="901" w:type="dxa"/>
                  <w:vMerge w:val="continue"/>
                  <w:noWrap w:val="0"/>
                  <w:vAlign w:val="center"/>
                </w:tcPr>
                <w:p>
                  <w:pPr>
                    <w:jc w:val="center"/>
                    <w:rPr>
                      <w:rFonts w:hint="default" w:ascii="Times New Roman" w:hAnsi="Times New Roman" w:cs="Times New Roman"/>
                      <w:color w:val="auto"/>
                      <w:szCs w:val="21"/>
                      <w:highlight w:val="none"/>
                    </w:rPr>
                  </w:pPr>
                </w:p>
              </w:tc>
              <w:tc>
                <w:tcPr>
                  <w:tcW w:w="4061" w:type="dxa"/>
                  <w:gridSpan w:val="2"/>
                  <w:noWrap w:val="0"/>
                  <w:vAlign w:val="center"/>
                </w:tcPr>
                <w:p>
                  <w:pPr>
                    <w:jc w:val="left"/>
                    <w:rPr>
                      <w:rStyle w:val="44"/>
                      <w:rFonts w:hint="default" w:ascii="Times New Roman" w:hAnsi="Times New Roman" w:eastAsia="宋体" w:cs="Times New Roman"/>
                      <w:kern w:val="2"/>
                      <w:sz w:val="21"/>
                      <w:szCs w:val="21"/>
                      <w:lang w:val="en-US" w:eastAsia="zh-CN" w:bidi="ar-SA"/>
                    </w:rPr>
                  </w:pPr>
                  <w:r>
                    <w:rPr>
                      <w:rStyle w:val="44"/>
                      <w:rFonts w:hint="eastAsia" w:ascii="Times New Roman" w:hAnsi="Times New Roman" w:eastAsia="宋体" w:cs="Times New Roman"/>
                      <w:kern w:val="2"/>
                      <w:sz w:val="21"/>
                      <w:szCs w:val="21"/>
                      <w:lang w:val="en-US" w:eastAsia="zh-CN" w:bidi="ar-SA"/>
                    </w:rPr>
                    <w:t>晾干区、危废暂存间废气收集后依托喷漆房废气的两级活性炭设施处理后通过</w:t>
                  </w:r>
                  <w:r>
                    <w:rPr>
                      <w:rStyle w:val="44"/>
                      <w:rFonts w:hint="default" w:ascii="Times New Roman" w:hAnsi="Times New Roman" w:eastAsia="宋体" w:cs="Times New Roman"/>
                      <w:kern w:val="2"/>
                      <w:sz w:val="21"/>
                      <w:szCs w:val="21"/>
                      <w:lang w:val="en-US" w:eastAsia="zh-CN" w:bidi="ar-SA"/>
                    </w:rPr>
                    <w:t>15m排气筒（DA00</w:t>
                  </w:r>
                  <w:r>
                    <w:rPr>
                      <w:rStyle w:val="44"/>
                      <w:rFonts w:hint="eastAsia" w:ascii="Times New Roman" w:hAnsi="Times New Roman" w:eastAsia="宋体" w:cs="Times New Roman"/>
                      <w:kern w:val="2"/>
                      <w:sz w:val="21"/>
                      <w:szCs w:val="21"/>
                      <w:lang w:val="en-US" w:eastAsia="zh-CN" w:bidi="ar-SA"/>
                    </w:rPr>
                    <w:t>1</w:t>
                  </w:r>
                  <w:r>
                    <w:rPr>
                      <w:rStyle w:val="44"/>
                      <w:rFonts w:hint="default" w:ascii="Times New Roman" w:hAnsi="Times New Roman" w:eastAsia="宋体" w:cs="Times New Roman"/>
                      <w:kern w:val="2"/>
                      <w:sz w:val="21"/>
                      <w:szCs w:val="21"/>
                      <w:lang w:val="en-US" w:eastAsia="zh-CN" w:bidi="ar-SA"/>
                    </w:rPr>
                    <w:t>）</w:t>
                  </w:r>
                  <w:r>
                    <w:rPr>
                      <w:rStyle w:val="44"/>
                      <w:rFonts w:hint="eastAsia" w:ascii="Times New Roman" w:hAnsi="Times New Roman" w:eastAsia="宋体" w:cs="Times New Roman"/>
                      <w:kern w:val="2"/>
                      <w:sz w:val="21"/>
                      <w:szCs w:val="21"/>
                      <w:lang w:val="en-US" w:eastAsia="zh-CN" w:bidi="ar-SA"/>
                    </w:rPr>
                    <w:t>排放。</w:t>
                  </w:r>
                </w:p>
              </w:tc>
              <w:tc>
                <w:tcPr>
                  <w:tcW w:w="853" w:type="dxa"/>
                  <w:vMerge w:val="continue"/>
                  <w:noWrap w:val="0"/>
                  <w:vAlign w:val="center"/>
                </w:tcPr>
                <w:p>
                  <w:pPr>
                    <w:jc w:val="center"/>
                    <w:rPr>
                      <w:rFonts w:hint="default" w:ascii="Times New Roman" w:hAnsi="Times New Roman" w:cs="Times New Roman"/>
                      <w:color w:val="auto"/>
                      <w:szCs w:val="21"/>
                      <w:highlight w:val="none"/>
                    </w:rPr>
                  </w:pPr>
                </w:p>
              </w:tc>
              <w:tc>
                <w:tcPr>
                  <w:tcW w:w="1003" w:type="dxa"/>
                  <w:vMerge w:val="continue"/>
                  <w:noWrap w:val="0"/>
                  <w:vAlign w:val="center"/>
                </w:tcPr>
                <w:p>
                  <w:pPr>
                    <w:jc w:val="center"/>
                    <w:rPr>
                      <w:rFonts w:hint="default" w:ascii="Times New Roman" w:hAnsi="Times New Roman" w:cs="Times New Roman"/>
                      <w:color w:val="auto"/>
                      <w:szCs w:val="21"/>
                      <w:highlight w:val="none"/>
                    </w:rPr>
                  </w:pPr>
                </w:p>
              </w:tc>
              <w:tc>
                <w:tcPr>
                  <w:tcW w:w="668" w:type="dxa"/>
                  <w:vMerge w:val="continue"/>
                  <w:noWrap w:val="0"/>
                  <w:vAlign w:val="center"/>
                </w:tcPr>
                <w:p>
                  <w:pPr>
                    <w:jc w:val="center"/>
                    <w:rPr>
                      <w:rFonts w:hint="default" w:ascii="Times New Roman" w:hAnsi="Times New Roman" w:eastAsia="宋体" w:cs="Times New Roman"/>
                      <w:color w:val="auto"/>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jc w:val="center"/>
              </w:trPr>
              <w:tc>
                <w:tcPr>
                  <w:tcW w:w="654" w:type="dxa"/>
                  <w:vMerge w:val="continue"/>
                  <w:noWrap w:val="0"/>
                  <w:vAlign w:val="center"/>
                </w:tcPr>
                <w:p>
                  <w:pPr>
                    <w:jc w:val="center"/>
                    <w:rPr>
                      <w:rFonts w:hint="default" w:ascii="Times New Roman" w:hAnsi="Times New Roman" w:cs="Times New Roman"/>
                      <w:color w:val="auto"/>
                      <w:szCs w:val="21"/>
                      <w:highlight w:val="none"/>
                    </w:rPr>
                  </w:pPr>
                </w:p>
              </w:tc>
              <w:tc>
                <w:tcPr>
                  <w:tcW w:w="901" w:type="dxa"/>
                  <w:vMerge w:val="continue"/>
                  <w:noWrap w:val="0"/>
                  <w:vAlign w:val="center"/>
                </w:tcPr>
                <w:p>
                  <w:pPr>
                    <w:jc w:val="center"/>
                    <w:rPr>
                      <w:rFonts w:hint="default" w:ascii="Times New Roman" w:hAnsi="Times New Roman" w:cs="Times New Roman"/>
                      <w:color w:val="auto"/>
                      <w:szCs w:val="21"/>
                      <w:highlight w:val="none"/>
                    </w:rPr>
                  </w:pPr>
                </w:p>
              </w:tc>
              <w:tc>
                <w:tcPr>
                  <w:tcW w:w="4061" w:type="dxa"/>
                  <w:gridSpan w:val="2"/>
                  <w:noWrap w:val="0"/>
                  <w:vAlign w:val="center"/>
                </w:tcPr>
                <w:p>
                  <w:pPr>
                    <w:jc w:val="left"/>
                    <w:rPr>
                      <w:rStyle w:val="44"/>
                      <w:rFonts w:hint="default" w:ascii="Times New Roman" w:hAnsi="Times New Roman" w:eastAsia="宋体" w:cs="Times New Roman"/>
                      <w:kern w:val="2"/>
                      <w:sz w:val="21"/>
                      <w:szCs w:val="21"/>
                      <w:lang w:val="en-US" w:eastAsia="zh-CN" w:bidi="ar-SA"/>
                    </w:rPr>
                  </w:pPr>
                  <w:r>
                    <w:rPr>
                      <w:rStyle w:val="44"/>
                      <w:rFonts w:hint="eastAsia" w:ascii="Times New Roman" w:hAnsi="Times New Roman" w:eastAsia="宋体" w:cs="Times New Roman"/>
                      <w:kern w:val="2"/>
                      <w:sz w:val="21"/>
                      <w:szCs w:val="21"/>
                      <w:lang w:val="en-US" w:eastAsia="zh-CN" w:bidi="ar-SA"/>
                    </w:rPr>
                    <w:t>磨边粉尘：磨边采用湿法磨边，粉尘随磨边废水一起进入循环水池。</w:t>
                  </w:r>
                </w:p>
              </w:tc>
              <w:tc>
                <w:tcPr>
                  <w:tcW w:w="853" w:type="dxa"/>
                  <w:vMerge w:val="continue"/>
                  <w:noWrap w:val="0"/>
                  <w:vAlign w:val="center"/>
                </w:tcPr>
                <w:p>
                  <w:pPr>
                    <w:jc w:val="center"/>
                    <w:rPr>
                      <w:rFonts w:hint="default" w:ascii="Times New Roman" w:hAnsi="Times New Roman" w:cs="Times New Roman"/>
                      <w:color w:val="auto"/>
                      <w:szCs w:val="21"/>
                      <w:highlight w:val="none"/>
                    </w:rPr>
                  </w:pPr>
                </w:p>
              </w:tc>
              <w:tc>
                <w:tcPr>
                  <w:tcW w:w="1003" w:type="dxa"/>
                  <w:vMerge w:val="continue"/>
                  <w:noWrap w:val="0"/>
                  <w:vAlign w:val="center"/>
                </w:tcPr>
                <w:p>
                  <w:pPr>
                    <w:jc w:val="center"/>
                    <w:rPr>
                      <w:rFonts w:hint="default" w:ascii="Times New Roman" w:hAnsi="Times New Roman" w:cs="Times New Roman"/>
                      <w:color w:val="auto"/>
                      <w:szCs w:val="21"/>
                      <w:highlight w:val="none"/>
                    </w:rPr>
                  </w:pPr>
                </w:p>
              </w:tc>
              <w:tc>
                <w:tcPr>
                  <w:tcW w:w="668" w:type="dxa"/>
                  <w:vMerge w:val="continue"/>
                  <w:noWrap w:val="0"/>
                  <w:vAlign w:val="center"/>
                </w:tcPr>
                <w:p>
                  <w:pPr>
                    <w:jc w:val="center"/>
                    <w:rPr>
                      <w:rFonts w:hint="default" w:ascii="Times New Roman" w:hAnsi="Times New Roman" w:eastAsia="宋体" w:cs="Times New Roman"/>
                      <w:color w:val="auto"/>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654" w:type="dxa"/>
                  <w:vMerge w:val="continue"/>
                  <w:noWrap w:val="0"/>
                  <w:vAlign w:val="center"/>
                </w:tcPr>
                <w:p>
                  <w:pPr>
                    <w:jc w:val="center"/>
                    <w:rPr>
                      <w:rFonts w:hint="default" w:ascii="Times New Roman" w:hAnsi="Times New Roman" w:cs="Times New Roman"/>
                      <w:color w:val="auto"/>
                      <w:szCs w:val="21"/>
                      <w:highlight w:val="none"/>
                    </w:rPr>
                  </w:pPr>
                </w:p>
              </w:tc>
              <w:tc>
                <w:tcPr>
                  <w:tcW w:w="901" w:type="dxa"/>
                  <w:vMerge w:val="restart"/>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固废</w:t>
                  </w:r>
                </w:p>
              </w:tc>
              <w:tc>
                <w:tcPr>
                  <w:tcW w:w="1330"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生活垃圾</w:t>
                  </w:r>
                </w:p>
              </w:tc>
              <w:tc>
                <w:tcPr>
                  <w:tcW w:w="2731" w:type="dxa"/>
                  <w:noWrap w:val="0"/>
                  <w:vAlign w:val="center"/>
                </w:tcPr>
                <w:p>
                  <w:pPr>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交由环卫部门处理</w:t>
                  </w:r>
                  <w:r>
                    <w:rPr>
                      <w:rFonts w:hint="default" w:ascii="Times New Roman" w:hAnsi="Times New Roman" w:cs="Times New Roman"/>
                      <w:color w:val="auto"/>
                      <w:szCs w:val="21"/>
                      <w:highlight w:val="none"/>
                      <w:lang w:eastAsia="zh-CN"/>
                    </w:rPr>
                    <w:t>。</w:t>
                  </w:r>
                </w:p>
              </w:tc>
              <w:tc>
                <w:tcPr>
                  <w:tcW w:w="853" w:type="dxa"/>
                  <w:vMerge w:val="continue"/>
                  <w:noWrap w:val="0"/>
                  <w:vAlign w:val="center"/>
                </w:tcPr>
                <w:p>
                  <w:pPr>
                    <w:jc w:val="center"/>
                    <w:rPr>
                      <w:rFonts w:hint="default" w:ascii="Times New Roman" w:hAnsi="Times New Roman" w:cs="Times New Roman"/>
                      <w:color w:val="auto"/>
                      <w:szCs w:val="21"/>
                      <w:highlight w:val="none"/>
                    </w:rPr>
                  </w:pPr>
                </w:p>
              </w:tc>
              <w:tc>
                <w:tcPr>
                  <w:tcW w:w="1003" w:type="dxa"/>
                  <w:vMerge w:val="restart"/>
                  <w:noWrap w:val="0"/>
                  <w:vAlign w:val="center"/>
                </w:tcPr>
                <w:p>
                  <w:pPr>
                    <w:jc w:val="center"/>
                    <w:rPr>
                      <w:rFonts w:hint="default" w:ascii="Times New Roman" w:hAnsi="Times New Roman" w:eastAsia="宋体" w:cs="Times New Roman"/>
                      <w:lang w:eastAsia="zh-CN"/>
                    </w:rPr>
                  </w:pPr>
                  <w:r>
                    <w:rPr>
                      <w:rFonts w:hint="eastAsia" w:ascii="Times New Roman" w:hAnsi="Times New Roman" w:eastAsia="宋体" w:cs="Times New Roman"/>
                      <w:color w:val="auto"/>
                      <w:szCs w:val="21"/>
                      <w:highlight w:val="none"/>
                      <w:lang w:val="en-US" w:eastAsia="zh-CN"/>
                    </w:rPr>
                    <w:t>固废</w:t>
                  </w:r>
                </w:p>
              </w:tc>
              <w:tc>
                <w:tcPr>
                  <w:tcW w:w="668" w:type="dxa"/>
                  <w:vMerge w:val="restart"/>
                  <w:noWrap w:val="0"/>
                  <w:vAlign w:val="center"/>
                </w:tcPr>
                <w:p>
                  <w:pPr>
                    <w:jc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654" w:type="dxa"/>
                  <w:vMerge w:val="continue"/>
                  <w:noWrap w:val="0"/>
                  <w:vAlign w:val="center"/>
                </w:tcPr>
                <w:p>
                  <w:pPr>
                    <w:jc w:val="center"/>
                    <w:rPr>
                      <w:rFonts w:hint="default" w:ascii="Times New Roman" w:hAnsi="Times New Roman" w:cs="Times New Roman"/>
                      <w:color w:val="auto"/>
                      <w:szCs w:val="21"/>
                      <w:highlight w:val="none"/>
                    </w:rPr>
                  </w:pPr>
                </w:p>
              </w:tc>
              <w:tc>
                <w:tcPr>
                  <w:tcW w:w="901" w:type="dxa"/>
                  <w:vMerge w:val="continue"/>
                  <w:noWrap w:val="0"/>
                  <w:vAlign w:val="center"/>
                </w:tcPr>
                <w:p>
                  <w:pPr>
                    <w:jc w:val="center"/>
                    <w:rPr>
                      <w:rFonts w:hint="default" w:ascii="Times New Roman" w:hAnsi="Times New Roman" w:cs="Times New Roman"/>
                      <w:color w:val="auto"/>
                      <w:szCs w:val="21"/>
                      <w:highlight w:val="none"/>
                    </w:rPr>
                  </w:pPr>
                </w:p>
              </w:tc>
              <w:tc>
                <w:tcPr>
                  <w:tcW w:w="1330"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水池沉渣</w:t>
                  </w:r>
                </w:p>
              </w:tc>
              <w:tc>
                <w:tcPr>
                  <w:tcW w:w="2731"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交由环卫部门处理</w:t>
                  </w:r>
                  <w:r>
                    <w:rPr>
                      <w:rFonts w:hint="default" w:ascii="Times New Roman" w:hAnsi="Times New Roman" w:cs="Times New Roman"/>
                      <w:color w:val="auto"/>
                      <w:szCs w:val="21"/>
                      <w:highlight w:val="none"/>
                      <w:lang w:eastAsia="zh-CN"/>
                    </w:rPr>
                    <w:t>。</w:t>
                  </w:r>
                </w:p>
              </w:tc>
              <w:tc>
                <w:tcPr>
                  <w:tcW w:w="853" w:type="dxa"/>
                  <w:vMerge w:val="continue"/>
                  <w:noWrap w:val="0"/>
                  <w:vAlign w:val="center"/>
                </w:tcPr>
                <w:p>
                  <w:pPr>
                    <w:jc w:val="center"/>
                    <w:rPr>
                      <w:rFonts w:hint="default" w:ascii="Times New Roman" w:hAnsi="Times New Roman" w:cs="Times New Roman"/>
                      <w:color w:val="auto"/>
                      <w:szCs w:val="21"/>
                      <w:highlight w:val="none"/>
                    </w:rPr>
                  </w:pPr>
                </w:p>
              </w:tc>
              <w:tc>
                <w:tcPr>
                  <w:tcW w:w="1003" w:type="dxa"/>
                  <w:vMerge w:val="continue"/>
                  <w:noWrap w:val="0"/>
                  <w:vAlign w:val="center"/>
                </w:tcPr>
                <w:p>
                  <w:pPr>
                    <w:jc w:val="center"/>
                    <w:rPr>
                      <w:rFonts w:hint="eastAsia" w:ascii="Times New Roman" w:hAnsi="Times New Roman" w:eastAsia="宋体" w:cs="Times New Roman"/>
                      <w:color w:val="auto"/>
                      <w:szCs w:val="21"/>
                      <w:highlight w:val="none"/>
                      <w:lang w:val="en-US" w:eastAsia="zh-CN"/>
                    </w:rPr>
                  </w:pPr>
                </w:p>
              </w:tc>
              <w:tc>
                <w:tcPr>
                  <w:tcW w:w="668" w:type="dxa"/>
                  <w:vMerge w:val="continue"/>
                  <w:noWrap w:val="0"/>
                  <w:vAlign w:val="center"/>
                </w:tcPr>
                <w:p>
                  <w:pPr>
                    <w:jc w:val="center"/>
                    <w:rPr>
                      <w:rFonts w:hint="default" w:ascii="Times New Roman" w:hAnsi="Times New Roman" w:eastAsia="宋体" w:cs="Times New Roman"/>
                      <w:color w:val="auto"/>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654" w:type="dxa"/>
                  <w:vMerge w:val="continue"/>
                  <w:noWrap w:val="0"/>
                  <w:vAlign w:val="center"/>
                </w:tcPr>
                <w:p>
                  <w:pPr>
                    <w:jc w:val="center"/>
                    <w:rPr>
                      <w:rFonts w:hint="default" w:ascii="Times New Roman" w:hAnsi="Times New Roman" w:cs="Times New Roman"/>
                      <w:color w:val="auto"/>
                      <w:szCs w:val="21"/>
                      <w:highlight w:val="none"/>
                    </w:rPr>
                  </w:pPr>
                </w:p>
              </w:tc>
              <w:tc>
                <w:tcPr>
                  <w:tcW w:w="901" w:type="dxa"/>
                  <w:vMerge w:val="continue"/>
                  <w:noWrap w:val="0"/>
                  <w:vAlign w:val="center"/>
                </w:tcPr>
                <w:p>
                  <w:pPr>
                    <w:jc w:val="center"/>
                    <w:rPr>
                      <w:rFonts w:hint="default" w:ascii="Times New Roman" w:hAnsi="Times New Roman" w:cs="Times New Roman"/>
                      <w:color w:val="auto"/>
                      <w:szCs w:val="21"/>
                      <w:highlight w:val="none"/>
                    </w:rPr>
                  </w:pPr>
                </w:p>
              </w:tc>
              <w:tc>
                <w:tcPr>
                  <w:tcW w:w="1330"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边角料和不合格产品</w:t>
                  </w:r>
                </w:p>
              </w:tc>
              <w:tc>
                <w:tcPr>
                  <w:tcW w:w="2731" w:type="dxa"/>
                  <w:noWrap w:val="0"/>
                  <w:vAlign w:val="center"/>
                </w:tcPr>
                <w:p>
                  <w:pPr>
                    <w:jc w:val="center"/>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收集</w:t>
                  </w:r>
                  <w:r>
                    <w:rPr>
                      <w:rFonts w:hint="eastAsia" w:ascii="Times New Roman" w:hAnsi="Times New Roman" w:cs="Times New Roman"/>
                      <w:color w:val="auto"/>
                      <w:szCs w:val="21"/>
                      <w:highlight w:val="none"/>
                      <w:lang w:eastAsia="zh-CN"/>
                    </w:rPr>
                    <w:t>外售或厂家回收</w:t>
                  </w:r>
                  <w:r>
                    <w:rPr>
                      <w:rFonts w:hint="default" w:ascii="Times New Roman" w:hAnsi="Times New Roman" w:cs="Times New Roman"/>
                      <w:color w:val="auto"/>
                      <w:szCs w:val="21"/>
                      <w:highlight w:val="none"/>
                      <w:lang w:eastAsia="zh-CN"/>
                    </w:rPr>
                    <w:t>。</w:t>
                  </w:r>
                </w:p>
              </w:tc>
              <w:tc>
                <w:tcPr>
                  <w:tcW w:w="853" w:type="dxa"/>
                  <w:vMerge w:val="continue"/>
                  <w:noWrap w:val="0"/>
                  <w:vAlign w:val="center"/>
                </w:tcPr>
                <w:p>
                  <w:pPr>
                    <w:jc w:val="center"/>
                    <w:rPr>
                      <w:rFonts w:hint="default" w:ascii="Times New Roman" w:hAnsi="Times New Roman" w:cs="Times New Roman"/>
                      <w:color w:val="auto"/>
                      <w:szCs w:val="21"/>
                      <w:highlight w:val="none"/>
                    </w:rPr>
                  </w:pPr>
                </w:p>
              </w:tc>
              <w:tc>
                <w:tcPr>
                  <w:tcW w:w="1003" w:type="dxa"/>
                  <w:vMerge w:val="continue"/>
                  <w:noWrap w:val="0"/>
                  <w:vAlign w:val="center"/>
                </w:tcPr>
                <w:p>
                  <w:pPr>
                    <w:jc w:val="center"/>
                    <w:rPr>
                      <w:rFonts w:hint="eastAsia" w:ascii="Times New Roman" w:hAnsi="Times New Roman" w:eastAsia="宋体" w:cs="Times New Roman"/>
                      <w:color w:val="auto"/>
                      <w:szCs w:val="21"/>
                      <w:highlight w:val="none"/>
                      <w:lang w:val="en-US" w:eastAsia="zh-CN"/>
                    </w:rPr>
                  </w:pPr>
                </w:p>
              </w:tc>
              <w:tc>
                <w:tcPr>
                  <w:tcW w:w="668" w:type="dxa"/>
                  <w:vMerge w:val="continue"/>
                  <w:noWrap w:val="0"/>
                  <w:vAlign w:val="center"/>
                </w:tcPr>
                <w:p>
                  <w:pPr>
                    <w:jc w:val="center"/>
                    <w:rPr>
                      <w:rFonts w:hint="default" w:ascii="Times New Roman" w:hAnsi="Times New Roman" w:eastAsia="宋体" w:cs="Times New Roman"/>
                      <w:color w:val="auto"/>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654" w:type="dxa"/>
                  <w:vMerge w:val="continue"/>
                  <w:noWrap w:val="0"/>
                  <w:vAlign w:val="center"/>
                </w:tcPr>
                <w:p>
                  <w:pPr>
                    <w:jc w:val="center"/>
                    <w:rPr>
                      <w:rFonts w:hint="default" w:ascii="Times New Roman" w:hAnsi="Times New Roman" w:cs="Times New Roman"/>
                      <w:color w:val="auto"/>
                      <w:szCs w:val="21"/>
                      <w:highlight w:val="none"/>
                    </w:rPr>
                  </w:pPr>
                </w:p>
              </w:tc>
              <w:tc>
                <w:tcPr>
                  <w:tcW w:w="901" w:type="dxa"/>
                  <w:vMerge w:val="continue"/>
                  <w:noWrap w:val="0"/>
                  <w:vAlign w:val="center"/>
                </w:tcPr>
                <w:p>
                  <w:pPr>
                    <w:jc w:val="center"/>
                    <w:rPr>
                      <w:rFonts w:hint="default" w:ascii="Times New Roman" w:hAnsi="Times New Roman" w:cs="Times New Roman"/>
                      <w:color w:val="auto"/>
                      <w:szCs w:val="21"/>
                      <w:highlight w:val="none"/>
                    </w:rPr>
                  </w:pPr>
                </w:p>
              </w:tc>
              <w:tc>
                <w:tcPr>
                  <w:tcW w:w="1330"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包装材料</w:t>
                  </w:r>
                </w:p>
              </w:tc>
              <w:tc>
                <w:tcPr>
                  <w:tcW w:w="2731"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eastAsia="zh-CN"/>
                    </w:rPr>
                    <w:t>收集外售。</w:t>
                  </w:r>
                </w:p>
              </w:tc>
              <w:tc>
                <w:tcPr>
                  <w:tcW w:w="853" w:type="dxa"/>
                  <w:vMerge w:val="continue"/>
                  <w:noWrap w:val="0"/>
                  <w:vAlign w:val="center"/>
                </w:tcPr>
                <w:p>
                  <w:pPr>
                    <w:jc w:val="center"/>
                    <w:rPr>
                      <w:rFonts w:hint="default" w:ascii="Times New Roman" w:hAnsi="Times New Roman" w:cs="Times New Roman"/>
                      <w:color w:val="auto"/>
                      <w:szCs w:val="21"/>
                      <w:highlight w:val="none"/>
                    </w:rPr>
                  </w:pPr>
                </w:p>
              </w:tc>
              <w:tc>
                <w:tcPr>
                  <w:tcW w:w="1003" w:type="dxa"/>
                  <w:vMerge w:val="continue"/>
                  <w:noWrap w:val="0"/>
                  <w:vAlign w:val="center"/>
                </w:tcPr>
                <w:p>
                  <w:pPr>
                    <w:jc w:val="center"/>
                    <w:rPr>
                      <w:rFonts w:hint="eastAsia" w:ascii="Times New Roman" w:hAnsi="Times New Roman" w:eastAsia="宋体" w:cs="Times New Roman"/>
                      <w:color w:val="auto"/>
                      <w:szCs w:val="21"/>
                      <w:highlight w:val="none"/>
                      <w:lang w:val="en-US" w:eastAsia="zh-CN"/>
                    </w:rPr>
                  </w:pPr>
                </w:p>
              </w:tc>
              <w:tc>
                <w:tcPr>
                  <w:tcW w:w="668" w:type="dxa"/>
                  <w:vMerge w:val="continue"/>
                  <w:noWrap w:val="0"/>
                  <w:vAlign w:val="center"/>
                </w:tcPr>
                <w:p>
                  <w:pPr>
                    <w:jc w:val="center"/>
                    <w:rPr>
                      <w:rFonts w:hint="default" w:ascii="Times New Roman" w:hAnsi="Times New Roman" w:eastAsia="宋体" w:cs="Times New Roman"/>
                      <w:color w:val="auto"/>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654" w:type="dxa"/>
                  <w:vMerge w:val="continue"/>
                  <w:noWrap w:val="0"/>
                  <w:vAlign w:val="center"/>
                </w:tcPr>
                <w:p>
                  <w:pPr>
                    <w:jc w:val="center"/>
                    <w:rPr>
                      <w:rFonts w:hint="default" w:ascii="Times New Roman" w:hAnsi="Times New Roman" w:cs="Times New Roman"/>
                      <w:color w:val="auto"/>
                      <w:szCs w:val="21"/>
                      <w:highlight w:val="none"/>
                    </w:rPr>
                  </w:pPr>
                </w:p>
              </w:tc>
              <w:tc>
                <w:tcPr>
                  <w:tcW w:w="901" w:type="dxa"/>
                  <w:vMerge w:val="continue"/>
                  <w:noWrap w:val="0"/>
                  <w:vAlign w:val="center"/>
                </w:tcPr>
                <w:p>
                  <w:pPr>
                    <w:jc w:val="center"/>
                    <w:rPr>
                      <w:rFonts w:hint="default" w:ascii="Times New Roman" w:hAnsi="Times New Roman" w:cs="Times New Roman"/>
                      <w:color w:val="auto"/>
                      <w:szCs w:val="21"/>
                      <w:highlight w:val="none"/>
                    </w:rPr>
                  </w:pPr>
                </w:p>
              </w:tc>
              <w:tc>
                <w:tcPr>
                  <w:tcW w:w="1330" w:type="dxa"/>
                  <w:noWrap w:val="0"/>
                  <w:vAlign w:val="center"/>
                </w:tcPr>
                <w:p>
                  <w:pPr>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lang w:eastAsia="zh-CN"/>
                    </w:rPr>
                    <w:t>危险废物</w:t>
                  </w:r>
                </w:p>
              </w:tc>
              <w:tc>
                <w:tcPr>
                  <w:tcW w:w="2731" w:type="dxa"/>
                  <w:noWrap w:val="0"/>
                  <w:vAlign w:val="center"/>
                </w:tcPr>
                <w:p>
                  <w:pPr>
                    <w:jc w:val="center"/>
                    <w:rPr>
                      <w:rFonts w:hint="default" w:ascii="Times New Roman" w:hAnsi="Times New Roman" w:eastAsia="宋体" w:cs="Times New Roman"/>
                      <w:color w:val="auto"/>
                      <w:szCs w:val="21"/>
                      <w:highlight w:val="none"/>
                      <w:lang w:eastAsia="zh-CN"/>
                    </w:rPr>
                  </w:pPr>
                  <w:r>
                    <w:rPr>
                      <w:rFonts w:hint="eastAsia" w:ascii="Times New Roman" w:hAnsi="Times New Roman" w:cs="Times New Roman"/>
                      <w:color w:val="auto"/>
                      <w:szCs w:val="21"/>
                      <w:highlight w:val="none"/>
                      <w:lang w:eastAsia="zh-CN"/>
                    </w:rPr>
                    <w:t>废</w:t>
                  </w:r>
                  <w:r>
                    <w:rPr>
                      <w:rFonts w:hint="eastAsia" w:ascii="Times New Roman" w:hAnsi="Times New Roman" w:cs="Times New Roman"/>
                      <w:color w:val="auto"/>
                      <w:szCs w:val="21"/>
                      <w:highlight w:val="none"/>
                      <w:lang w:val="en-US" w:eastAsia="zh-CN"/>
                    </w:rPr>
                    <w:t>漆料</w:t>
                  </w:r>
                  <w:r>
                    <w:rPr>
                      <w:rFonts w:hint="eastAsia" w:ascii="Times New Roman" w:hAnsi="Times New Roman" w:cs="Times New Roman"/>
                      <w:color w:val="auto"/>
                      <w:szCs w:val="21"/>
                      <w:highlight w:val="none"/>
                      <w:lang w:eastAsia="zh-CN"/>
                    </w:rPr>
                    <w:t>桶（</w:t>
                  </w:r>
                  <w:r>
                    <w:rPr>
                      <w:rFonts w:hint="eastAsia" w:ascii="Times New Roman" w:hAnsi="Times New Roman" w:cs="Times New Roman"/>
                      <w:color w:val="auto"/>
                      <w:szCs w:val="21"/>
                      <w:highlight w:val="none"/>
                      <w:lang w:val="en-US" w:eastAsia="zh-CN"/>
                    </w:rPr>
                    <w:t>油漆、稀释剂、固化剂</w:t>
                  </w:r>
                  <w:r>
                    <w:rPr>
                      <w:rFonts w:hint="eastAsia" w:ascii="Times New Roman" w:hAnsi="Times New Roman" w:cs="Times New Roman"/>
                      <w:color w:val="auto"/>
                      <w:szCs w:val="21"/>
                      <w:highlight w:val="none"/>
                      <w:lang w:eastAsia="zh-CN"/>
                    </w:rPr>
                    <w:t>）、废活性炭、废滤料、漆渣、</w:t>
                  </w:r>
                  <w:r>
                    <w:rPr>
                      <w:rFonts w:hint="default" w:ascii="Times New Roman" w:hAnsi="Times New Roman" w:cs="Times New Roman"/>
                      <w:color w:val="auto"/>
                      <w:szCs w:val="21"/>
                      <w:highlight w:val="none"/>
                      <w:lang w:eastAsia="zh-CN"/>
                    </w:rPr>
                    <w:t>废机油</w:t>
                  </w:r>
                  <w:r>
                    <w:rPr>
                      <w:rFonts w:hint="eastAsia" w:ascii="Times New Roman" w:hAnsi="Times New Roman" w:cs="Times New Roman"/>
                      <w:color w:val="auto"/>
                      <w:szCs w:val="21"/>
                      <w:highlight w:val="none"/>
                      <w:lang w:val="en-US" w:eastAsia="zh-CN"/>
                    </w:rPr>
                    <w:t>及</w:t>
                  </w:r>
                  <w:r>
                    <w:rPr>
                      <w:rFonts w:hint="default" w:ascii="Times New Roman" w:hAnsi="Times New Roman" w:cs="Times New Roman"/>
                      <w:color w:val="auto"/>
                      <w:szCs w:val="21"/>
                      <w:highlight w:val="none"/>
                      <w:lang w:eastAsia="zh-CN"/>
                    </w:rPr>
                    <w:t>含油废抹布手套等危险废物</w:t>
                  </w:r>
                  <w:r>
                    <w:rPr>
                      <w:rFonts w:hint="eastAsia" w:ascii="Times New Roman" w:hAnsi="Times New Roman" w:cs="Times New Roman"/>
                      <w:color w:val="auto"/>
                      <w:szCs w:val="21"/>
                      <w:highlight w:val="none"/>
                      <w:lang w:eastAsia="zh-CN"/>
                    </w:rPr>
                    <w:t>置于</w:t>
                  </w:r>
                  <w:r>
                    <w:rPr>
                      <w:rFonts w:hint="default" w:ascii="Times New Roman" w:hAnsi="Times New Roman" w:cs="Times New Roman"/>
                      <w:color w:val="auto"/>
                      <w:szCs w:val="21"/>
                      <w:highlight w:val="none"/>
                      <w:lang w:eastAsia="zh-CN"/>
                    </w:rPr>
                    <w:t>危废暂存间，定期交由有资质单位处置。</w:t>
                  </w:r>
                </w:p>
              </w:tc>
              <w:tc>
                <w:tcPr>
                  <w:tcW w:w="853" w:type="dxa"/>
                  <w:vMerge w:val="continue"/>
                  <w:noWrap w:val="0"/>
                  <w:vAlign w:val="center"/>
                </w:tcPr>
                <w:p>
                  <w:pPr>
                    <w:jc w:val="center"/>
                    <w:rPr>
                      <w:rFonts w:hint="default" w:ascii="Times New Roman" w:hAnsi="Times New Roman" w:cs="Times New Roman"/>
                      <w:color w:val="auto"/>
                      <w:szCs w:val="21"/>
                      <w:highlight w:val="none"/>
                    </w:rPr>
                  </w:pPr>
                </w:p>
              </w:tc>
              <w:tc>
                <w:tcPr>
                  <w:tcW w:w="1003" w:type="dxa"/>
                  <w:vMerge w:val="continue"/>
                  <w:noWrap w:val="0"/>
                  <w:vAlign w:val="center"/>
                </w:tcPr>
                <w:p>
                  <w:pPr>
                    <w:jc w:val="center"/>
                    <w:rPr>
                      <w:rFonts w:hint="default" w:ascii="Times New Roman" w:hAnsi="Times New Roman" w:cs="Times New Roman"/>
                      <w:color w:val="auto"/>
                      <w:szCs w:val="21"/>
                      <w:highlight w:val="none"/>
                    </w:rPr>
                  </w:pPr>
                </w:p>
              </w:tc>
              <w:tc>
                <w:tcPr>
                  <w:tcW w:w="668" w:type="dxa"/>
                  <w:vMerge w:val="continue"/>
                  <w:noWrap w:val="0"/>
                  <w:vAlign w:val="center"/>
                </w:tcPr>
                <w:p>
                  <w:pPr>
                    <w:jc w:val="center"/>
                    <w:rPr>
                      <w:rFonts w:hint="default" w:ascii="Times New Roman" w:hAnsi="Times New Roman"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4" w:type="dxa"/>
                  <w:vMerge w:val="continue"/>
                  <w:noWrap w:val="0"/>
                  <w:vAlign w:val="center"/>
                </w:tcPr>
                <w:p>
                  <w:pPr>
                    <w:jc w:val="center"/>
                    <w:rPr>
                      <w:rFonts w:hint="default" w:ascii="Times New Roman" w:hAnsi="Times New Roman" w:cs="Times New Roman"/>
                      <w:color w:val="auto"/>
                      <w:szCs w:val="21"/>
                      <w:highlight w:val="none"/>
                    </w:rPr>
                  </w:pPr>
                </w:p>
              </w:tc>
              <w:tc>
                <w:tcPr>
                  <w:tcW w:w="901"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噪声</w:t>
                  </w:r>
                </w:p>
              </w:tc>
              <w:tc>
                <w:tcPr>
                  <w:tcW w:w="4061" w:type="dxa"/>
                  <w:gridSpan w:val="2"/>
                  <w:noWrap w:val="0"/>
                  <w:vAlign w:val="center"/>
                </w:tcPr>
                <w:p>
                  <w:pPr>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选用低噪声设备、合加强管理，隔声降噪</w:t>
                  </w:r>
                  <w:r>
                    <w:rPr>
                      <w:rFonts w:hint="default" w:ascii="Times New Roman" w:hAnsi="Times New Roman" w:cs="Times New Roman"/>
                      <w:color w:val="auto"/>
                      <w:szCs w:val="21"/>
                      <w:highlight w:val="none"/>
                      <w:lang w:eastAsia="zh-CN"/>
                    </w:rPr>
                    <w:t>。</w:t>
                  </w:r>
                </w:p>
              </w:tc>
              <w:tc>
                <w:tcPr>
                  <w:tcW w:w="853" w:type="dxa"/>
                  <w:vMerge w:val="continue"/>
                  <w:noWrap w:val="0"/>
                  <w:vAlign w:val="center"/>
                </w:tcPr>
                <w:p>
                  <w:pPr>
                    <w:jc w:val="center"/>
                    <w:rPr>
                      <w:rFonts w:hint="default" w:ascii="Times New Roman" w:hAnsi="Times New Roman" w:cs="Times New Roman"/>
                      <w:color w:val="auto"/>
                      <w:szCs w:val="21"/>
                      <w:highlight w:val="none"/>
                    </w:rPr>
                  </w:pPr>
                </w:p>
              </w:tc>
              <w:tc>
                <w:tcPr>
                  <w:tcW w:w="1003"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噪声</w:t>
                  </w:r>
                </w:p>
              </w:tc>
              <w:tc>
                <w:tcPr>
                  <w:tcW w:w="668" w:type="dxa"/>
                  <w:noWrap w:val="0"/>
                  <w:vAlign w:val="center"/>
                </w:tcPr>
                <w:p>
                  <w:pPr>
                    <w:jc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4" w:type="dxa"/>
                  <w:vMerge w:val="continue"/>
                  <w:noWrap w:val="0"/>
                  <w:vAlign w:val="center"/>
                </w:tcPr>
                <w:p>
                  <w:pPr>
                    <w:jc w:val="center"/>
                    <w:rPr>
                      <w:rFonts w:hint="default" w:ascii="Times New Roman" w:hAnsi="Times New Roman" w:cs="Times New Roman"/>
                      <w:color w:val="auto"/>
                      <w:szCs w:val="21"/>
                      <w:highlight w:val="none"/>
                    </w:rPr>
                  </w:pPr>
                </w:p>
              </w:tc>
              <w:tc>
                <w:tcPr>
                  <w:tcW w:w="901" w:type="dxa"/>
                  <w:noWrap w:val="0"/>
                  <w:vAlign w:val="center"/>
                </w:tcPr>
                <w:p>
                  <w:pPr>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lang w:eastAsia="zh-CN"/>
                    </w:rPr>
                    <w:t>环境风险</w:t>
                  </w:r>
                </w:p>
              </w:tc>
              <w:tc>
                <w:tcPr>
                  <w:tcW w:w="4061" w:type="dxa"/>
                  <w:gridSpan w:val="2"/>
                  <w:noWrap w:val="0"/>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eastAsia="zh-CN"/>
                    </w:rPr>
                    <w:t>分区防渗，危废暂存间、</w:t>
                  </w:r>
                  <w:r>
                    <w:rPr>
                      <w:rFonts w:hint="eastAsia" w:ascii="Times New Roman" w:hAnsi="Times New Roman" w:cs="Times New Roman"/>
                      <w:color w:val="auto"/>
                      <w:szCs w:val="21"/>
                      <w:highlight w:val="none"/>
                      <w:lang w:eastAsia="zh-CN"/>
                    </w:rPr>
                    <w:t>漆库房、喷漆房作</w:t>
                  </w:r>
                  <w:r>
                    <w:rPr>
                      <w:rFonts w:hint="default" w:ascii="Times New Roman" w:hAnsi="Times New Roman" w:cs="Times New Roman"/>
                      <w:color w:val="auto"/>
                      <w:szCs w:val="21"/>
                      <w:highlight w:val="none"/>
                      <w:lang w:eastAsia="zh-CN"/>
                    </w:rPr>
                    <w:t>重点防渗</w:t>
                  </w:r>
                  <w:r>
                    <w:rPr>
                      <w:rFonts w:hint="default" w:ascii="Times New Roman" w:hAnsi="Times New Roman" w:cs="Times New Roman"/>
                      <w:color w:val="auto"/>
                      <w:szCs w:val="21"/>
                      <w:highlight w:val="none"/>
                      <w:lang w:val="en-US" w:eastAsia="zh-CN"/>
                    </w:rPr>
                    <w:t>；</w:t>
                  </w:r>
                  <w:r>
                    <w:rPr>
                      <w:rFonts w:hint="eastAsia" w:ascii="Times New Roman" w:hAnsi="Times New Roman" w:cs="Times New Roman"/>
                      <w:color w:val="auto"/>
                      <w:szCs w:val="21"/>
                      <w:highlight w:val="none"/>
                      <w:lang w:val="en-US" w:eastAsia="zh-CN"/>
                    </w:rPr>
                    <w:t>循环水池、生产区进行一般防渗；其他生活办公区域进行简单防渗。</w:t>
                  </w:r>
                  <w:r>
                    <w:rPr>
                      <w:rFonts w:hint="default" w:ascii="Times New Roman" w:hAnsi="Times New Roman" w:cs="Times New Roman"/>
                      <w:color w:val="auto"/>
                      <w:szCs w:val="21"/>
                      <w:highlight w:val="none"/>
                      <w:lang w:val="en-US" w:eastAsia="zh-CN"/>
                    </w:rPr>
                    <w:t>配备灭火器等消防设施</w:t>
                  </w:r>
                  <w:r>
                    <w:rPr>
                      <w:rFonts w:hint="eastAsia" w:ascii="Times New Roman" w:hAnsi="Times New Roman" w:cs="Times New Roman"/>
                      <w:color w:val="auto"/>
                      <w:szCs w:val="21"/>
                      <w:highlight w:val="none"/>
                      <w:lang w:val="en-US" w:eastAsia="zh-CN"/>
                    </w:rPr>
                    <w:t>。</w:t>
                  </w:r>
                </w:p>
              </w:tc>
              <w:tc>
                <w:tcPr>
                  <w:tcW w:w="853" w:type="dxa"/>
                  <w:vMerge w:val="continue"/>
                  <w:noWrap w:val="0"/>
                  <w:vAlign w:val="center"/>
                </w:tcPr>
                <w:p>
                  <w:pPr>
                    <w:jc w:val="center"/>
                    <w:rPr>
                      <w:rFonts w:hint="default" w:ascii="Times New Roman" w:hAnsi="Times New Roman" w:cs="Times New Roman"/>
                      <w:color w:val="auto"/>
                      <w:szCs w:val="21"/>
                      <w:highlight w:val="none"/>
                    </w:rPr>
                  </w:pPr>
                </w:p>
              </w:tc>
              <w:tc>
                <w:tcPr>
                  <w:tcW w:w="1003"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w:t>
                  </w:r>
                </w:p>
              </w:tc>
              <w:tc>
                <w:tcPr>
                  <w:tcW w:w="668"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w:t>
                  </w:r>
                </w:p>
              </w:tc>
            </w:tr>
          </w:tbl>
          <w:p>
            <w:pPr>
              <w:keepNext w:val="0"/>
              <w:keepLines w:val="0"/>
              <w:pageBreakBefore w:val="0"/>
              <w:widowControl w:val="0"/>
              <w:kinsoku/>
              <w:wordWrap/>
              <w:overflowPunct/>
              <w:topLinePunct w:val="0"/>
              <w:autoSpaceDE w:val="0"/>
              <w:autoSpaceDN w:val="0"/>
              <w:bidi w:val="0"/>
              <w:adjustRightInd w:val="0"/>
              <w:snapToGrid w:val="0"/>
              <w:spacing w:line="360" w:lineRule="auto"/>
              <w:ind w:firstLine="442" w:firstLineChars="200"/>
              <w:jc w:val="left"/>
              <w:textAlignment w:val="auto"/>
              <w:outlineLvl w:val="9"/>
              <w:rPr>
                <w:rFonts w:hint="eastAsia" w:ascii="Times New Roman" w:hAnsi="Times New Roman" w:cs="Times New Roman"/>
                <w:b/>
                <w:bCs w:val="0"/>
                <w:color w:val="auto"/>
                <w:sz w:val="22"/>
                <w:szCs w:val="22"/>
                <w:highlight w:val="none"/>
                <w:lang w:eastAsia="zh-CN"/>
              </w:rPr>
            </w:pPr>
            <w:r>
              <w:rPr>
                <w:rFonts w:hint="eastAsia" w:ascii="Times New Roman" w:hAnsi="Times New Roman" w:cs="Times New Roman"/>
                <w:b/>
                <w:bCs w:val="0"/>
                <w:color w:val="auto"/>
                <w:sz w:val="22"/>
                <w:szCs w:val="22"/>
                <w:highlight w:val="none"/>
                <w:lang w:eastAsia="zh-CN"/>
              </w:rPr>
              <w:t>项目依托关系分析</w:t>
            </w:r>
          </w:p>
          <w:p>
            <w:pPr>
              <w:adjustRightInd w:val="0"/>
              <w:jc w:val="center"/>
              <w:textAlignment w:val="baseline"/>
              <w:rPr>
                <w:rFonts w:hint="default" w:ascii="Times New Roman" w:hAnsi="Times New Roman" w:cs="Times New Roman"/>
                <w:color w:val="auto"/>
                <w:sz w:val="24"/>
                <w:highlight w:val="none"/>
              </w:rPr>
            </w:pPr>
            <w:r>
              <w:rPr>
                <w:rFonts w:hint="default" w:ascii="Times New Roman" w:hAnsi="Times New Roman" w:cs="Times New Roman"/>
                <w:b/>
                <w:bCs/>
                <w:color w:val="auto"/>
                <w:szCs w:val="21"/>
                <w:highlight w:val="none"/>
              </w:rPr>
              <w:t>表2-2 依托现有工程</w:t>
            </w:r>
          </w:p>
          <w:tbl>
            <w:tblPr>
              <w:tblStyle w:val="42"/>
              <w:tblW w:w="80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3"/>
              <w:gridCol w:w="2336"/>
              <w:gridCol w:w="49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703" w:type="dxa"/>
                  <w:noWrap w:val="0"/>
                  <w:vAlign w:val="center"/>
                </w:tcPr>
                <w:p>
                  <w:pPr>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序号</w:t>
                  </w:r>
                </w:p>
              </w:tc>
              <w:tc>
                <w:tcPr>
                  <w:tcW w:w="2336" w:type="dxa"/>
                  <w:noWrap w:val="0"/>
                  <w:vAlign w:val="center"/>
                </w:tcPr>
                <w:p>
                  <w:pPr>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依托工程</w:t>
                  </w:r>
                </w:p>
              </w:tc>
              <w:tc>
                <w:tcPr>
                  <w:tcW w:w="4980" w:type="dxa"/>
                  <w:noWrap w:val="0"/>
                  <w:vAlign w:val="center"/>
                </w:tcPr>
                <w:p>
                  <w:pPr>
                    <w:jc w:val="center"/>
                    <w:rPr>
                      <w:rFonts w:hint="default" w:ascii="Times New Roman" w:hAnsi="Times New Roman" w:eastAsia="宋体" w:cs="Times New Roman"/>
                      <w:bCs/>
                      <w:color w:val="auto"/>
                      <w:szCs w:val="21"/>
                      <w:highlight w:val="none"/>
                      <w:lang w:val="en-US" w:eastAsia="zh-CN"/>
                    </w:rPr>
                  </w:pPr>
                  <w:r>
                    <w:rPr>
                      <w:rFonts w:hint="eastAsia" w:ascii="Times New Roman" w:hAnsi="Times New Roman" w:cs="Times New Roman"/>
                      <w:bCs/>
                      <w:color w:val="auto"/>
                      <w:szCs w:val="21"/>
                      <w:highlight w:val="none"/>
                      <w:lang w:val="en-US" w:eastAsia="zh-CN"/>
                    </w:rPr>
                    <w:t>可行性分析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703" w:type="dxa"/>
                  <w:noWrap w:val="0"/>
                  <w:vAlign w:val="center"/>
                </w:tcPr>
                <w:p>
                  <w:pPr>
                    <w:jc w:val="center"/>
                    <w:rPr>
                      <w:rFonts w:hint="eastAsia" w:ascii="Times New Roman" w:hAnsi="Times New Roman" w:eastAsia="宋体" w:cs="Times New Roman"/>
                      <w:bCs/>
                      <w:color w:val="auto"/>
                      <w:szCs w:val="21"/>
                      <w:highlight w:val="none"/>
                      <w:lang w:val="en-US" w:eastAsia="zh-CN"/>
                    </w:rPr>
                  </w:pPr>
                  <w:r>
                    <w:rPr>
                      <w:rFonts w:hint="eastAsia" w:ascii="Times New Roman" w:hAnsi="Times New Roman" w:cs="Times New Roman"/>
                      <w:bCs/>
                      <w:color w:val="auto"/>
                      <w:szCs w:val="21"/>
                      <w:highlight w:val="none"/>
                      <w:lang w:val="en-US" w:eastAsia="zh-CN"/>
                    </w:rPr>
                    <w:t>1</w:t>
                  </w:r>
                </w:p>
              </w:tc>
              <w:tc>
                <w:tcPr>
                  <w:tcW w:w="2336" w:type="dxa"/>
                  <w:noWrap w:val="0"/>
                  <w:vAlign w:val="center"/>
                </w:tcPr>
                <w:p>
                  <w:pPr>
                    <w:jc w:val="left"/>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供水：依托园区供水</w:t>
                  </w:r>
                </w:p>
              </w:tc>
              <w:tc>
                <w:tcPr>
                  <w:tcW w:w="4980" w:type="dxa"/>
                  <w:vMerge w:val="restart"/>
                  <w:noWrap w:val="0"/>
                  <w:vAlign w:val="center"/>
                </w:tcPr>
                <w:p>
                  <w:pPr>
                    <w:jc w:val="left"/>
                    <w:rPr>
                      <w:rFonts w:hint="eastAsia"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项目位于嘉州工业园水口园区</w:t>
                  </w:r>
                  <w:r>
                    <w:rPr>
                      <w:rFonts w:hint="eastAsia" w:ascii="Times New Roman" w:hAnsi="Times New Roman" w:cs="Times New Roman"/>
                      <w:bCs/>
                      <w:color w:val="auto"/>
                      <w:szCs w:val="21"/>
                      <w:highlight w:val="none"/>
                      <w:lang w:eastAsia="zh-CN"/>
                    </w:rPr>
                    <w:t>内，</w:t>
                  </w:r>
                  <w:r>
                    <w:rPr>
                      <w:rFonts w:hint="eastAsia" w:ascii="Times New Roman" w:hAnsi="Times New Roman" w:cs="Times New Roman"/>
                      <w:bCs/>
                      <w:color w:val="auto"/>
                      <w:szCs w:val="21"/>
                      <w:highlight w:val="none"/>
                      <w:lang w:val="en-US" w:eastAsia="zh-CN"/>
                    </w:rPr>
                    <w:t>符合园区规划，</w:t>
                  </w:r>
                  <w:r>
                    <w:rPr>
                      <w:rFonts w:hint="eastAsia" w:ascii="Times New Roman" w:hAnsi="Times New Roman" w:eastAsia="宋体" w:cs="Times New Roman"/>
                      <w:bCs/>
                      <w:color w:val="auto"/>
                      <w:szCs w:val="21"/>
                      <w:highlight w:val="none"/>
                      <w:lang w:val="en-US" w:eastAsia="zh-CN"/>
                    </w:rPr>
                    <w:t>园区配套建设有供水、供电系统。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703" w:type="dxa"/>
                  <w:noWrap w:val="0"/>
                  <w:vAlign w:val="center"/>
                </w:tcPr>
                <w:p>
                  <w:pPr>
                    <w:jc w:val="center"/>
                    <w:rPr>
                      <w:rFonts w:hint="eastAsia" w:ascii="Times New Roman" w:hAnsi="Times New Roman" w:eastAsia="宋体" w:cs="Times New Roman"/>
                      <w:bCs/>
                      <w:color w:val="auto"/>
                      <w:szCs w:val="21"/>
                      <w:highlight w:val="none"/>
                      <w:lang w:val="en-US" w:eastAsia="zh-CN"/>
                    </w:rPr>
                  </w:pPr>
                  <w:r>
                    <w:rPr>
                      <w:rFonts w:hint="eastAsia" w:ascii="Times New Roman" w:hAnsi="Times New Roman" w:cs="Times New Roman"/>
                      <w:bCs/>
                      <w:color w:val="auto"/>
                      <w:szCs w:val="21"/>
                      <w:highlight w:val="none"/>
                      <w:lang w:val="en-US" w:eastAsia="zh-CN"/>
                    </w:rPr>
                    <w:t>2</w:t>
                  </w:r>
                </w:p>
              </w:tc>
              <w:tc>
                <w:tcPr>
                  <w:tcW w:w="2336" w:type="dxa"/>
                  <w:noWrap w:val="0"/>
                  <w:vAlign w:val="center"/>
                </w:tcPr>
                <w:p>
                  <w:pPr>
                    <w:jc w:val="left"/>
                    <w:rPr>
                      <w:rFonts w:hint="eastAsia" w:ascii="Times New Roman" w:hAnsi="Times New Roman" w:eastAsia="宋体" w:cs="Times New Roman"/>
                      <w:bCs/>
                      <w:color w:val="auto"/>
                      <w:szCs w:val="21"/>
                      <w:highlight w:val="none"/>
                      <w:lang w:eastAsia="zh-CN"/>
                    </w:rPr>
                  </w:pPr>
                  <w:r>
                    <w:rPr>
                      <w:rFonts w:hint="eastAsia" w:ascii="Times New Roman" w:hAnsi="Times New Roman" w:cs="Times New Roman"/>
                      <w:bCs/>
                      <w:color w:val="auto"/>
                      <w:szCs w:val="21"/>
                      <w:highlight w:val="none"/>
                      <w:lang w:eastAsia="zh-CN"/>
                    </w:rPr>
                    <w:t>供电：依托</w:t>
                  </w:r>
                  <w:r>
                    <w:rPr>
                      <w:rFonts w:hint="eastAsia" w:ascii="Times New Roman" w:hAnsi="Times New Roman" w:cs="Times New Roman"/>
                      <w:bCs/>
                      <w:color w:val="auto"/>
                      <w:szCs w:val="21"/>
                      <w:highlight w:val="none"/>
                      <w:lang w:val="en-US" w:eastAsia="zh-CN"/>
                    </w:rPr>
                    <w:t>园区</w:t>
                  </w:r>
                  <w:r>
                    <w:rPr>
                      <w:rFonts w:hint="eastAsia" w:ascii="Times New Roman" w:hAnsi="Times New Roman" w:cs="Times New Roman"/>
                      <w:bCs/>
                      <w:color w:val="auto"/>
                      <w:szCs w:val="21"/>
                      <w:highlight w:val="none"/>
                      <w:lang w:eastAsia="zh-CN"/>
                    </w:rPr>
                    <w:t>供电</w:t>
                  </w:r>
                </w:p>
              </w:tc>
              <w:tc>
                <w:tcPr>
                  <w:tcW w:w="4980" w:type="dxa"/>
                  <w:vMerge w:val="continue"/>
                  <w:noWrap w:val="0"/>
                  <w:vAlign w:val="center"/>
                </w:tcPr>
                <w:p>
                  <w:pPr>
                    <w:jc w:val="left"/>
                    <w:rPr>
                      <w:rFonts w:hint="eastAsia" w:ascii="Times New Roman" w:hAnsi="Times New Roman" w:cs="Times New Roman"/>
                      <w:bCs/>
                      <w:color w:val="auto"/>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703" w:type="dxa"/>
                  <w:noWrap w:val="0"/>
                  <w:vAlign w:val="center"/>
                </w:tcPr>
                <w:p>
                  <w:pPr>
                    <w:jc w:val="center"/>
                    <w:rPr>
                      <w:rFonts w:hint="eastAsia" w:ascii="Times New Roman" w:hAnsi="Times New Roman" w:eastAsia="宋体" w:cs="Times New Roman"/>
                      <w:bCs/>
                      <w:color w:val="auto"/>
                      <w:szCs w:val="21"/>
                      <w:highlight w:val="none"/>
                      <w:lang w:val="en-US" w:eastAsia="zh-CN"/>
                    </w:rPr>
                  </w:pPr>
                  <w:r>
                    <w:rPr>
                      <w:rFonts w:hint="eastAsia" w:ascii="Times New Roman" w:hAnsi="Times New Roman" w:cs="Times New Roman"/>
                      <w:bCs/>
                      <w:color w:val="auto"/>
                      <w:szCs w:val="21"/>
                      <w:highlight w:val="none"/>
                      <w:lang w:val="en-US" w:eastAsia="zh-CN"/>
                    </w:rPr>
                    <w:t>3</w:t>
                  </w:r>
                </w:p>
              </w:tc>
              <w:tc>
                <w:tcPr>
                  <w:tcW w:w="2336" w:type="dxa"/>
                  <w:noWrap w:val="0"/>
                  <w:vAlign w:val="center"/>
                </w:tcPr>
                <w:p>
                  <w:pPr>
                    <w:jc w:val="left"/>
                    <w:rPr>
                      <w:rFonts w:hint="eastAsia" w:ascii="Times New Roman" w:hAnsi="Times New Roman" w:cs="Times New Roman"/>
                      <w:bCs/>
                      <w:color w:val="auto"/>
                      <w:szCs w:val="21"/>
                      <w:highlight w:val="none"/>
                      <w:lang w:eastAsia="zh-CN"/>
                    </w:rPr>
                  </w:pPr>
                  <w:r>
                    <w:rPr>
                      <w:rFonts w:hint="eastAsia" w:ascii="Times New Roman" w:hAnsi="Times New Roman" w:cs="Times New Roman"/>
                      <w:bCs/>
                      <w:color w:val="auto"/>
                      <w:szCs w:val="21"/>
                      <w:highlight w:val="none"/>
                      <w:lang w:eastAsia="zh-CN"/>
                    </w:rPr>
                    <w:t>排水：</w:t>
                  </w:r>
                  <w:r>
                    <w:rPr>
                      <w:rFonts w:hint="eastAsia" w:ascii="Times New Roman" w:hAnsi="Times New Roman" w:cs="Times New Roman"/>
                      <w:bCs/>
                      <w:color w:val="auto"/>
                      <w:szCs w:val="21"/>
                      <w:highlight w:val="none"/>
                      <w:lang w:val="en-US" w:eastAsia="zh-CN"/>
                    </w:rPr>
                    <w:t>水帘废水、生活污水排入</w:t>
                  </w:r>
                  <w:r>
                    <w:rPr>
                      <w:rFonts w:hint="eastAsia" w:ascii="Times New Roman" w:hAnsi="Times New Roman" w:cs="Times New Roman"/>
                      <w:b/>
                      <w:bCs w:val="0"/>
                      <w:color w:val="auto"/>
                      <w:szCs w:val="21"/>
                      <w:highlight w:val="none"/>
                      <w:lang w:eastAsia="zh-CN"/>
                    </w:rPr>
                    <w:t>乐山市工业集中区污水处理厂</w:t>
                  </w:r>
                  <w:r>
                    <w:rPr>
                      <w:rFonts w:hint="eastAsia" w:ascii="Times New Roman" w:hAnsi="Times New Roman" w:cs="Times New Roman"/>
                      <w:bCs/>
                      <w:color w:val="auto"/>
                      <w:szCs w:val="21"/>
                      <w:highlight w:val="none"/>
                      <w:lang w:eastAsia="zh-CN"/>
                    </w:rPr>
                    <w:t>。</w:t>
                  </w:r>
                </w:p>
              </w:tc>
              <w:tc>
                <w:tcPr>
                  <w:tcW w:w="4980" w:type="dxa"/>
                  <w:noWrap w:val="0"/>
                  <w:vAlign w:val="center"/>
                </w:tcPr>
                <w:p>
                  <w:pPr>
                    <w:jc w:val="left"/>
                    <w:rPr>
                      <w:rFonts w:hint="eastAsia" w:ascii="Times New Roman" w:hAnsi="Times New Roman" w:cs="Times New Roman"/>
                      <w:bCs/>
                      <w:color w:val="auto"/>
                      <w:szCs w:val="21"/>
                      <w:highlight w:val="yellow"/>
                      <w:lang w:eastAsia="zh-CN"/>
                    </w:rPr>
                  </w:pPr>
                  <w:r>
                    <w:rPr>
                      <w:rFonts w:hint="eastAsia" w:ascii="Times New Roman" w:hAnsi="Times New Roman" w:cs="Times New Roman"/>
                      <w:bCs/>
                      <w:color w:val="auto"/>
                      <w:szCs w:val="21"/>
                      <w:highlight w:val="none"/>
                      <w:lang w:eastAsia="zh-CN"/>
                    </w:rPr>
                    <w:t>乐山市工业集中区污水处理厂</w:t>
                  </w:r>
                  <w:r>
                    <w:rPr>
                      <w:rFonts w:hint="eastAsia" w:ascii="Times New Roman" w:hAnsi="Times New Roman" w:cs="Times New Roman"/>
                      <w:bCs/>
                      <w:color w:val="auto"/>
                      <w:sz w:val="21"/>
                      <w:szCs w:val="21"/>
                      <w:highlight w:val="none"/>
                      <w:lang w:eastAsia="zh-CN"/>
                    </w:rPr>
                    <w:t>服务范围为乐山工业集中区水口-罗汉工业园区（</w:t>
                  </w:r>
                  <w:r>
                    <w:rPr>
                      <w:rFonts w:hint="eastAsia" w:ascii="Times New Roman" w:hAnsi="Times New Roman" w:cs="Times New Roman"/>
                      <w:bCs/>
                      <w:color w:val="auto"/>
                      <w:sz w:val="21"/>
                      <w:szCs w:val="21"/>
                      <w:highlight w:val="none"/>
                      <w:lang w:val="en-US" w:eastAsia="zh-CN"/>
                    </w:rPr>
                    <w:t>现为嘉州工业园</w:t>
                  </w:r>
                  <w:r>
                    <w:rPr>
                      <w:rFonts w:hint="eastAsia" w:ascii="Times New Roman" w:hAnsi="Times New Roman" w:cs="Times New Roman"/>
                      <w:bCs/>
                      <w:color w:val="auto"/>
                      <w:sz w:val="21"/>
                      <w:szCs w:val="21"/>
                      <w:highlight w:val="none"/>
                      <w:lang w:eastAsia="zh-CN"/>
                    </w:rPr>
                    <w:t>），设计总规模</w:t>
                  </w:r>
                  <w:r>
                    <w:rPr>
                      <w:rFonts w:hint="eastAsia" w:ascii="Times New Roman" w:hAnsi="Times New Roman" w:cs="Times New Roman"/>
                      <w:bCs/>
                      <w:color w:val="auto"/>
                      <w:sz w:val="21"/>
                      <w:szCs w:val="21"/>
                      <w:highlight w:val="none"/>
                      <w:lang w:val="en-US" w:eastAsia="zh-CN"/>
                    </w:rPr>
                    <w:t>为</w:t>
                  </w:r>
                  <w:r>
                    <w:rPr>
                      <w:rFonts w:hint="eastAsia" w:ascii="Times New Roman" w:hAnsi="Times New Roman" w:cs="Times New Roman"/>
                      <w:bCs/>
                      <w:color w:val="auto"/>
                      <w:sz w:val="21"/>
                      <w:szCs w:val="21"/>
                      <w:highlight w:val="none"/>
                      <w:lang w:eastAsia="zh-CN"/>
                    </w:rPr>
                    <w:t>10000m</w:t>
                  </w:r>
                  <w:r>
                    <w:rPr>
                      <w:rFonts w:hint="eastAsia" w:ascii="Times New Roman" w:hAnsi="Times New Roman" w:cs="Times New Roman"/>
                      <w:bCs/>
                      <w:color w:val="auto"/>
                      <w:sz w:val="21"/>
                      <w:szCs w:val="21"/>
                      <w:highlight w:val="none"/>
                      <w:vertAlign w:val="superscript"/>
                      <w:lang w:eastAsia="zh-CN"/>
                    </w:rPr>
                    <w:t>3</w:t>
                  </w:r>
                  <w:r>
                    <w:rPr>
                      <w:rFonts w:hint="eastAsia" w:ascii="Times New Roman" w:hAnsi="Times New Roman" w:cs="Times New Roman"/>
                      <w:bCs/>
                      <w:color w:val="auto"/>
                      <w:sz w:val="21"/>
                      <w:szCs w:val="21"/>
                      <w:highlight w:val="none"/>
                      <w:lang w:eastAsia="zh-CN"/>
                    </w:rPr>
                    <w:t>/d，分期建设，一期处理规模为5000m</w:t>
                  </w:r>
                  <w:r>
                    <w:rPr>
                      <w:rFonts w:hint="eastAsia" w:ascii="Times New Roman" w:hAnsi="Times New Roman" w:cs="Times New Roman"/>
                      <w:bCs/>
                      <w:color w:val="auto"/>
                      <w:sz w:val="21"/>
                      <w:szCs w:val="21"/>
                      <w:highlight w:val="none"/>
                      <w:vertAlign w:val="superscript"/>
                      <w:lang w:eastAsia="zh-CN"/>
                    </w:rPr>
                    <w:t>3</w:t>
                  </w:r>
                  <w:r>
                    <w:rPr>
                      <w:rFonts w:hint="eastAsia" w:ascii="Times New Roman" w:hAnsi="Times New Roman" w:cs="Times New Roman"/>
                      <w:bCs/>
                      <w:color w:val="auto"/>
                      <w:sz w:val="21"/>
                      <w:szCs w:val="21"/>
                      <w:highlight w:val="none"/>
                      <w:lang w:eastAsia="zh-CN"/>
                    </w:rPr>
                    <w:t>/d，预留远期用地。</w:t>
                  </w:r>
                  <w:r>
                    <w:rPr>
                      <w:rFonts w:hint="eastAsia" w:ascii="Times New Roman" w:hAnsi="Times New Roman" w:cs="Times New Roman"/>
                      <w:bCs/>
                      <w:color w:val="auto"/>
                      <w:sz w:val="21"/>
                      <w:szCs w:val="21"/>
                      <w:highlight w:val="none"/>
                      <w:lang w:val="en-US" w:eastAsia="zh-CN"/>
                    </w:rPr>
                    <w:t>目前一期工程已建成投运，设计</w:t>
                  </w:r>
                  <w:r>
                    <w:rPr>
                      <w:rFonts w:hint="eastAsia" w:ascii="Times New Roman" w:hAnsi="Times New Roman" w:cs="Times New Roman"/>
                      <w:bCs/>
                      <w:color w:val="auto"/>
                      <w:sz w:val="21"/>
                      <w:szCs w:val="21"/>
                      <w:highlight w:val="none"/>
                      <w:lang w:eastAsia="zh-CN"/>
                    </w:rPr>
                    <w:t>污水处理能力为</w:t>
                  </w:r>
                  <w:r>
                    <w:rPr>
                      <w:rFonts w:hint="eastAsia" w:ascii="Times New Roman" w:hAnsi="Times New Roman" w:cs="Times New Roman"/>
                      <w:bCs/>
                      <w:color w:val="auto"/>
                      <w:sz w:val="21"/>
                      <w:szCs w:val="21"/>
                      <w:highlight w:val="none"/>
                      <w:lang w:val="en-US" w:eastAsia="zh-CN"/>
                    </w:rPr>
                    <w:t>5000m</w:t>
                  </w:r>
                  <w:r>
                    <w:rPr>
                      <w:rFonts w:hint="eastAsia" w:ascii="Times New Roman" w:hAnsi="Times New Roman" w:cs="Times New Roman"/>
                      <w:bCs/>
                      <w:color w:val="auto"/>
                      <w:sz w:val="21"/>
                      <w:szCs w:val="21"/>
                      <w:highlight w:val="none"/>
                      <w:vertAlign w:val="superscript"/>
                      <w:lang w:val="en-US" w:eastAsia="zh-CN"/>
                    </w:rPr>
                    <w:t>3</w:t>
                  </w:r>
                  <w:r>
                    <w:rPr>
                      <w:rFonts w:hint="eastAsia" w:ascii="Times New Roman" w:hAnsi="Times New Roman" w:cs="Times New Roman"/>
                      <w:bCs/>
                      <w:color w:val="auto"/>
                      <w:sz w:val="21"/>
                      <w:szCs w:val="21"/>
                      <w:highlight w:val="none"/>
                      <w:lang w:val="en-US" w:eastAsia="zh-CN"/>
                    </w:rPr>
                    <w:t>/d。项目磨边、清洗、冷却水水循环使用不外排，水帘废水循环使用，一年更换一次（1m</w:t>
                  </w:r>
                  <w:r>
                    <w:rPr>
                      <w:rFonts w:hint="eastAsia" w:ascii="Times New Roman" w:hAnsi="Times New Roman" w:cs="Times New Roman"/>
                      <w:bCs/>
                      <w:color w:val="auto"/>
                      <w:sz w:val="21"/>
                      <w:szCs w:val="21"/>
                      <w:highlight w:val="none"/>
                      <w:vertAlign w:val="superscript"/>
                      <w:lang w:val="en-US" w:eastAsia="zh-CN"/>
                    </w:rPr>
                    <w:t>3</w:t>
                  </w:r>
                  <w:r>
                    <w:rPr>
                      <w:rFonts w:hint="eastAsia" w:ascii="Times New Roman" w:hAnsi="Times New Roman" w:cs="Times New Roman"/>
                      <w:bCs/>
                      <w:color w:val="auto"/>
                      <w:sz w:val="21"/>
                      <w:szCs w:val="21"/>
                      <w:highlight w:val="none"/>
                      <w:lang w:val="en-US" w:eastAsia="zh-CN"/>
                    </w:rPr>
                    <w:t>），生活废水量较小（4.08m</w:t>
                  </w:r>
                  <w:r>
                    <w:rPr>
                      <w:rFonts w:hint="eastAsia" w:ascii="Times New Roman" w:hAnsi="Times New Roman" w:cs="Times New Roman"/>
                      <w:bCs/>
                      <w:color w:val="auto"/>
                      <w:sz w:val="21"/>
                      <w:szCs w:val="21"/>
                      <w:highlight w:val="none"/>
                      <w:vertAlign w:val="superscript"/>
                      <w:lang w:val="en-US" w:eastAsia="zh-CN"/>
                    </w:rPr>
                    <w:t>3</w:t>
                  </w:r>
                  <w:r>
                    <w:rPr>
                      <w:rFonts w:hint="eastAsia" w:ascii="Times New Roman" w:hAnsi="Times New Roman" w:cs="Times New Roman"/>
                      <w:bCs/>
                      <w:color w:val="auto"/>
                      <w:sz w:val="21"/>
                      <w:szCs w:val="21"/>
                      <w:highlight w:val="none"/>
                      <w:lang w:val="en-US" w:eastAsia="zh-CN"/>
                    </w:rPr>
                    <w:t>/d，1224m</w:t>
                  </w:r>
                  <w:r>
                    <w:rPr>
                      <w:rFonts w:hint="eastAsia" w:ascii="Times New Roman" w:hAnsi="Times New Roman" w:cs="Times New Roman"/>
                      <w:bCs/>
                      <w:color w:val="auto"/>
                      <w:sz w:val="21"/>
                      <w:szCs w:val="21"/>
                      <w:highlight w:val="none"/>
                      <w:vertAlign w:val="superscript"/>
                      <w:lang w:val="en-US" w:eastAsia="zh-CN"/>
                    </w:rPr>
                    <w:t>3</w:t>
                  </w:r>
                  <w:r>
                    <w:rPr>
                      <w:rFonts w:hint="eastAsia" w:ascii="Times New Roman" w:hAnsi="Times New Roman" w:cs="Times New Roman"/>
                      <w:bCs/>
                      <w:color w:val="auto"/>
                      <w:sz w:val="21"/>
                      <w:szCs w:val="21"/>
                      <w:highlight w:val="none"/>
                      <w:lang w:val="en-US" w:eastAsia="zh-CN"/>
                    </w:rPr>
                    <w:t>/a），</w:t>
                  </w:r>
                  <w:r>
                    <w:rPr>
                      <w:rFonts w:hint="eastAsia" w:ascii="Times New Roman" w:hAnsi="Times New Roman" w:cs="Times New Roman"/>
                      <w:bCs/>
                      <w:color w:val="auto"/>
                      <w:szCs w:val="21"/>
                      <w:highlight w:val="none"/>
                      <w:lang w:eastAsia="zh-CN"/>
                    </w:rPr>
                    <w:t>乐山市工业集中区污水处理厂</w:t>
                  </w:r>
                  <w:r>
                    <w:rPr>
                      <w:rFonts w:hint="eastAsia" w:ascii="Times New Roman" w:hAnsi="Times New Roman" w:cs="Times New Roman"/>
                      <w:bCs/>
                      <w:color w:val="auto"/>
                      <w:sz w:val="21"/>
                      <w:szCs w:val="21"/>
                      <w:highlight w:val="none"/>
                      <w:lang w:val="en-US" w:eastAsia="zh-CN"/>
                    </w:rPr>
                    <w:t>能负荷本项目污水。</w:t>
                  </w:r>
                </w:p>
              </w:tc>
            </w:tr>
          </w:tbl>
          <w:p>
            <w:pPr>
              <w:keepNext w:val="0"/>
              <w:keepLines w:val="0"/>
              <w:pageBreakBefore w:val="0"/>
              <w:widowControl w:val="0"/>
              <w:kinsoku/>
              <w:wordWrap/>
              <w:overflowPunct/>
              <w:topLinePunct w:val="0"/>
              <w:autoSpaceDE w:val="0"/>
              <w:autoSpaceDN w:val="0"/>
              <w:bidi w:val="0"/>
              <w:adjustRightInd w:val="0"/>
              <w:snapToGrid w:val="0"/>
              <w:spacing w:line="360" w:lineRule="auto"/>
              <w:ind w:firstLine="442" w:firstLineChars="200"/>
              <w:jc w:val="left"/>
              <w:textAlignment w:val="auto"/>
              <w:outlineLvl w:val="9"/>
              <w:rPr>
                <w:rFonts w:hint="default" w:ascii="Times New Roman" w:hAnsi="Times New Roman" w:eastAsia="宋体" w:cs="Times New Roman"/>
                <w:b/>
                <w:bCs w:val="0"/>
                <w:color w:val="auto"/>
                <w:sz w:val="22"/>
                <w:szCs w:val="22"/>
                <w:highlight w:val="none"/>
                <w:lang w:val="en-US" w:eastAsia="zh-CN"/>
              </w:rPr>
            </w:pPr>
            <w:r>
              <w:rPr>
                <w:rFonts w:hint="eastAsia" w:ascii="Times New Roman" w:hAnsi="Times New Roman" w:eastAsia="宋体" w:cs="Times New Roman"/>
                <w:b/>
                <w:bCs w:val="0"/>
                <w:color w:val="auto"/>
                <w:sz w:val="22"/>
                <w:szCs w:val="22"/>
                <w:highlight w:val="none"/>
                <w:lang w:val="en-US" w:eastAsia="zh-CN"/>
              </w:rPr>
              <w:t>2.3 主要产品及产能</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40" w:firstLineChars="200"/>
              <w:jc w:val="both"/>
              <w:textAlignment w:val="auto"/>
              <w:outlineLvl w:val="9"/>
              <w:rPr>
                <w:rFonts w:hint="eastAsia" w:ascii="Times New Roman" w:hAnsi="Times New Roman" w:eastAsia="宋体" w:cs="Times New Roman"/>
                <w:bCs/>
                <w:color w:val="auto"/>
                <w:sz w:val="22"/>
                <w:szCs w:val="22"/>
                <w:highlight w:val="none"/>
                <w:lang w:val="en-US" w:eastAsia="zh-CN"/>
              </w:rPr>
            </w:pPr>
            <w:r>
              <w:rPr>
                <w:rFonts w:hint="eastAsia" w:ascii="Times New Roman" w:hAnsi="Times New Roman" w:eastAsia="宋体" w:cs="Times New Roman"/>
                <w:bCs/>
                <w:color w:val="auto"/>
                <w:sz w:val="22"/>
                <w:szCs w:val="22"/>
                <w:highlight w:val="none"/>
                <w:lang w:val="en-US" w:eastAsia="zh-CN"/>
              </w:rPr>
              <w:t>本项目主要生产夹层玻璃，</w:t>
            </w:r>
            <w:r>
              <w:rPr>
                <w:rFonts w:hint="eastAsia" w:eastAsia="宋体" w:cs="Times New Roman"/>
                <w:b w:val="0"/>
                <w:bCs w:val="0"/>
                <w:color w:val="auto"/>
                <w:kern w:val="2"/>
                <w:sz w:val="22"/>
                <w:szCs w:val="22"/>
                <w:highlight w:val="none"/>
                <w:lang w:val="en-US" w:eastAsia="zh-CN" w:bidi="ar-SA"/>
              </w:rPr>
              <w:t>并对30%夹层玻璃进行喷漆处理</w:t>
            </w:r>
            <w:r>
              <w:rPr>
                <w:rFonts w:hint="eastAsia" w:ascii="Times New Roman" w:hAnsi="Times New Roman" w:eastAsia="宋体" w:cs="Times New Roman"/>
                <w:bCs/>
                <w:color w:val="auto"/>
                <w:sz w:val="22"/>
                <w:szCs w:val="22"/>
                <w:highlight w:val="none"/>
                <w:lang w:val="en-US" w:eastAsia="zh-CN"/>
              </w:rPr>
              <w:t>。产品方案见下表。</w:t>
            </w:r>
          </w:p>
          <w:p>
            <w:pPr>
              <w:adjustRightInd w:val="0"/>
              <w:jc w:val="center"/>
              <w:textAlignment w:val="baseline"/>
              <w:rPr>
                <w:rFonts w:hint="eastAsia" w:ascii="Times New Roman" w:hAnsi="Times New Roman" w:cs="Times New Roman"/>
                <w:bCs/>
                <w:color w:val="auto"/>
                <w:sz w:val="22"/>
                <w:szCs w:val="22"/>
                <w:highlight w:val="none"/>
                <w:lang w:eastAsia="zh-CN"/>
              </w:rPr>
            </w:pPr>
            <w:r>
              <w:rPr>
                <w:rFonts w:hint="default" w:ascii="Times New Roman" w:hAnsi="Times New Roman" w:cs="Times New Roman"/>
                <w:b/>
                <w:color w:val="auto"/>
                <w:kern w:val="0"/>
                <w:szCs w:val="21"/>
                <w:highlight w:val="none"/>
                <w:lang w:val="zh-CN"/>
              </w:rPr>
              <w:t>表</w:t>
            </w:r>
            <w:r>
              <w:rPr>
                <w:rFonts w:hint="default" w:ascii="Times New Roman" w:hAnsi="Times New Roman" w:cs="Times New Roman"/>
                <w:b/>
                <w:color w:val="auto"/>
                <w:kern w:val="0"/>
                <w:szCs w:val="21"/>
                <w:highlight w:val="none"/>
              </w:rPr>
              <w:t>2-</w:t>
            </w:r>
            <w:r>
              <w:rPr>
                <w:rFonts w:hint="eastAsia" w:ascii="Times New Roman" w:hAnsi="Times New Roman" w:cs="Times New Roman"/>
                <w:b/>
                <w:color w:val="auto"/>
                <w:kern w:val="0"/>
                <w:szCs w:val="21"/>
                <w:highlight w:val="none"/>
                <w:lang w:val="en-US" w:eastAsia="zh-CN"/>
              </w:rPr>
              <w:t>3</w:t>
            </w:r>
            <w:r>
              <w:rPr>
                <w:rFonts w:hint="default" w:ascii="Times New Roman" w:hAnsi="Times New Roman" w:cs="Times New Roman"/>
                <w:b/>
                <w:color w:val="auto"/>
                <w:kern w:val="0"/>
                <w:szCs w:val="21"/>
                <w:highlight w:val="none"/>
                <w:lang w:val="zh-CN"/>
              </w:rPr>
              <w:t xml:space="preserve"> </w:t>
            </w:r>
            <w:r>
              <w:rPr>
                <w:rFonts w:hint="eastAsia" w:ascii="Times New Roman" w:hAnsi="Times New Roman" w:cs="Times New Roman"/>
                <w:b/>
                <w:color w:val="auto"/>
                <w:kern w:val="0"/>
                <w:szCs w:val="21"/>
                <w:highlight w:val="none"/>
                <w:lang w:val="zh-CN"/>
              </w:rPr>
              <w:t>本</w:t>
            </w:r>
            <w:r>
              <w:rPr>
                <w:rFonts w:hint="default" w:ascii="Times New Roman" w:hAnsi="Times New Roman" w:cs="Times New Roman"/>
                <w:b/>
                <w:color w:val="auto"/>
                <w:kern w:val="0"/>
                <w:szCs w:val="21"/>
                <w:highlight w:val="none"/>
                <w:lang w:val="zh-CN"/>
              </w:rPr>
              <w:t>工程产品及产能情况统计</w:t>
            </w:r>
          </w:p>
          <w:tbl>
            <w:tblPr>
              <w:tblStyle w:val="43"/>
              <w:tblW w:w="79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58"/>
              <w:gridCol w:w="1029"/>
              <w:gridCol w:w="1208"/>
              <w:gridCol w:w="30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2658" w:type="dxa"/>
                  <w:noWrap w:val="0"/>
                  <w:vAlign w:val="center"/>
                </w:tcPr>
                <w:p>
                  <w:pPr>
                    <w:jc w:val="center"/>
                    <w:rPr>
                      <w:rFonts w:hint="eastAsia" w:ascii="Times New Roman" w:hAnsi="Times New Roman" w:cs="Times New Roman"/>
                      <w:color w:val="auto"/>
                      <w:szCs w:val="21"/>
                      <w:highlight w:val="none"/>
                      <w:lang w:eastAsia="zh-CN"/>
                    </w:rPr>
                  </w:pPr>
                  <w:r>
                    <w:rPr>
                      <w:rFonts w:hint="eastAsia" w:ascii="Times New Roman" w:hAnsi="Times New Roman" w:cs="Times New Roman"/>
                      <w:color w:val="auto"/>
                      <w:szCs w:val="21"/>
                      <w:highlight w:val="none"/>
                      <w:lang w:eastAsia="zh-CN"/>
                    </w:rPr>
                    <w:t>产品名称</w:t>
                  </w:r>
                </w:p>
              </w:tc>
              <w:tc>
                <w:tcPr>
                  <w:tcW w:w="1029" w:type="dxa"/>
                  <w:noWrap w:val="0"/>
                  <w:vAlign w:val="center"/>
                </w:tcPr>
                <w:p>
                  <w:pPr>
                    <w:jc w:val="center"/>
                    <w:rPr>
                      <w:rFonts w:hint="eastAsia" w:ascii="Times New Roman" w:hAnsi="Times New Roman" w:cs="Times New Roman"/>
                      <w:color w:val="auto"/>
                      <w:szCs w:val="21"/>
                      <w:highlight w:val="none"/>
                      <w:lang w:eastAsia="zh-CN"/>
                    </w:rPr>
                  </w:pPr>
                  <w:r>
                    <w:rPr>
                      <w:rFonts w:hint="eastAsia" w:ascii="Times New Roman" w:hAnsi="Times New Roman" w:cs="Times New Roman"/>
                      <w:color w:val="auto"/>
                      <w:szCs w:val="21"/>
                      <w:highlight w:val="none"/>
                      <w:lang w:eastAsia="zh-CN"/>
                    </w:rPr>
                    <w:t>单位</w:t>
                  </w:r>
                </w:p>
              </w:tc>
              <w:tc>
                <w:tcPr>
                  <w:tcW w:w="1208" w:type="dxa"/>
                  <w:noWrap w:val="0"/>
                  <w:vAlign w:val="center"/>
                </w:tcPr>
                <w:p>
                  <w:pPr>
                    <w:jc w:val="center"/>
                    <w:rPr>
                      <w:rFonts w:hint="eastAsia" w:ascii="Times New Roman" w:hAnsi="Times New Roman" w:cs="Times New Roman"/>
                      <w:color w:val="auto"/>
                      <w:szCs w:val="21"/>
                      <w:highlight w:val="none"/>
                      <w:lang w:eastAsia="zh-CN"/>
                    </w:rPr>
                  </w:pPr>
                  <w:r>
                    <w:rPr>
                      <w:rFonts w:hint="eastAsia" w:ascii="Times New Roman" w:hAnsi="Times New Roman" w:cs="Times New Roman"/>
                      <w:color w:val="auto"/>
                      <w:szCs w:val="21"/>
                      <w:highlight w:val="none"/>
                      <w:lang w:eastAsia="zh-CN"/>
                    </w:rPr>
                    <w:t>数量</w:t>
                  </w:r>
                </w:p>
              </w:tc>
              <w:tc>
                <w:tcPr>
                  <w:tcW w:w="3063" w:type="dxa"/>
                  <w:noWrap w:val="0"/>
                  <w:vAlign w:val="center"/>
                </w:tcPr>
                <w:p>
                  <w:pPr>
                    <w:jc w:val="center"/>
                    <w:rPr>
                      <w:rFonts w:hint="eastAsia" w:ascii="Times New Roman" w:hAnsi="Times New Roman" w:cs="Times New Roman"/>
                      <w:color w:val="auto"/>
                      <w:szCs w:val="21"/>
                      <w:highlight w:val="none"/>
                      <w:lang w:eastAsia="zh-CN"/>
                    </w:rPr>
                  </w:pPr>
                  <w:r>
                    <w:rPr>
                      <w:rFonts w:hint="eastAsia" w:ascii="Times New Roman" w:hAnsi="Times New Roman" w:cs="Times New Roman"/>
                      <w:color w:val="auto"/>
                      <w:szCs w:val="21"/>
                      <w:highlight w:val="none"/>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658" w:type="dxa"/>
                  <w:noWrap w:val="0"/>
                  <w:vAlign w:val="center"/>
                </w:tcPr>
                <w:p>
                  <w:pPr>
                    <w:jc w:val="center"/>
                    <w:rPr>
                      <w:rFonts w:hint="eastAsia" w:ascii="Times New Roman" w:hAnsi="Times New Roman" w:cs="Times New Roman"/>
                      <w:color w:val="auto"/>
                      <w:szCs w:val="21"/>
                      <w:highlight w:val="none"/>
                      <w:lang w:eastAsia="zh-CN"/>
                    </w:rPr>
                  </w:pPr>
                  <w:r>
                    <w:rPr>
                      <w:rFonts w:hint="eastAsia" w:ascii="Times New Roman" w:hAnsi="Times New Roman" w:eastAsia="宋体" w:cs="Times New Roman"/>
                      <w:color w:val="auto"/>
                      <w:szCs w:val="21"/>
                      <w:highlight w:val="none"/>
                      <w:lang w:val="en-US" w:eastAsia="zh-CN"/>
                    </w:rPr>
                    <w:t>夹层玻璃</w:t>
                  </w:r>
                </w:p>
              </w:tc>
              <w:tc>
                <w:tcPr>
                  <w:tcW w:w="1029" w:type="dxa"/>
                  <w:noWrap w:val="0"/>
                  <w:vAlign w:val="center"/>
                </w:tcPr>
                <w:p>
                  <w:pPr>
                    <w:jc w:val="center"/>
                    <w:rPr>
                      <w:rFonts w:hint="eastAsia" w:ascii="Times New Roman" w:hAnsi="Times New Roman" w:cs="Times New Roman"/>
                      <w:color w:val="auto"/>
                      <w:szCs w:val="21"/>
                      <w:highlight w:val="none"/>
                      <w:lang w:eastAsia="zh-CN"/>
                    </w:rPr>
                  </w:pPr>
                  <w:r>
                    <w:rPr>
                      <w:rFonts w:hint="eastAsia" w:ascii="Times New Roman" w:hAnsi="Times New Roman" w:eastAsia="宋体" w:cs="Times New Roman"/>
                      <w:color w:val="auto"/>
                      <w:szCs w:val="21"/>
                      <w:highlight w:val="none"/>
                      <w:lang w:val="en-US" w:eastAsia="zh-CN"/>
                    </w:rPr>
                    <w:t>万m</w:t>
                  </w:r>
                  <w:r>
                    <w:rPr>
                      <w:rFonts w:hint="eastAsia" w:ascii="Times New Roman" w:hAnsi="Times New Roman" w:eastAsia="宋体" w:cs="Times New Roman"/>
                      <w:color w:val="auto"/>
                      <w:szCs w:val="21"/>
                      <w:highlight w:val="none"/>
                      <w:vertAlign w:val="superscript"/>
                      <w:lang w:val="en-US" w:eastAsia="zh-CN"/>
                    </w:rPr>
                    <w:t>2</w:t>
                  </w:r>
                </w:p>
              </w:tc>
              <w:tc>
                <w:tcPr>
                  <w:tcW w:w="1208" w:type="dxa"/>
                  <w:noWrap w:val="0"/>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5.6</w:t>
                  </w:r>
                </w:p>
              </w:tc>
              <w:tc>
                <w:tcPr>
                  <w:tcW w:w="3063" w:type="dxa"/>
                  <w:vMerge w:val="restart"/>
                  <w:noWrap w:val="0"/>
                  <w:vAlign w:val="center"/>
                </w:tcPr>
                <w:p>
                  <w:pPr>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夹层玻璃满足《建筑用安全玻璃 第3部分：夹层玻璃》（GB15763.3-2009）性能要求。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2658" w:type="dxa"/>
                  <w:noWrap w:val="0"/>
                  <w:vAlign w:val="center"/>
                </w:tcPr>
                <w:p>
                  <w:pPr>
                    <w:jc w:val="center"/>
                    <w:rPr>
                      <w:rFonts w:hint="eastAsia" w:ascii="Times New Roman" w:hAnsi="Times New Roman" w:cs="Times New Roman"/>
                      <w:color w:val="auto"/>
                      <w:szCs w:val="21"/>
                      <w:highlight w:val="none"/>
                      <w:lang w:eastAsia="zh-CN"/>
                    </w:rPr>
                  </w:pPr>
                  <w:r>
                    <w:rPr>
                      <w:rFonts w:hint="eastAsia" w:ascii="Times New Roman" w:hAnsi="Times New Roman" w:eastAsia="宋体" w:cs="Times New Roman"/>
                      <w:color w:val="auto"/>
                      <w:szCs w:val="21"/>
                      <w:highlight w:val="none"/>
                      <w:lang w:val="en-US" w:eastAsia="zh-CN"/>
                    </w:rPr>
                    <w:t>夹层玻璃（喷漆）</w:t>
                  </w:r>
                </w:p>
              </w:tc>
              <w:tc>
                <w:tcPr>
                  <w:tcW w:w="1029" w:type="dxa"/>
                  <w:noWrap w:val="0"/>
                  <w:vAlign w:val="center"/>
                </w:tcPr>
                <w:p>
                  <w:pPr>
                    <w:jc w:val="center"/>
                    <w:rPr>
                      <w:rFonts w:hint="eastAsia" w:ascii="Times New Roman" w:hAnsi="Times New Roman" w:cs="Times New Roman"/>
                      <w:color w:val="auto"/>
                      <w:szCs w:val="21"/>
                      <w:highlight w:val="none"/>
                      <w:lang w:eastAsia="zh-CN"/>
                    </w:rPr>
                  </w:pPr>
                  <w:r>
                    <w:rPr>
                      <w:rFonts w:hint="eastAsia" w:ascii="Times New Roman" w:hAnsi="Times New Roman" w:eastAsia="宋体" w:cs="Times New Roman"/>
                      <w:color w:val="auto"/>
                      <w:szCs w:val="21"/>
                      <w:highlight w:val="none"/>
                      <w:lang w:val="en-US" w:eastAsia="zh-CN"/>
                    </w:rPr>
                    <w:t>万m</w:t>
                  </w:r>
                  <w:r>
                    <w:rPr>
                      <w:rFonts w:hint="eastAsia" w:ascii="Times New Roman" w:hAnsi="Times New Roman" w:eastAsia="宋体" w:cs="Times New Roman"/>
                      <w:color w:val="auto"/>
                      <w:szCs w:val="21"/>
                      <w:highlight w:val="none"/>
                      <w:vertAlign w:val="superscript"/>
                      <w:lang w:val="en-US" w:eastAsia="zh-CN"/>
                    </w:rPr>
                    <w:t>2</w:t>
                  </w:r>
                </w:p>
              </w:tc>
              <w:tc>
                <w:tcPr>
                  <w:tcW w:w="1208" w:type="dxa"/>
                  <w:noWrap w:val="0"/>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2.4</w:t>
                  </w:r>
                </w:p>
              </w:tc>
              <w:tc>
                <w:tcPr>
                  <w:tcW w:w="3063" w:type="dxa"/>
                  <w:vMerge w:val="continue"/>
                  <w:noWrap w:val="0"/>
                  <w:vAlign w:val="center"/>
                </w:tcPr>
                <w:p>
                  <w:pPr>
                    <w:jc w:val="center"/>
                    <w:rPr>
                      <w:rFonts w:hint="eastAsia" w:ascii="Times New Roman" w:hAnsi="Times New Roman" w:cs="Times New Roman"/>
                      <w:color w:val="auto"/>
                      <w:szCs w:val="21"/>
                      <w:highlight w:val="none"/>
                      <w:lang w:eastAsia="zh-CN"/>
                    </w:rPr>
                  </w:pPr>
                </w:p>
              </w:tc>
            </w:tr>
          </w:tbl>
          <w:p>
            <w:pPr>
              <w:keepNext w:val="0"/>
              <w:keepLines w:val="0"/>
              <w:pageBreakBefore w:val="0"/>
              <w:widowControl w:val="0"/>
              <w:kinsoku/>
              <w:wordWrap/>
              <w:overflowPunct/>
              <w:topLinePunct w:val="0"/>
              <w:autoSpaceDE w:val="0"/>
              <w:autoSpaceDN w:val="0"/>
              <w:bidi w:val="0"/>
              <w:adjustRightInd w:val="0"/>
              <w:snapToGrid w:val="0"/>
              <w:spacing w:line="360" w:lineRule="auto"/>
              <w:ind w:firstLine="442" w:firstLineChars="200"/>
              <w:jc w:val="left"/>
              <w:textAlignment w:val="auto"/>
              <w:outlineLvl w:val="9"/>
              <w:rPr>
                <w:rFonts w:hint="eastAsia" w:ascii="Times New Roman" w:hAnsi="Times New Roman" w:cs="Times New Roman"/>
                <w:b/>
                <w:bCs w:val="0"/>
                <w:color w:val="auto"/>
                <w:sz w:val="22"/>
                <w:szCs w:val="22"/>
                <w:highlight w:val="none"/>
                <w:lang w:val="en-US" w:eastAsia="zh-CN"/>
              </w:rPr>
            </w:pPr>
            <w:r>
              <w:rPr>
                <w:rFonts w:hint="eastAsia" w:ascii="Times New Roman" w:hAnsi="Times New Roman" w:cs="Times New Roman"/>
                <w:b/>
                <w:bCs w:val="0"/>
                <w:color w:val="auto"/>
                <w:sz w:val="22"/>
                <w:szCs w:val="22"/>
                <w:highlight w:val="none"/>
                <w:lang w:val="en-US" w:eastAsia="zh-CN"/>
              </w:rPr>
              <w:t>2.4 主要生产单元、生产工艺</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40" w:firstLineChars="200"/>
              <w:jc w:val="left"/>
              <w:textAlignment w:val="auto"/>
              <w:outlineLvl w:val="9"/>
              <w:rPr>
                <w:rFonts w:hint="default" w:ascii="Times New Roman" w:hAnsi="Times New Roman" w:eastAsia="宋体" w:cs="Times New Roman"/>
                <w:bCs/>
                <w:color w:val="auto"/>
                <w:sz w:val="22"/>
                <w:szCs w:val="22"/>
                <w:highlight w:val="none"/>
                <w:lang w:val="en-US" w:eastAsia="zh-CN"/>
              </w:rPr>
            </w:pPr>
            <w:r>
              <w:rPr>
                <w:rFonts w:hint="eastAsia" w:ascii="Times New Roman" w:hAnsi="Times New Roman" w:eastAsia="宋体" w:cs="Times New Roman"/>
                <w:bCs/>
                <w:color w:val="auto"/>
                <w:sz w:val="22"/>
                <w:szCs w:val="22"/>
                <w:highlight w:val="none"/>
                <w:lang w:val="en-US" w:eastAsia="zh-CN"/>
              </w:rPr>
              <w:t>外购玻璃原片，在两块玻璃之间夹进一层PVB胶片，进一步加工为夹层玻璃。根据产品需求，对</w:t>
            </w:r>
            <w:r>
              <w:rPr>
                <w:rFonts w:hint="eastAsia" w:eastAsia="宋体" w:cs="Times New Roman"/>
                <w:b w:val="0"/>
                <w:bCs w:val="0"/>
                <w:color w:val="auto"/>
                <w:kern w:val="2"/>
                <w:sz w:val="22"/>
                <w:szCs w:val="22"/>
                <w:highlight w:val="none"/>
                <w:lang w:val="en-US" w:eastAsia="zh-CN" w:bidi="ar-SA"/>
              </w:rPr>
              <w:t>30%夹层玻璃进行喷漆处理。</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42" w:firstLineChars="200"/>
              <w:jc w:val="left"/>
              <w:textAlignment w:val="auto"/>
              <w:outlineLvl w:val="9"/>
              <w:rPr>
                <w:rFonts w:hint="eastAsia" w:ascii="Times New Roman" w:hAnsi="Times New Roman" w:cs="Times New Roman"/>
                <w:b/>
                <w:bCs w:val="0"/>
                <w:color w:val="auto"/>
                <w:sz w:val="22"/>
                <w:szCs w:val="22"/>
                <w:highlight w:val="none"/>
                <w:lang w:val="en-US" w:eastAsia="zh-CN"/>
              </w:rPr>
            </w:pPr>
            <w:r>
              <w:rPr>
                <w:rFonts w:hint="eastAsia" w:ascii="Times New Roman" w:hAnsi="Times New Roman" w:cs="Times New Roman"/>
                <w:b/>
                <w:bCs w:val="0"/>
                <w:color w:val="auto"/>
                <w:sz w:val="22"/>
                <w:szCs w:val="22"/>
                <w:highlight w:val="none"/>
                <w:lang w:val="en-US" w:eastAsia="zh-CN"/>
              </w:rPr>
              <w:t>2.5 主要生产设施及设施参数</w:t>
            </w:r>
          </w:p>
          <w:p>
            <w:pPr>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表2-</w:t>
            </w:r>
            <w:r>
              <w:rPr>
                <w:rFonts w:hint="eastAsia" w:ascii="Times New Roman" w:hAnsi="Times New Roman" w:cs="Times New Roman"/>
                <w:b/>
                <w:bCs/>
                <w:color w:val="auto"/>
                <w:szCs w:val="21"/>
                <w:highlight w:val="none"/>
                <w:lang w:val="en-US" w:eastAsia="zh-CN"/>
              </w:rPr>
              <w:t>4</w:t>
            </w:r>
            <w:r>
              <w:rPr>
                <w:rFonts w:hint="default" w:ascii="Times New Roman" w:hAnsi="Times New Roman" w:cs="Times New Roman"/>
                <w:b/>
                <w:bCs/>
                <w:color w:val="auto"/>
                <w:szCs w:val="21"/>
                <w:highlight w:val="none"/>
              </w:rPr>
              <w:t>主要设备一览表</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232"/>
              <w:gridCol w:w="954"/>
              <w:gridCol w:w="3183"/>
              <w:gridCol w:w="17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709" w:type="dxa"/>
                  <w:noWrap w:val="0"/>
                  <w:vAlign w:val="center"/>
                </w:tcPr>
                <w:p>
                  <w:pPr>
                    <w:widowControl/>
                    <w:spacing w:line="300" w:lineRule="exact"/>
                    <w:ind w:firstLine="36" w:firstLineChars="17"/>
                    <w:jc w:val="center"/>
                    <w:rPr>
                      <w:b/>
                      <w:color w:val="auto"/>
                      <w:kern w:val="0"/>
                      <w:sz w:val="21"/>
                      <w:szCs w:val="21"/>
                      <w:highlight w:val="none"/>
                    </w:rPr>
                  </w:pPr>
                  <w:r>
                    <w:rPr>
                      <w:b/>
                      <w:color w:val="auto"/>
                      <w:kern w:val="0"/>
                      <w:sz w:val="21"/>
                      <w:szCs w:val="21"/>
                      <w:highlight w:val="none"/>
                    </w:rPr>
                    <w:t>序号</w:t>
                  </w:r>
                </w:p>
              </w:tc>
              <w:tc>
                <w:tcPr>
                  <w:tcW w:w="1232" w:type="dxa"/>
                  <w:noWrap w:val="0"/>
                  <w:vAlign w:val="center"/>
                </w:tcPr>
                <w:p>
                  <w:pPr>
                    <w:widowControl/>
                    <w:spacing w:line="300" w:lineRule="exact"/>
                    <w:ind w:firstLine="36" w:firstLineChars="17"/>
                    <w:jc w:val="center"/>
                    <w:rPr>
                      <w:b/>
                      <w:color w:val="auto"/>
                      <w:kern w:val="0"/>
                      <w:sz w:val="21"/>
                      <w:szCs w:val="21"/>
                      <w:highlight w:val="none"/>
                    </w:rPr>
                  </w:pPr>
                  <w:r>
                    <w:rPr>
                      <w:b/>
                      <w:color w:val="auto"/>
                      <w:kern w:val="0"/>
                      <w:sz w:val="21"/>
                      <w:szCs w:val="21"/>
                      <w:highlight w:val="none"/>
                    </w:rPr>
                    <w:t>设备名称</w:t>
                  </w:r>
                </w:p>
              </w:tc>
              <w:tc>
                <w:tcPr>
                  <w:tcW w:w="954" w:type="dxa"/>
                  <w:noWrap w:val="0"/>
                  <w:vAlign w:val="center"/>
                </w:tcPr>
                <w:p>
                  <w:pPr>
                    <w:widowControl/>
                    <w:spacing w:line="300" w:lineRule="exact"/>
                    <w:ind w:firstLine="36" w:firstLineChars="17"/>
                    <w:jc w:val="center"/>
                    <w:rPr>
                      <w:b/>
                      <w:color w:val="auto"/>
                      <w:kern w:val="0"/>
                      <w:sz w:val="21"/>
                      <w:szCs w:val="21"/>
                      <w:highlight w:val="none"/>
                    </w:rPr>
                  </w:pPr>
                  <w:r>
                    <w:rPr>
                      <w:b/>
                      <w:color w:val="auto"/>
                      <w:kern w:val="0"/>
                      <w:sz w:val="21"/>
                      <w:szCs w:val="21"/>
                      <w:highlight w:val="none"/>
                    </w:rPr>
                    <w:t>数量</w:t>
                  </w:r>
                </w:p>
              </w:tc>
              <w:tc>
                <w:tcPr>
                  <w:tcW w:w="3183" w:type="dxa"/>
                  <w:noWrap w:val="0"/>
                  <w:vAlign w:val="center"/>
                </w:tcPr>
                <w:p>
                  <w:pPr>
                    <w:widowControl/>
                    <w:spacing w:line="300" w:lineRule="exact"/>
                    <w:ind w:firstLine="36" w:firstLineChars="17"/>
                    <w:jc w:val="center"/>
                    <w:rPr>
                      <w:b/>
                      <w:color w:val="auto"/>
                      <w:kern w:val="0"/>
                      <w:sz w:val="21"/>
                      <w:szCs w:val="21"/>
                      <w:highlight w:val="none"/>
                    </w:rPr>
                  </w:pPr>
                  <w:r>
                    <w:rPr>
                      <w:b/>
                      <w:color w:val="auto"/>
                      <w:kern w:val="0"/>
                      <w:sz w:val="21"/>
                      <w:szCs w:val="21"/>
                      <w:highlight w:val="none"/>
                    </w:rPr>
                    <w:t>规格型号</w:t>
                  </w:r>
                </w:p>
              </w:tc>
              <w:tc>
                <w:tcPr>
                  <w:tcW w:w="1718" w:type="dxa"/>
                  <w:noWrap w:val="0"/>
                  <w:vAlign w:val="center"/>
                </w:tcPr>
                <w:p>
                  <w:pPr>
                    <w:widowControl/>
                    <w:spacing w:line="300" w:lineRule="exact"/>
                    <w:ind w:firstLine="36" w:firstLineChars="17"/>
                    <w:jc w:val="center"/>
                    <w:rPr>
                      <w:b/>
                      <w:color w:val="auto"/>
                      <w:kern w:val="0"/>
                      <w:sz w:val="21"/>
                      <w:szCs w:val="21"/>
                      <w:highlight w:val="none"/>
                    </w:rPr>
                  </w:pPr>
                  <w:r>
                    <w:rPr>
                      <w:rFonts w:hint="eastAsia"/>
                      <w:b/>
                      <w:color w:val="auto"/>
                      <w:kern w:val="0"/>
                      <w:sz w:val="21"/>
                      <w:szCs w:val="21"/>
                      <w:highlight w:val="none"/>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709" w:type="dxa"/>
                  <w:noWrap w:val="0"/>
                  <w:vAlign w:val="center"/>
                </w:tcPr>
                <w:p>
                  <w:pPr>
                    <w:widowControl/>
                    <w:spacing w:line="300" w:lineRule="exact"/>
                    <w:ind w:firstLine="35" w:firstLineChars="17"/>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1</w:t>
                  </w:r>
                </w:p>
              </w:tc>
              <w:tc>
                <w:tcPr>
                  <w:tcW w:w="1232" w:type="dxa"/>
                  <w:noWrap w:val="0"/>
                  <w:vAlign w:val="center"/>
                </w:tcPr>
                <w:p>
                  <w:pPr>
                    <w:widowControl/>
                    <w:spacing w:line="300" w:lineRule="exact"/>
                    <w:ind w:firstLine="35" w:firstLineChars="17"/>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切割机</w:t>
                  </w:r>
                </w:p>
              </w:tc>
              <w:tc>
                <w:tcPr>
                  <w:tcW w:w="954" w:type="dxa"/>
                  <w:noWrap w:val="0"/>
                  <w:vAlign w:val="center"/>
                </w:tcPr>
                <w:p>
                  <w:pPr>
                    <w:widowControl/>
                    <w:spacing w:line="300" w:lineRule="exact"/>
                    <w:ind w:firstLine="35" w:firstLineChars="17"/>
                    <w:jc w:val="center"/>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2台</w:t>
                  </w:r>
                </w:p>
              </w:tc>
              <w:tc>
                <w:tcPr>
                  <w:tcW w:w="3183" w:type="dxa"/>
                  <w:noWrap w:val="0"/>
                  <w:vAlign w:val="center"/>
                </w:tcPr>
                <w:p>
                  <w:pPr>
                    <w:widowControl/>
                    <w:spacing w:line="300" w:lineRule="exact"/>
                    <w:ind w:firstLine="35" w:firstLineChars="17"/>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1台：2800mm×4200mm</w:t>
                  </w:r>
                </w:p>
                <w:p>
                  <w:pPr>
                    <w:widowControl/>
                    <w:spacing w:line="300" w:lineRule="exact"/>
                    <w:ind w:firstLine="35" w:firstLineChars="17"/>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1台：3300mm×6000mm</w:t>
                  </w:r>
                </w:p>
              </w:tc>
              <w:tc>
                <w:tcPr>
                  <w:tcW w:w="1718" w:type="dxa"/>
                  <w:noWrap w:val="0"/>
                  <w:vAlign w:val="center"/>
                </w:tcPr>
                <w:p>
                  <w:pPr>
                    <w:widowControl/>
                    <w:spacing w:line="300" w:lineRule="exact"/>
                    <w:ind w:firstLine="35" w:firstLineChars="17"/>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jc w:val="center"/>
              </w:trPr>
              <w:tc>
                <w:tcPr>
                  <w:tcW w:w="709" w:type="dxa"/>
                  <w:noWrap w:val="0"/>
                  <w:vAlign w:val="center"/>
                </w:tcPr>
                <w:p>
                  <w:pPr>
                    <w:widowControl/>
                    <w:spacing w:line="300" w:lineRule="exact"/>
                    <w:ind w:firstLine="35" w:firstLineChars="17"/>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2</w:t>
                  </w:r>
                </w:p>
              </w:tc>
              <w:tc>
                <w:tcPr>
                  <w:tcW w:w="1232" w:type="dxa"/>
                  <w:noWrap w:val="0"/>
                  <w:vAlign w:val="center"/>
                </w:tcPr>
                <w:p>
                  <w:pPr>
                    <w:widowControl/>
                    <w:spacing w:line="300" w:lineRule="exact"/>
                    <w:ind w:firstLine="35" w:firstLineChars="17"/>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双边磨</w:t>
                  </w:r>
                </w:p>
              </w:tc>
              <w:tc>
                <w:tcPr>
                  <w:tcW w:w="954" w:type="dxa"/>
                  <w:noWrap w:val="0"/>
                  <w:vAlign w:val="center"/>
                </w:tcPr>
                <w:p>
                  <w:pPr>
                    <w:widowControl/>
                    <w:spacing w:line="300" w:lineRule="exact"/>
                    <w:ind w:firstLine="35" w:firstLineChars="17"/>
                    <w:jc w:val="center"/>
                    <w:rPr>
                      <w:rFonts w:hint="eastAsia"/>
                      <w:color w:val="auto"/>
                      <w:kern w:val="0"/>
                      <w:sz w:val="21"/>
                      <w:szCs w:val="21"/>
                      <w:highlight w:val="none"/>
                      <w:lang w:val="en-US" w:eastAsia="zh-CN"/>
                    </w:rPr>
                  </w:pPr>
                  <w:r>
                    <w:rPr>
                      <w:rFonts w:hint="eastAsia"/>
                      <w:color w:val="auto"/>
                      <w:kern w:val="0"/>
                      <w:sz w:val="21"/>
                      <w:szCs w:val="21"/>
                      <w:highlight w:val="none"/>
                      <w:lang w:val="en-US" w:eastAsia="zh-CN"/>
                    </w:rPr>
                    <w:t>2台</w:t>
                  </w:r>
                </w:p>
              </w:tc>
              <w:tc>
                <w:tcPr>
                  <w:tcW w:w="3183" w:type="dxa"/>
                  <w:noWrap w:val="0"/>
                  <w:vAlign w:val="center"/>
                </w:tcPr>
                <w:p>
                  <w:pPr>
                    <w:widowControl/>
                    <w:spacing w:line="300" w:lineRule="exact"/>
                    <w:ind w:firstLine="35" w:firstLineChars="17"/>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4500mm×4000mm</w:t>
                  </w:r>
                </w:p>
              </w:tc>
              <w:tc>
                <w:tcPr>
                  <w:tcW w:w="1718" w:type="dxa"/>
                  <w:noWrap w:val="0"/>
                  <w:vAlign w:val="center"/>
                </w:tcPr>
                <w:p>
                  <w:pPr>
                    <w:widowControl/>
                    <w:spacing w:line="300" w:lineRule="exact"/>
                    <w:ind w:firstLine="35" w:firstLineChars="17"/>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jc w:val="center"/>
              </w:trPr>
              <w:tc>
                <w:tcPr>
                  <w:tcW w:w="709" w:type="dxa"/>
                  <w:noWrap w:val="0"/>
                  <w:vAlign w:val="center"/>
                </w:tcPr>
                <w:p>
                  <w:pPr>
                    <w:widowControl/>
                    <w:spacing w:line="300" w:lineRule="exact"/>
                    <w:ind w:firstLine="35" w:firstLineChars="17"/>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3</w:t>
                  </w:r>
                </w:p>
              </w:tc>
              <w:tc>
                <w:tcPr>
                  <w:tcW w:w="1232" w:type="dxa"/>
                  <w:noWrap w:val="0"/>
                  <w:vAlign w:val="center"/>
                </w:tcPr>
                <w:p>
                  <w:pPr>
                    <w:widowControl/>
                    <w:spacing w:line="300" w:lineRule="exact"/>
                    <w:ind w:firstLine="35" w:firstLineChars="17"/>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直边机</w:t>
                  </w:r>
                </w:p>
              </w:tc>
              <w:tc>
                <w:tcPr>
                  <w:tcW w:w="954" w:type="dxa"/>
                  <w:noWrap w:val="0"/>
                  <w:vAlign w:val="center"/>
                </w:tcPr>
                <w:p>
                  <w:pPr>
                    <w:widowControl/>
                    <w:spacing w:line="300" w:lineRule="exact"/>
                    <w:ind w:firstLine="35" w:firstLineChars="17"/>
                    <w:jc w:val="center"/>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2台</w:t>
                  </w:r>
                </w:p>
              </w:tc>
              <w:tc>
                <w:tcPr>
                  <w:tcW w:w="3183" w:type="dxa"/>
                  <w:noWrap w:val="0"/>
                  <w:vAlign w:val="center"/>
                </w:tcPr>
                <w:p>
                  <w:pPr>
                    <w:widowControl/>
                    <w:spacing w:line="300" w:lineRule="exact"/>
                    <w:ind w:firstLine="35" w:firstLineChars="17"/>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w:t>
                  </w:r>
                </w:p>
              </w:tc>
              <w:tc>
                <w:tcPr>
                  <w:tcW w:w="1718" w:type="dxa"/>
                  <w:noWrap w:val="0"/>
                  <w:vAlign w:val="center"/>
                </w:tcPr>
                <w:p>
                  <w:pPr>
                    <w:widowControl/>
                    <w:spacing w:line="300" w:lineRule="exact"/>
                    <w:ind w:firstLine="35" w:firstLineChars="17"/>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jc w:val="center"/>
              </w:trPr>
              <w:tc>
                <w:tcPr>
                  <w:tcW w:w="709" w:type="dxa"/>
                  <w:noWrap w:val="0"/>
                  <w:vAlign w:val="center"/>
                </w:tcPr>
                <w:p>
                  <w:pPr>
                    <w:widowControl/>
                    <w:spacing w:line="300" w:lineRule="exact"/>
                    <w:ind w:firstLine="35" w:firstLineChars="17"/>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4</w:t>
                  </w:r>
                </w:p>
              </w:tc>
              <w:tc>
                <w:tcPr>
                  <w:tcW w:w="1232" w:type="dxa"/>
                  <w:noWrap w:val="0"/>
                  <w:vAlign w:val="center"/>
                </w:tcPr>
                <w:p>
                  <w:pPr>
                    <w:widowControl/>
                    <w:spacing w:line="300" w:lineRule="exact"/>
                    <w:ind w:firstLine="35" w:firstLineChars="17"/>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斜边机</w:t>
                  </w:r>
                </w:p>
              </w:tc>
              <w:tc>
                <w:tcPr>
                  <w:tcW w:w="954" w:type="dxa"/>
                  <w:noWrap w:val="0"/>
                  <w:vAlign w:val="center"/>
                </w:tcPr>
                <w:p>
                  <w:pPr>
                    <w:widowControl/>
                    <w:spacing w:line="300" w:lineRule="exact"/>
                    <w:ind w:firstLine="35" w:firstLineChars="17"/>
                    <w:jc w:val="center"/>
                    <w:rPr>
                      <w:rFonts w:hint="eastAsia" w:eastAsia="宋体"/>
                      <w:color w:val="auto"/>
                      <w:kern w:val="0"/>
                      <w:sz w:val="21"/>
                      <w:szCs w:val="21"/>
                      <w:highlight w:val="none"/>
                      <w:lang w:val="en-US" w:eastAsia="zh-CN"/>
                    </w:rPr>
                  </w:pPr>
                  <w:r>
                    <w:rPr>
                      <w:rFonts w:hint="eastAsia"/>
                      <w:color w:val="auto"/>
                      <w:kern w:val="0"/>
                      <w:sz w:val="21"/>
                      <w:szCs w:val="21"/>
                      <w:highlight w:val="none"/>
                      <w:lang w:val="en-US" w:eastAsia="zh-CN"/>
                    </w:rPr>
                    <w:t>1台</w:t>
                  </w:r>
                </w:p>
              </w:tc>
              <w:tc>
                <w:tcPr>
                  <w:tcW w:w="3183" w:type="dxa"/>
                  <w:noWrap w:val="0"/>
                  <w:vAlign w:val="center"/>
                </w:tcPr>
                <w:p>
                  <w:pPr>
                    <w:widowControl/>
                    <w:spacing w:line="300" w:lineRule="exact"/>
                    <w:ind w:firstLine="35" w:firstLineChars="17"/>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w:t>
                  </w:r>
                </w:p>
              </w:tc>
              <w:tc>
                <w:tcPr>
                  <w:tcW w:w="1718" w:type="dxa"/>
                  <w:noWrap w:val="0"/>
                  <w:vAlign w:val="center"/>
                </w:tcPr>
                <w:p>
                  <w:pPr>
                    <w:widowControl/>
                    <w:spacing w:line="300" w:lineRule="exact"/>
                    <w:ind w:firstLine="35" w:firstLineChars="17"/>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jc w:val="center"/>
              </w:trPr>
              <w:tc>
                <w:tcPr>
                  <w:tcW w:w="709" w:type="dxa"/>
                  <w:noWrap w:val="0"/>
                  <w:vAlign w:val="center"/>
                </w:tcPr>
                <w:p>
                  <w:pPr>
                    <w:widowControl/>
                    <w:spacing w:line="300" w:lineRule="exact"/>
                    <w:ind w:firstLine="35" w:firstLineChars="17"/>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5</w:t>
                  </w:r>
                </w:p>
              </w:tc>
              <w:tc>
                <w:tcPr>
                  <w:tcW w:w="1232" w:type="dxa"/>
                  <w:noWrap w:val="0"/>
                  <w:vAlign w:val="center"/>
                </w:tcPr>
                <w:p>
                  <w:pPr>
                    <w:widowControl/>
                    <w:spacing w:line="300" w:lineRule="exact"/>
                    <w:ind w:firstLine="35" w:firstLineChars="17"/>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清洗机</w:t>
                  </w:r>
                </w:p>
              </w:tc>
              <w:tc>
                <w:tcPr>
                  <w:tcW w:w="954" w:type="dxa"/>
                  <w:noWrap w:val="0"/>
                  <w:vAlign w:val="center"/>
                </w:tcPr>
                <w:p>
                  <w:pPr>
                    <w:widowControl/>
                    <w:spacing w:line="300" w:lineRule="exact"/>
                    <w:ind w:firstLine="35" w:firstLineChars="17"/>
                    <w:jc w:val="center"/>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3台</w:t>
                  </w:r>
                </w:p>
              </w:tc>
              <w:tc>
                <w:tcPr>
                  <w:tcW w:w="3183" w:type="dxa"/>
                  <w:noWrap w:val="0"/>
                  <w:vAlign w:val="center"/>
                </w:tcPr>
                <w:p>
                  <w:pPr>
                    <w:widowControl/>
                    <w:spacing w:line="300" w:lineRule="exact"/>
                    <w:ind w:firstLine="35" w:firstLineChars="17"/>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w:t>
                  </w:r>
                </w:p>
              </w:tc>
              <w:tc>
                <w:tcPr>
                  <w:tcW w:w="1718" w:type="dxa"/>
                  <w:noWrap w:val="0"/>
                  <w:vAlign w:val="center"/>
                </w:tcPr>
                <w:p>
                  <w:pPr>
                    <w:widowControl/>
                    <w:spacing w:line="300" w:lineRule="exact"/>
                    <w:ind w:firstLine="35" w:firstLineChars="17"/>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jc w:val="center"/>
              </w:trPr>
              <w:tc>
                <w:tcPr>
                  <w:tcW w:w="709" w:type="dxa"/>
                  <w:noWrap w:val="0"/>
                  <w:vAlign w:val="center"/>
                </w:tcPr>
                <w:p>
                  <w:pPr>
                    <w:widowControl/>
                    <w:spacing w:line="300" w:lineRule="exact"/>
                    <w:ind w:firstLine="35" w:firstLineChars="17"/>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6</w:t>
                  </w:r>
                </w:p>
              </w:tc>
              <w:tc>
                <w:tcPr>
                  <w:tcW w:w="1232" w:type="dxa"/>
                  <w:noWrap w:val="0"/>
                  <w:vAlign w:val="center"/>
                </w:tcPr>
                <w:p>
                  <w:pPr>
                    <w:widowControl/>
                    <w:spacing w:line="300" w:lineRule="exact"/>
                    <w:ind w:firstLine="35" w:firstLineChars="17"/>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夹层线</w:t>
                  </w:r>
                </w:p>
              </w:tc>
              <w:tc>
                <w:tcPr>
                  <w:tcW w:w="954" w:type="dxa"/>
                  <w:noWrap w:val="0"/>
                  <w:vAlign w:val="center"/>
                </w:tcPr>
                <w:p>
                  <w:pPr>
                    <w:widowControl/>
                    <w:spacing w:line="300" w:lineRule="exact"/>
                    <w:ind w:firstLine="35" w:firstLineChars="17"/>
                    <w:jc w:val="center"/>
                    <w:rPr>
                      <w:rFonts w:hint="eastAsia"/>
                      <w:color w:val="auto"/>
                      <w:kern w:val="0"/>
                      <w:sz w:val="21"/>
                      <w:szCs w:val="21"/>
                      <w:highlight w:val="none"/>
                      <w:lang w:val="en-US" w:eastAsia="zh-CN"/>
                    </w:rPr>
                  </w:pPr>
                  <w:r>
                    <w:rPr>
                      <w:rFonts w:hint="eastAsia"/>
                      <w:color w:val="auto"/>
                      <w:kern w:val="0"/>
                      <w:sz w:val="21"/>
                      <w:szCs w:val="21"/>
                      <w:highlight w:val="none"/>
                      <w:lang w:val="en-US" w:eastAsia="zh-CN"/>
                    </w:rPr>
                    <w:t>1条</w:t>
                  </w:r>
                </w:p>
              </w:tc>
              <w:tc>
                <w:tcPr>
                  <w:tcW w:w="3183" w:type="dxa"/>
                  <w:noWrap w:val="0"/>
                  <w:vAlign w:val="center"/>
                </w:tcPr>
                <w:p>
                  <w:pPr>
                    <w:widowControl/>
                    <w:spacing w:line="300" w:lineRule="exact"/>
                    <w:ind w:firstLine="35" w:firstLineChars="17"/>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3000mm</w:t>
                  </w:r>
                </w:p>
              </w:tc>
              <w:tc>
                <w:tcPr>
                  <w:tcW w:w="1718" w:type="dxa"/>
                  <w:noWrap w:val="0"/>
                  <w:vAlign w:val="center"/>
                </w:tcPr>
                <w:p>
                  <w:pPr>
                    <w:widowControl/>
                    <w:spacing w:line="300" w:lineRule="exact"/>
                    <w:ind w:firstLine="35" w:firstLineChars="17"/>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709" w:type="dxa"/>
                  <w:noWrap w:val="0"/>
                  <w:vAlign w:val="center"/>
                </w:tcPr>
                <w:p>
                  <w:pPr>
                    <w:widowControl/>
                    <w:spacing w:line="300" w:lineRule="exact"/>
                    <w:ind w:firstLine="35" w:firstLineChars="17"/>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7</w:t>
                  </w:r>
                </w:p>
              </w:tc>
              <w:tc>
                <w:tcPr>
                  <w:tcW w:w="1232" w:type="dxa"/>
                  <w:noWrap w:val="0"/>
                  <w:vAlign w:val="center"/>
                </w:tcPr>
                <w:p>
                  <w:pPr>
                    <w:widowControl/>
                    <w:spacing w:line="300" w:lineRule="exact"/>
                    <w:ind w:firstLine="35" w:firstLineChars="17"/>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高压釜</w:t>
                  </w:r>
                </w:p>
              </w:tc>
              <w:tc>
                <w:tcPr>
                  <w:tcW w:w="954" w:type="dxa"/>
                  <w:noWrap w:val="0"/>
                  <w:vAlign w:val="center"/>
                </w:tcPr>
                <w:p>
                  <w:pPr>
                    <w:widowControl/>
                    <w:spacing w:line="300" w:lineRule="exact"/>
                    <w:ind w:firstLine="35" w:firstLineChars="17"/>
                    <w:jc w:val="center"/>
                    <w:rPr>
                      <w:rFonts w:hint="default"/>
                      <w:color w:val="auto"/>
                      <w:kern w:val="0"/>
                      <w:sz w:val="21"/>
                      <w:szCs w:val="21"/>
                      <w:highlight w:val="none"/>
                      <w:lang w:val="en-US" w:eastAsia="zh-CN"/>
                    </w:rPr>
                  </w:pPr>
                  <w:r>
                    <w:rPr>
                      <w:rFonts w:hint="eastAsia"/>
                      <w:color w:val="auto"/>
                      <w:kern w:val="0"/>
                      <w:sz w:val="21"/>
                      <w:szCs w:val="21"/>
                      <w:highlight w:val="none"/>
                      <w:lang w:val="en-US" w:eastAsia="zh-CN"/>
                    </w:rPr>
                    <w:t>2台</w:t>
                  </w:r>
                </w:p>
              </w:tc>
              <w:tc>
                <w:tcPr>
                  <w:tcW w:w="3183" w:type="dxa"/>
                  <w:noWrap w:val="0"/>
                  <w:vAlign w:val="center"/>
                </w:tcPr>
                <w:p>
                  <w:pPr>
                    <w:widowControl/>
                    <w:spacing w:line="300" w:lineRule="exact"/>
                    <w:ind w:firstLine="35" w:firstLineChars="17"/>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1台：2000mm×5500mm</w:t>
                  </w:r>
                </w:p>
                <w:p>
                  <w:pPr>
                    <w:widowControl/>
                    <w:spacing w:line="300" w:lineRule="exact"/>
                    <w:ind w:firstLine="35" w:firstLineChars="17"/>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1台：2800mm×6500mm</w:t>
                  </w:r>
                </w:p>
              </w:tc>
              <w:tc>
                <w:tcPr>
                  <w:tcW w:w="1718" w:type="dxa"/>
                  <w:noWrap w:val="0"/>
                  <w:vAlign w:val="center"/>
                </w:tcPr>
                <w:p>
                  <w:pPr>
                    <w:widowControl/>
                    <w:spacing w:line="300" w:lineRule="exact"/>
                    <w:ind w:firstLine="35" w:firstLineChars="17"/>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jc w:val="center"/>
              </w:trPr>
              <w:tc>
                <w:tcPr>
                  <w:tcW w:w="709" w:type="dxa"/>
                  <w:noWrap w:val="0"/>
                  <w:vAlign w:val="center"/>
                </w:tcPr>
                <w:p>
                  <w:pPr>
                    <w:widowControl/>
                    <w:spacing w:line="300" w:lineRule="exact"/>
                    <w:ind w:firstLine="35" w:firstLineChars="17"/>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8</w:t>
                  </w:r>
                </w:p>
              </w:tc>
              <w:tc>
                <w:tcPr>
                  <w:tcW w:w="1232" w:type="dxa"/>
                  <w:noWrap w:val="0"/>
                  <w:vAlign w:val="center"/>
                </w:tcPr>
                <w:p>
                  <w:pPr>
                    <w:widowControl/>
                    <w:spacing w:line="300" w:lineRule="exact"/>
                    <w:ind w:firstLine="35" w:firstLineChars="17"/>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除湿机</w:t>
                  </w:r>
                </w:p>
              </w:tc>
              <w:tc>
                <w:tcPr>
                  <w:tcW w:w="954" w:type="dxa"/>
                  <w:noWrap w:val="0"/>
                  <w:vAlign w:val="center"/>
                </w:tcPr>
                <w:p>
                  <w:pPr>
                    <w:widowControl/>
                    <w:spacing w:line="300" w:lineRule="exact"/>
                    <w:ind w:firstLine="35" w:firstLineChars="17"/>
                    <w:jc w:val="center"/>
                    <w:rPr>
                      <w:rFonts w:hint="default"/>
                      <w:color w:val="auto"/>
                      <w:kern w:val="0"/>
                      <w:sz w:val="21"/>
                      <w:szCs w:val="21"/>
                      <w:highlight w:val="none"/>
                      <w:lang w:val="en-US" w:eastAsia="zh-CN"/>
                    </w:rPr>
                  </w:pPr>
                  <w:r>
                    <w:rPr>
                      <w:rFonts w:hint="eastAsia"/>
                      <w:color w:val="auto"/>
                      <w:kern w:val="0"/>
                      <w:sz w:val="21"/>
                      <w:szCs w:val="21"/>
                      <w:highlight w:val="none"/>
                      <w:lang w:val="en-US" w:eastAsia="zh-CN"/>
                    </w:rPr>
                    <w:t>1台</w:t>
                  </w:r>
                </w:p>
              </w:tc>
              <w:tc>
                <w:tcPr>
                  <w:tcW w:w="3183" w:type="dxa"/>
                  <w:noWrap w:val="0"/>
                  <w:vAlign w:val="center"/>
                </w:tcPr>
                <w:p>
                  <w:pPr>
                    <w:widowControl/>
                    <w:spacing w:line="300" w:lineRule="exact"/>
                    <w:ind w:firstLine="35" w:firstLineChars="17"/>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w:t>
                  </w:r>
                </w:p>
              </w:tc>
              <w:tc>
                <w:tcPr>
                  <w:tcW w:w="1718" w:type="dxa"/>
                  <w:noWrap w:val="0"/>
                  <w:vAlign w:val="center"/>
                </w:tcPr>
                <w:p>
                  <w:pPr>
                    <w:widowControl/>
                    <w:spacing w:line="300" w:lineRule="exact"/>
                    <w:ind w:firstLine="35" w:firstLineChars="17"/>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jc w:val="center"/>
              </w:trPr>
              <w:tc>
                <w:tcPr>
                  <w:tcW w:w="709" w:type="dxa"/>
                  <w:noWrap w:val="0"/>
                  <w:vAlign w:val="center"/>
                </w:tcPr>
                <w:p>
                  <w:pPr>
                    <w:widowControl/>
                    <w:spacing w:line="300" w:lineRule="exact"/>
                    <w:ind w:firstLine="35" w:firstLineChars="17"/>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9</w:t>
                  </w:r>
                </w:p>
              </w:tc>
              <w:tc>
                <w:tcPr>
                  <w:tcW w:w="1232" w:type="dxa"/>
                  <w:noWrap w:val="0"/>
                  <w:vAlign w:val="center"/>
                </w:tcPr>
                <w:p>
                  <w:pPr>
                    <w:widowControl/>
                    <w:spacing w:line="300" w:lineRule="exact"/>
                    <w:ind w:firstLine="35" w:firstLineChars="17"/>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贴膜机</w:t>
                  </w:r>
                </w:p>
              </w:tc>
              <w:tc>
                <w:tcPr>
                  <w:tcW w:w="954" w:type="dxa"/>
                  <w:noWrap w:val="0"/>
                  <w:vAlign w:val="center"/>
                </w:tcPr>
                <w:p>
                  <w:pPr>
                    <w:widowControl/>
                    <w:spacing w:line="300" w:lineRule="exact"/>
                    <w:ind w:firstLine="35" w:firstLineChars="17"/>
                    <w:jc w:val="center"/>
                    <w:rPr>
                      <w:rFonts w:hint="default"/>
                      <w:color w:val="auto"/>
                      <w:kern w:val="0"/>
                      <w:sz w:val="21"/>
                      <w:szCs w:val="21"/>
                      <w:highlight w:val="none"/>
                      <w:lang w:val="en-US" w:eastAsia="zh-CN"/>
                    </w:rPr>
                  </w:pPr>
                  <w:r>
                    <w:rPr>
                      <w:rFonts w:hint="eastAsia"/>
                      <w:color w:val="auto"/>
                      <w:kern w:val="0"/>
                      <w:sz w:val="21"/>
                      <w:szCs w:val="21"/>
                      <w:highlight w:val="none"/>
                      <w:lang w:val="en-US" w:eastAsia="zh-CN"/>
                    </w:rPr>
                    <w:t>2台</w:t>
                  </w:r>
                </w:p>
              </w:tc>
              <w:tc>
                <w:tcPr>
                  <w:tcW w:w="3183" w:type="dxa"/>
                  <w:noWrap w:val="0"/>
                  <w:vAlign w:val="center"/>
                </w:tcPr>
                <w:p>
                  <w:pPr>
                    <w:widowControl/>
                    <w:spacing w:line="300" w:lineRule="exact"/>
                    <w:ind w:firstLine="35" w:firstLineChars="17"/>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2500mm×1600mm</w:t>
                  </w:r>
                </w:p>
              </w:tc>
              <w:tc>
                <w:tcPr>
                  <w:tcW w:w="1718" w:type="dxa"/>
                  <w:noWrap w:val="0"/>
                  <w:vAlign w:val="center"/>
                </w:tcPr>
                <w:p>
                  <w:pPr>
                    <w:widowControl/>
                    <w:spacing w:line="300" w:lineRule="exact"/>
                    <w:ind w:firstLine="35" w:firstLineChars="17"/>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jc w:val="center"/>
              </w:trPr>
              <w:tc>
                <w:tcPr>
                  <w:tcW w:w="709" w:type="dxa"/>
                  <w:noWrap w:val="0"/>
                  <w:vAlign w:val="center"/>
                </w:tcPr>
                <w:p>
                  <w:pPr>
                    <w:widowControl/>
                    <w:spacing w:line="300" w:lineRule="exact"/>
                    <w:ind w:firstLine="35" w:firstLineChars="17"/>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10</w:t>
                  </w:r>
                </w:p>
              </w:tc>
              <w:tc>
                <w:tcPr>
                  <w:tcW w:w="1232" w:type="dxa"/>
                  <w:noWrap w:val="0"/>
                  <w:vAlign w:val="center"/>
                </w:tcPr>
                <w:p>
                  <w:pPr>
                    <w:widowControl/>
                    <w:spacing w:line="300" w:lineRule="exact"/>
                    <w:ind w:firstLine="35" w:firstLineChars="17"/>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钻孔机</w:t>
                  </w:r>
                </w:p>
              </w:tc>
              <w:tc>
                <w:tcPr>
                  <w:tcW w:w="954" w:type="dxa"/>
                  <w:noWrap w:val="0"/>
                  <w:vAlign w:val="center"/>
                </w:tcPr>
                <w:p>
                  <w:pPr>
                    <w:widowControl/>
                    <w:spacing w:line="300" w:lineRule="exact"/>
                    <w:ind w:firstLine="35" w:firstLineChars="17"/>
                    <w:jc w:val="center"/>
                    <w:rPr>
                      <w:rFonts w:hint="default"/>
                      <w:color w:val="auto"/>
                      <w:kern w:val="0"/>
                      <w:sz w:val="21"/>
                      <w:szCs w:val="21"/>
                      <w:highlight w:val="none"/>
                      <w:lang w:val="en-US" w:eastAsia="zh-CN"/>
                    </w:rPr>
                  </w:pPr>
                  <w:r>
                    <w:rPr>
                      <w:rFonts w:hint="eastAsia"/>
                      <w:color w:val="auto"/>
                      <w:kern w:val="0"/>
                      <w:sz w:val="21"/>
                      <w:szCs w:val="21"/>
                      <w:highlight w:val="none"/>
                      <w:lang w:val="en-US" w:eastAsia="zh-CN"/>
                    </w:rPr>
                    <w:t>1台</w:t>
                  </w:r>
                </w:p>
              </w:tc>
              <w:tc>
                <w:tcPr>
                  <w:tcW w:w="3183" w:type="dxa"/>
                  <w:noWrap w:val="0"/>
                  <w:vAlign w:val="center"/>
                </w:tcPr>
                <w:p>
                  <w:pPr>
                    <w:widowControl/>
                    <w:spacing w:line="300" w:lineRule="exact"/>
                    <w:ind w:firstLine="35" w:firstLineChars="17"/>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w:t>
                  </w:r>
                </w:p>
              </w:tc>
              <w:tc>
                <w:tcPr>
                  <w:tcW w:w="1718" w:type="dxa"/>
                  <w:noWrap w:val="0"/>
                  <w:vAlign w:val="center"/>
                </w:tcPr>
                <w:p>
                  <w:pPr>
                    <w:widowControl/>
                    <w:spacing w:line="300" w:lineRule="exact"/>
                    <w:ind w:firstLine="35" w:firstLineChars="17"/>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709" w:type="dxa"/>
                  <w:noWrap w:val="0"/>
                  <w:vAlign w:val="center"/>
                </w:tcPr>
                <w:p>
                  <w:pPr>
                    <w:widowControl/>
                    <w:spacing w:line="300" w:lineRule="exact"/>
                    <w:ind w:firstLine="35" w:firstLineChars="17"/>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11</w:t>
                  </w:r>
                </w:p>
              </w:tc>
              <w:tc>
                <w:tcPr>
                  <w:tcW w:w="1232" w:type="dxa"/>
                  <w:noWrap w:val="0"/>
                  <w:vAlign w:val="center"/>
                </w:tcPr>
                <w:p>
                  <w:pPr>
                    <w:widowControl/>
                    <w:spacing w:line="300" w:lineRule="exact"/>
                    <w:ind w:firstLine="35" w:firstLineChars="17"/>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喷漆房</w:t>
                  </w:r>
                </w:p>
              </w:tc>
              <w:tc>
                <w:tcPr>
                  <w:tcW w:w="954" w:type="dxa"/>
                  <w:noWrap w:val="0"/>
                  <w:vAlign w:val="center"/>
                </w:tcPr>
                <w:p>
                  <w:pPr>
                    <w:widowControl/>
                    <w:spacing w:line="300" w:lineRule="exact"/>
                    <w:ind w:firstLine="35" w:firstLineChars="17"/>
                    <w:jc w:val="center"/>
                    <w:rPr>
                      <w:rFonts w:hint="default"/>
                      <w:color w:val="auto"/>
                      <w:kern w:val="0"/>
                      <w:sz w:val="21"/>
                      <w:szCs w:val="21"/>
                      <w:highlight w:val="none"/>
                      <w:lang w:val="en-US" w:eastAsia="zh-CN"/>
                    </w:rPr>
                  </w:pPr>
                  <w:r>
                    <w:rPr>
                      <w:rFonts w:hint="eastAsia"/>
                      <w:color w:val="auto"/>
                      <w:kern w:val="0"/>
                      <w:sz w:val="21"/>
                      <w:szCs w:val="21"/>
                      <w:highlight w:val="none"/>
                      <w:lang w:val="en-US" w:eastAsia="zh-CN"/>
                    </w:rPr>
                    <w:t>1个</w:t>
                  </w:r>
                </w:p>
              </w:tc>
              <w:tc>
                <w:tcPr>
                  <w:tcW w:w="3183" w:type="dxa"/>
                  <w:noWrap w:val="0"/>
                  <w:vAlign w:val="center"/>
                </w:tcPr>
                <w:p>
                  <w:pPr>
                    <w:widowControl/>
                    <w:spacing w:line="300" w:lineRule="exact"/>
                    <w:ind w:firstLine="35" w:firstLineChars="17"/>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6000mm×5000mm×3000mm</w:t>
                  </w:r>
                </w:p>
              </w:tc>
              <w:tc>
                <w:tcPr>
                  <w:tcW w:w="1718" w:type="dxa"/>
                  <w:noWrap w:val="0"/>
                  <w:vAlign w:val="center"/>
                </w:tcPr>
                <w:p>
                  <w:pPr>
                    <w:widowControl/>
                    <w:spacing w:line="300" w:lineRule="exact"/>
                    <w:ind w:firstLine="35" w:firstLineChars="17"/>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含喷枪两把</w:t>
                  </w:r>
                </w:p>
              </w:tc>
            </w:tr>
          </w:tbl>
          <w:p>
            <w:pPr>
              <w:keepNext w:val="0"/>
              <w:keepLines w:val="0"/>
              <w:pageBreakBefore w:val="0"/>
              <w:widowControl w:val="0"/>
              <w:kinsoku/>
              <w:wordWrap/>
              <w:overflowPunct/>
              <w:topLinePunct w:val="0"/>
              <w:autoSpaceDE w:val="0"/>
              <w:autoSpaceDN w:val="0"/>
              <w:bidi w:val="0"/>
              <w:adjustRightInd w:val="0"/>
              <w:snapToGrid w:val="0"/>
              <w:spacing w:line="360" w:lineRule="auto"/>
              <w:ind w:firstLine="442" w:firstLineChars="200"/>
              <w:jc w:val="left"/>
              <w:textAlignment w:val="auto"/>
              <w:outlineLvl w:val="9"/>
              <w:rPr>
                <w:rFonts w:hint="eastAsia" w:ascii="Times New Roman" w:hAnsi="Times New Roman" w:cs="Times New Roman"/>
                <w:b/>
                <w:bCs w:val="0"/>
                <w:color w:val="auto"/>
                <w:sz w:val="22"/>
                <w:szCs w:val="22"/>
                <w:highlight w:val="none"/>
                <w:lang w:val="en-US" w:eastAsia="zh-CN"/>
              </w:rPr>
            </w:pPr>
            <w:r>
              <w:rPr>
                <w:rFonts w:hint="eastAsia" w:ascii="Times New Roman" w:hAnsi="Times New Roman" w:cs="Times New Roman"/>
                <w:b/>
                <w:bCs w:val="0"/>
                <w:color w:val="auto"/>
                <w:sz w:val="22"/>
                <w:szCs w:val="22"/>
                <w:highlight w:val="none"/>
                <w:lang w:val="en-US" w:eastAsia="zh-CN"/>
              </w:rPr>
              <w:t>2.6 主要原辅材料及燃料的种类和用量</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40" w:firstLineChars="200"/>
              <w:jc w:val="left"/>
              <w:textAlignment w:val="auto"/>
              <w:outlineLvl w:val="9"/>
              <w:rPr>
                <w:rFonts w:hint="default" w:ascii="Times New Roman" w:hAnsi="Times New Roman" w:eastAsia="宋体" w:cs="Times New Roman"/>
                <w:bCs/>
                <w:color w:val="auto"/>
                <w:sz w:val="22"/>
                <w:szCs w:val="22"/>
                <w:highlight w:val="none"/>
                <w:lang w:val="en-US" w:eastAsia="zh-CN"/>
              </w:rPr>
            </w:pPr>
            <w:r>
              <w:rPr>
                <w:rFonts w:hint="eastAsia" w:ascii="Times New Roman" w:hAnsi="Times New Roman" w:eastAsia="宋体" w:cs="Times New Roman"/>
                <w:bCs/>
                <w:color w:val="auto"/>
                <w:sz w:val="22"/>
                <w:szCs w:val="22"/>
                <w:highlight w:val="none"/>
                <w:lang w:val="en-US" w:eastAsia="zh-CN"/>
              </w:rPr>
              <w:t>根据业主提供的资料，本次对8万m</w:t>
            </w:r>
            <w:r>
              <w:rPr>
                <w:rFonts w:hint="eastAsia" w:ascii="Times New Roman" w:hAnsi="Times New Roman" w:eastAsia="宋体" w:cs="Times New Roman"/>
                <w:bCs/>
                <w:color w:val="auto"/>
                <w:sz w:val="22"/>
                <w:szCs w:val="22"/>
                <w:highlight w:val="none"/>
                <w:vertAlign w:val="superscript"/>
                <w:lang w:val="en-US" w:eastAsia="zh-CN"/>
              </w:rPr>
              <w:t>2</w:t>
            </w:r>
            <w:r>
              <w:rPr>
                <w:rFonts w:hint="eastAsia" w:ascii="Times New Roman" w:hAnsi="Times New Roman" w:eastAsia="宋体" w:cs="Times New Roman"/>
                <w:bCs/>
                <w:color w:val="auto"/>
                <w:sz w:val="22"/>
                <w:szCs w:val="22"/>
                <w:highlight w:val="none"/>
                <w:lang w:val="en-US" w:eastAsia="zh-CN"/>
              </w:rPr>
              <w:t>夹层玻璃中30%玻璃进行喷漆，仅喷单面，喷漆面积为玻璃单面的6%，喷漆总面积为1440m</w:t>
            </w:r>
            <w:r>
              <w:rPr>
                <w:rFonts w:hint="eastAsia" w:ascii="Times New Roman" w:hAnsi="Times New Roman" w:eastAsia="宋体" w:cs="Times New Roman"/>
                <w:bCs/>
                <w:color w:val="auto"/>
                <w:sz w:val="22"/>
                <w:szCs w:val="22"/>
                <w:highlight w:val="none"/>
                <w:vertAlign w:val="superscript"/>
                <w:lang w:val="en-US" w:eastAsia="zh-CN"/>
              </w:rPr>
              <w:t>2</w:t>
            </w:r>
            <w:r>
              <w:rPr>
                <w:rFonts w:hint="eastAsia" w:ascii="Times New Roman" w:hAnsi="Times New Roman" w:eastAsia="宋体" w:cs="Times New Roman"/>
                <w:bCs/>
                <w:color w:val="auto"/>
                <w:sz w:val="22"/>
                <w:szCs w:val="22"/>
                <w:highlight w:val="none"/>
                <w:lang w:val="en-US" w:eastAsia="zh-CN"/>
              </w:rPr>
              <w:t>。漆料喷涂一层，度为50</w:t>
            </w:r>
            <w:r>
              <w:rPr>
                <w:rFonts w:hint="default" w:ascii="Times New Roman" w:hAnsi="Times New Roman" w:eastAsia="宋体" w:cs="Times New Roman"/>
                <w:bCs/>
                <w:color w:val="auto"/>
                <w:sz w:val="22"/>
                <w:szCs w:val="22"/>
                <w:highlight w:val="none"/>
                <w:lang w:val="en-US" w:eastAsia="zh-CN"/>
              </w:rPr>
              <w:t>μm</w:t>
            </w:r>
            <w:r>
              <w:rPr>
                <w:rFonts w:hint="eastAsia" w:ascii="Times New Roman" w:hAnsi="Times New Roman" w:eastAsia="宋体" w:cs="Times New Roman"/>
                <w:bCs/>
                <w:color w:val="auto"/>
                <w:sz w:val="22"/>
                <w:szCs w:val="22"/>
                <w:highlight w:val="none"/>
                <w:lang w:val="en-US" w:eastAsia="zh-CN"/>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40" w:firstLineChars="200"/>
              <w:jc w:val="left"/>
              <w:textAlignment w:val="auto"/>
              <w:outlineLvl w:val="9"/>
              <w:rPr>
                <w:rFonts w:hint="default" w:ascii="Times New Roman" w:hAnsi="Times New Roman" w:eastAsia="宋体" w:cs="Times New Roman"/>
                <w:bCs/>
                <w:color w:val="auto"/>
                <w:sz w:val="22"/>
                <w:szCs w:val="22"/>
                <w:highlight w:val="none"/>
                <w:lang w:val="en-US" w:eastAsia="zh-CN"/>
              </w:rPr>
            </w:pPr>
            <w:r>
              <w:rPr>
                <w:rFonts w:hint="eastAsia" w:ascii="Times New Roman" w:hAnsi="Times New Roman" w:eastAsia="宋体" w:cs="Times New Roman"/>
                <w:bCs/>
                <w:color w:val="auto"/>
                <w:sz w:val="22"/>
                <w:szCs w:val="22"/>
                <w:highlight w:val="none"/>
                <w:lang w:val="en-US" w:eastAsia="zh-CN"/>
              </w:rPr>
              <w:t>根据《涂装技术使用手册》（叶扬详主编，机械工业出版社出版）：</w:t>
            </w:r>
          </w:p>
          <w:p>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outlineLvl w:val="9"/>
              <w:rPr>
                <w:rFonts w:hint="default" w:ascii="Times New Roman" w:hAnsi="Times New Roman" w:eastAsia="宋体" w:cs="Times New Roman"/>
                <w:bCs/>
                <w:color w:val="auto"/>
                <w:sz w:val="22"/>
                <w:szCs w:val="22"/>
                <w:highlight w:val="none"/>
                <w:lang w:val="en-US" w:eastAsia="zh-CN"/>
              </w:rPr>
            </w:pPr>
            <w:r>
              <w:rPr>
                <w:rFonts w:hint="default" w:ascii="Times New Roman" w:hAnsi="Times New Roman" w:cs="Times New Roman"/>
                <w:color w:val="auto"/>
              </w:rPr>
              <w:drawing>
                <wp:inline distT="0" distB="0" distL="114300" distR="114300">
                  <wp:extent cx="1803400" cy="267970"/>
                  <wp:effectExtent l="0" t="0" r="6350" b="17780"/>
                  <wp:docPr id="1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pic:cNvPicPr>
                            <a:picLocks noChangeAspect="1"/>
                          </pic:cNvPicPr>
                        </pic:nvPicPr>
                        <pic:blipFill>
                          <a:blip r:embed="rId12"/>
                          <a:srcRect t="10603" b="21317"/>
                          <a:stretch>
                            <a:fillRect/>
                          </a:stretch>
                        </pic:blipFill>
                        <pic:spPr>
                          <a:xfrm>
                            <a:off x="0" y="0"/>
                            <a:ext cx="1803400" cy="26797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40" w:firstLineChars="200"/>
              <w:jc w:val="left"/>
              <w:textAlignment w:val="auto"/>
              <w:outlineLvl w:val="9"/>
              <w:rPr>
                <w:rFonts w:hint="default" w:ascii="Times New Roman" w:hAnsi="Times New Roman" w:eastAsia="宋体" w:cs="Times New Roman"/>
                <w:bCs/>
                <w:color w:val="auto"/>
                <w:sz w:val="22"/>
                <w:szCs w:val="22"/>
                <w:highlight w:val="none"/>
                <w:lang w:val="en-US" w:eastAsia="zh-CN"/>
              </w:rPr>
            </w:pPr>
            <w:r>
              <w:rPr>
                <w:rFonts w:hint="default" w:ascii="Times New Roman" w:hAnsi="Times New Roman" w:eastAsia="宋体" w:cs="Times New Roman"/>
                <w:bCs/>
                <w:color w:val="auto"/>
                <w:sz w:val="22"/>
                <w:szCs w:val="22"/>
                <w:highlight w:val="none"/>
                <w:lang w:val="en-US" w:eastAsia="zh-CN"/>
              </w:rPr>
              <w:t>其中：m—</w:t>
            </w:r>
            <w:r>
              <w:rPr>
                <w:rFonts w:hint="eastAsia" w:ascii="Times New Roman" w:hAnsi="Times New Roman" w:eastAsia="宋体" w:cs="Times New Roman"/>
                <w:bCs/>
                <w:color w:val="auto"/>
                <w:sz w:val="22"/>
                <w:szCs w:val="22"/>
                <w:highlight w:val="none"/>
                <w:lang w:val="en-US" w:eastAsia="zh-CN"/>
              </w:rPr>
              <w:t>漆料</w:t>
            </w:r>
            <w:r>
              <w:rPr>
                <w:rFonts w:hint="default" w:ascii="Times New Roman" w:hAnsi="Times New Roman" w:eastAsia="宋体" w:cs="Times New Roman"/>
                <w:bCs/>
                <w:color w:val="auto"/>
                <w:sz w:val="22"/>
                <w:szCs w:val="22"/>
                <w:highlight w:val="none"/>
                <w:lang w:val="en-US" w:eastAsia="zh-CN"/>
              </w:rPr>
              <w:t>总量量，t/a；</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40" w:firstLineChars="200"/>
              <w:jc w:val="left"/>
              <w:textAlignment w:val="auto"/>
              <w:outlineLvl w:val="9"/>
              <w:rPr>
                <w:rFonts w:hint="default" w:ascii="Times New Roman" w:hAnsi="Times New Roman" w:eastAsia="宋体" w:cs="Times New Roman"/>
                <w:bCs/>
                <w:color w:val="auto"/>
                <w:sz w:val="22"/>
                <w:szCs w:val="22"/>
                <w:highlight w:val="none"/>
                <w:lang w:val="en-US" w:eastAsia="zh-CN"/>
              </w:rPr>
            </w:pPr>
            <w:r>
              <w:rPr>
                <w:rFonts w:hint="default" w:ascii="Times New Roman" w:hAnsi="Times New Roman" w:eastAsia="宋体" w:cs="Times New Roman"/>
                <w:bCs/>
                <w:color w:val="auto"/>
                <w:sz w:val="22"/>
                <w:szCs w:val="22"/>
                <w:highlight w:val="none"/>
                <w:lang w:val="en-US" w:eastAsia="zh-CN"/>
              </w:rPr>
              <w:t xml:space="preserve">     </w:t>
            </w:r>
            <w:r>
              <w:rPr>
                <w:rFonts w:hint="eastAsia" w:ascii="Times New Roman" w:hAnsi="Times New Roman" w:eastAsia="宋体" w:cs="Times New Roman"/>
                <w:bCs/>
                <w:color w:val="auto"/>
                <w:sz w:val="22"/>
                <w:szCs w:val="22"/>
                <w:highlight w:val="none"/>
                <w:lang w:val="en-US" w:eastAsia="zh-CN"/>
              </w:rPr>
              <w:t>ρ</w:t>
            </w:r>
            <w:r>
              <w:rPr>
                <w:rFonts w:hint="default" w:ascii="Times New Roman" w:hAnsi="Times New Roman" w:eastAsia="宋体" w:cs="Times New Roman"/>
                <w:bCs/>
                <w:color w:val="auto"/>
                <w:sz w:val="22"/>
                <w:szCs w:val="22"/>
                <w:highlight w:val="none"/>
                <w:lang w:val="en-US" w:eastAsia="zh-CN"/>
              </w:rPr>
              <w:t>—</w:t>
            </w:r>
            <w:r>
              <w:rPr>
                <w:rFonts w:hint="eastAsia" w:ascii="Times New Roman" w:hAnsi="Times New Roman" w:eastAsia="宋体" w:cs="Times New Roman"/>
                <w:bCs/>
                <w:color w:val="auto"/>
                <w:sz w:val="22"/>
                <w:szCs w:val="22"/>
                <w:highlight w:val="none"/>
                <w:lang w:val="en-US" w:eastAsia="zh-CN"/>
              </w:rPr>
              <w:t>漆料密度，g/cm</w:t>
            </w:r>
            <w:r>
              <w:rPr>
                <w:rFonts w:hint="eastAsia" w:ascii="Times New Roman" w:hAnsi="Times New Roman" w:eastAsia="宋体" w:cs="Times New Roman"/>
                <w:bCs/>
                <w:color w:val="auto"/>
                <w:sz w:val="22"/>
                <w:szCs w:val="22"/>
                <w:highlight w:val="none"/>
                <w:vertAlign w:val="superscript"/>
                <w:lang w:val="en-US" w:eastAsia="zh-CN"/>
              </w:rPr>
              <w:t>3</w:t>
            </w:r>
            <w:r>
              <w:rPr>
                <w:rFonts w:hint="eastAsia" w:ascii="Times New Roman" w:hAnsi="Times New Roman" w:eastAsia="宋体" w:cs="Times New Roman"/>
                <w:bCs/>
                <w:color w:val="auto"/>
                <w:sz w:val="22"/>
                <w:szCs w:val="22"/>
                <w:highlight w:val="none"/>
                <w:lang w:val="en-US" w:eastAsia="zh-CN"/>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40" w:firstLineChars="200"/>
              <w:jc w:val="left"/>
              <w:textAlignment w:val="auto"/>
              <w:outlineLvl w:val="9"/>
              <w:rPr>
                <w:rFonts w:hint="default" w:ascii="Times New Roman" w:hAnsi="Times New Roman" w:eastAsia="宋体" w:cs="Times New Roman"/>
                <w:bCs/>
                <w:color w:val="auto"/>
                <w:sz w:val="22"/>
                <w:szCs w:val="22"/>
                <w:highlight w:val="none"/>
                <w:lang w:val="en-US" w:eastAsia="zh-CN"/>
              </w:rPr>
            </w:pPr>
            <w:r>
              <w:rPr>
                <w:rFonts w:hint="eastAsia" w:ascii="Times New Roman" w:hAnsi="Times New Roman" w:eastAsia="宋体" w:cs="Times New Roman"/>
                <w:bCs/>
                <w:color w:val="auto"/>
                <w:sz w:val="22"/>
                <w:szCs w:val="22"/>
                <w:highlight w:val="none"/>
                <w:lang w:val="en-US" w:eastAsia="zh-CN"/>
              </w:rPr>
              <w:t xml:space="preserve">     δ</w:t>
            </w:r>
            <w:r>
              <w:rPr>
                <w:rFonts w:hint="default" w:ascii="Times New Roman" w:hAnsi="Times New Roman" w:eastAsia="宋体" w:cs="Times New Roman"/>
                <w:bCs/>
                <w:color w:val="auto"/>
                <w:sz w:val="22"/>
                <w:szCs w:val="22"/>
                <w:highlight w:val="none"/>
                <w:lang w:val="en-US" w:eastAsia="zh-CN"/>
              </w:rPr>
              <w:t>—</w:t>
            </w:r>
            <w:r>
              <w:rPr>
                <w:rFonts w:hint="eastAsia" w:ascii="Times New Roman" w:hAnsi="Times New Roman" w:eastAsia="宋体" w:cs="Times New Roman"/>
                <w:bCs/>
                <w:color w:val="auto"/>
                <w:sz w:val="22"/>
                <w:szCs w:val="22"/>
                <w:highlight w:val="none"/>
                <w:lang w:val="en-US" w:eastAsia="zh-CN"/>
              </w:rPr>
              <w:t>涂层厚度，</w:t>
            </w:r>
            <w:r>
              <w:rPr>
                <w:rFonts w:hint="default" w:ascii="Times New Roman" w:hAnsi="Times New Roman" w:eastAsia="宋体" w:cs="Times New Roman"/>
                <w:bCs/>
                <w:color w:val="auto"/>
                <w:sz w:val="22"/>
                <w:szCs w:val="22"/>
                <w:highlight w:val="none"/>
                <w:lang w:val="en-US" w:eastAsia="zh-CN"/>
              </w:rPr>
              <w:t>μm</w:t>
            </w:r>
            <w:r>
              <w:rPr>
                <w:rFonts w:hint="eastAsia" w:ascii="Times New Roman" w:hAnsi="Times New Roman" w:eastAsia="宋体" w:cs="Times New Roman"/>
                <w:bCs/>
                <w:color w:val="auto"/>
                <w:sz w:val="22"/>
                <w:szCs w:val="22"/>
                <w:highlight w:val="none"/>
                <w:lang w:val="en-US" w:eastAsia="zh-CN"/>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40" w:firstLineChars="200"/>
              <w:jc w:val="left"/>
              <w:textAlignment w:val="auto"/>
              <w:outlineLvl w:val="9"/>
              <w:rPr>
                <w:rFonts w:hint="default" w:ascii="Times New Roman" w:hAnsi="Times New Roman" w:eastAsia="宋体" w:cs="Times New Roman"/>
                <w:bCs/>
                <w:color w:val="auto"/>
                <w:sz w:val="22"/>
                <w:szCs w:val="22"/>
                <w:highlight w:val="none"/>
                <w:lang w:val="en-US" w:eastAsia="zh-CN"/>
              </w:rPr>
            </w:pPr>
            <w:r>
              <w:rPr>
                <w:rFonts w:hint="eastAsia" w:ascii="Times New Roman" w:hAnsi="Times New Roman" w:eastAsia="宋体" w:cs="Times New Roman"/>
                <w:bCs/>
                <w:color w:val="auto"/>
                <w:sz w:val="22"/>
                <w:szCs w:val="22"/>
                <w:highlight w:val="none"/>
                <w:lang w:val="en-US" w:eastAsia="zh-CN"/>
              </w:rPr>
              <w:t xml:space="preserve">     s—喷漆面积，m</w:t>
            </w:r>
            <w:r>
              <w:rPr>
                <w:rFonts w:hint="eastAsia" w:ascii="Times New Roman" w:hAnsi="Times New Roman" w:eastAsia="宋体" w:cs="Times New Roman"/>
                <w:bCs/>
                <w:color w:val="auto"/>
                <w:sz w:val="22"/>
                <w:szCs w:val="22"/>
                <w:highlight w:val="none"/>
                <w:vertAlign w:val="superscript"/>
                <w:lang w:val="en-US" w:eastAsia="zh-CN"/>
              </w:rPr>
              <w:t>2</w:t>
            </w:r>
            <w:r>
              <w:rPr>
                <w:rFonts w:hint="eastAsia" w:ascii="Times New Roman" w:hAnsi="Times New Roman" w:eastAsia="宋体" w:cs="Times New Roman"/>
                <w:bCs/>
                <w:color w:val="auto"/>
                <w:sz w:val="22"/>
                <w:szCs w:val="22"/>
                <w:highlight w:val="none"/>
                <w:lang w:val="en-US" w:eastAsia="zh-CN"/>
              </w:rPr>
              <w:t>/a；</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40" w:firstLineChars="200"/>
              <w:jc w:val="left"/>
              <w:textAlignment w:val="auto"/>
              <w:outlineLvl w:val="9"/>
              <w:rPr>
                <w:rFonts w:hint="default" w:ascii="Times New Roman" w:hAnsi="Times New Roman" w:eastAsia="宋体" w:cs="Times New Roman"/>
                <w:bCs/>
                <w:color w:val="auto"/>
                <w:sz w:val="22"/>
                <w:szCs w:val="22"/>
                <w:highlight w:val="none"/>
                <w:lang w:val="en-US" w:eastAsia="zh-CN"/>
              </w:rPr>
            </w:pPr>
            <w:r>
              <w:rPr>
                <w:rFonts w:hint="eastAsia" w:ascii="Times New Roman" w:hAnsi="Times New Roman" w:eastAsia="宋体" w:cs="Times New Roman"/>
                <w:bCs/>
                <w:color w:val="auto"/>
                <w:sz w:val="22"/>
                <w:szCs w:val="22"/>
                <w:highlight w:val="none"/>
                <w:lang w:val="en-US" w:eastAsia="zh-CN"/>
              </w:rPr>
              <w:t xml:space="preserve">     NV—漆料中的固体份，%，根据漆料检测报告（见附件，报告为三种材料按比例混合后的检测结果），</w:t>
            </w:r>
            <w:r>
              <w:rPr>
                <w:rFonts w:hint="eastAsia" w:ascii="Times New Roman" w:hAnsi="Times New Roman" w:eastAsia="宋体" w:cs="Times New Roman"/>
                <w:color w:val="auto"/>
                <w:szCs w:val="21"/>
                <w:highlight w:val="none"/>
                <w:lang w:val="en-US" w:eastAsia="zh-CN"/>
              </w:rPr>
              <w:t>不挥发物含量含量为80.3%</w:t>
            </w:r>
            <w:r>
              <w:rPr>
                <w:rFonts w:hint="eastAsia" w:ascii="Times New Roman" w:hAnsi="Times New Roman" w:eastAsia="宋体" w:cs="Times New Roman"/>
                <w:bCs/>
                <w:color w:val="auto"/>
                <w:sz w:val="22"/>
                <w:szCs w:val="22"/>
                <w:highlight w:val="none"/>
                <w:lang w:val="en-US" w:eastAsia="zh-CN"/>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40" w:firstLineChars="200"/>
              <w:jc w:val="left"/>
              <w:textAlignment w:val="auto"/>
              <w:outlineLvl w:val="9"/>
              <w:rPr>
                <w:rFonts w:hint="default" w:ascii="Times New Roman" w:hAnsi="Times New Roman" w:eastAsia="宋体" w:cs="Times New Roman"/>
                <w:bCs/>
                <w:color w:val="auto"/>
                <w:sz w:val="22"/>
                <w:szCs w:val="22"/>
                <w:highlight w:val="none"/>
                <w:lang w:val="en-US" w:eastAsia="zh-CN"/>
              </w:rPr>
            </w:pPr>
            <w:r>
              <w:rPr>
                <w:rFonts w:hint="eastAsia" w:ascii="Times New Roman" w:hAnsi="Times New Roman" w:eastAsia="宋体" w:cs="Times New Roman"/>
                <w:bCs/>
                <w:color w:val="auto"/>
                <w:sz w:val="22"/>
                <w:szCs w:val="22"/>
                <w:highlight w:val="none"/>
                <w:lang w:val="en-US" w:eastAsia="zh-CN"/>
              </w:rPr>
              <w:t xml:space="preserve">    ε—上漆率，%，根据漆料检测报告（见附件，报告为三种材料按比例混合后的检测结果），按照《色漆和清漆 划格试验》（GB/T9286-2021），漆料附着力为1级：发生脱落的交叉切割面积不大于5%，结合同行类企业类比和业主提供的资料，上漆率以85%计。</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40" w:firstLineChars="200"/>
              <w:jc w:val="left"/>
              <w:textAlignment w:val="auto"/>
              <w:outlineLvl w:val="9"/>
              <w:rPr>
                <w:rFonts w:hint="eastAsia" w:ascii="Times New Roman" w:hAnsi="Times New Roman" w:eastAsia="宋体" w:cs="Times New Roman"/>
                <w:bCs/>
                <w:color w:val="auto"/>
                <w:sz w:val="22"/>
                <w:szCs w:val="22"/>
                <w:highlight w:val="none"/>
                <w:lang w:val="en-US" w:eastAsia="zh-CN"/>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40" w:firstLineChars="200"/>
              <w:jc w:val="left"/>
              <w:textAlignment w:val="auto"/>
              <w:outlineLvl w:val="9"/>
              <w:rPr>
                <w:rFonts w:hint="eastAsia" w:ascii="Times New Roman" w:hAnsi="Times New Roman" w:eastAsia="宋体" w:cs="Times New Roman"/>
                <w:bCs/>
                <w:color w:val="auto"/>
                <w:sz w:val="22"/>
                <w:szCs w:val="22"/>
                <w:highlight w:val="none"/>
                <w:lang w:val="en-US" w:eastAsia="zh-CN"/>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40" w:firstLineChars="200"/>
              <w:jc w:val="left"/>
              <w:textAlignment w:val="auto"/>
              <w:outlineLvl w:val="9"/>
              <w:rPr>
                <w:rFonts w:hint="eastAsia" w:ascii="Times New Roman" w:hAnsi="Times New Roman" w:eastAsia="宋体" w:cs="Times New Roman"/>
                <w:bCs/>
                <w:color w:val="auto"/>
                <w:sz w:val="22"/>
                <w:szCs w:val="22"/>
                <w:highlight w:val="none"/>
                <w:lang w:val="en-US" w:eastAsia="zh-CN"/>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40" w:firstLineChars="200"/>
              <w:jc w:val="left"/>
              <w:textAlignment w:val="auto"/>
              <w:outlineLvl w:val="9"/>
              <w:rPr>
                <w:rFonts w:hint="eastAsia" w:ascii="Times New Roman" w:hAnsi="Times New Roman" w:eastAsia="宋体" w:cs="Times New Roman"/>
                <w:bCs/>
                <w:color w:val="auto"/>
                <w:sz w:val="22"/>
                <w:szCs w:val="22"/>
                <w:highlight w:val="none"/>
                <w:lang w:val="en-US" w:eastAsia="zh-CN"/>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40" w:firstLineChars="200"/>
              <w:jc w:val="left"/>
              <w:textAlignment w:val="auto"/>
              <w:outlineLvl w:val="9"/>
              <w:rPr>
                <w:rFonts w:hint="default" w:ascii="Times New Roman" w:hAnsi="Times New Roman" w:eastAsia="宋体" w:cs="Times New Roman"/>
                <w:bCs/>
                <w:color w:val="auto"/>
                <w:sz w:val="22"/>
                <w:szCs w:val="22"/>
                <w:highlight w:val="none"/>
                <w:lang w:val="en-US" w:eastAsia="zh-CN"/>
              </w:rPr>
            </w:pPr>
            <w:r>
              <w:rPr>
                <w:rFonts w:hint="eastAsia" w:ascii="Times New Roman" w:hAnsi="Times New Roman" w:eastAsia="宋体" w:cs="Times New Roman"/>
                <w:bCs/>
                <w:color w:val="auto"/>
                <w:sz w:val="22"/>
                <w:szCs w:val="22"/>
                <w:highlight w:val="none"/>
                <w:lang w:val="en-US" w:eastAsia="zh-CN"/>
              </w:rPr>
              <w:t>本项目漆用量情况如下。</w:t>
            </w:r>
          </w:p>
          <w:p>
            <w:pPr>
              <w:snapToGrid w:val="0"/>
              <w:jc w:val="center"/>
              <w:rPr>
                <w:rFonts w:hint="eastAsia" w:ascii="Times New Roman" w:hAnsi="Times New Roman" w:eastAsia="宋体" w:cs="Times New Roman"/>
                <w:bCs/>
                <w:color w:val="auto"/>
                <w:sz w:val="22"/>
                <w:szCs w:val="22"/>
                <w:highlight w:val="none"/>
                <w:lang w:val="en-US" w:eastAsia="zh-CN"/>
              </w:rPr>
            </w:pPr>
            <w:r>
              <w:rPr>
                <w:rFonts w:hint="default" w:ascii="Times New Roman" w:hAnsi="Times New Roman" w:cs="Times New Roman"/>
                <w:b/>
                <w:bCs/>
                <w:color w:val="auto"/>
                <w:szCs w:val="21"/>
                <w:highlight w:val="none"/>
              </w:rPr>
              <w:t>表2</w:t>
            </w:r>
            <w:r>
              <w:rPr>
                <w:rFonts w:hint="eastAsia" w:ascii="Times New Roman" w:hAnsi="Times New Roman" w:cs="Times New Roman"/>
                <w:b/>
                <w:bCs/>
                <w:color w:val="auto"/>
                <w:szCs w:val="21"/>
                <w:highlight w:val="none"/>
                <w:lang w:val="en-US" w:eastAsia="zh-CN"/>
              </w:rPr>
              <w:t>-5 项目喷漆</w:t>
            </w:r>
            <w:r>
              <w:rPr>
                <w:rFonts w:hint="eastAsia" w:ascii="Times New Roman" w:hAnsi="Times New Roman" w:eastAsia="宋体" w:cs="Times New Roman"/>
                <w:b/>
                <w:bCs/>
                <w:color w:val="auto"/>
                <w:szCs w:val="21"/>
                <w:highlight w:val="none"/>
                <w:lang w:val="en-US" w:eastAsia="zh-CN"/>
              </w:rPr>
              <w:t>用量</w:t>
            </w:r>
            <w:r>
              <w:rPr>
                <w:rFonts w:hint="eastAsia" w:ascii="Times New Roman" w:hAnsi="Times New Roman" w:cs="Times New Roman"/>
                <w:b/>
                <w:bCs/>
                <w:color w:val="auto"/>
                <w:szCs w:val="21"/>
                <w:highlight w:val="none"/>
                <w:lang w:val="en-US" w:eastAsia="zh-CN"/>
              </w:rPr>
              <w:t>计算参数一览表</w:t>
            </w:r>
          </w:p>
          <w:tbl>
            <w:tblPr>
              <w:tblStyle w:val="42"/>
              <w:tblW w:w="803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614"/>
              <w:gridCol w:w="1072"/>
              <w:gridCol w:w="1184"/>
              <w:gridCol w:w="981"/>
              <w:gridCol w:w="1082"/>
              <w:gridCol w:w="1073"/>
              <w:gridCol w:w="103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614" w:type="dxa"/>
                  <w:noWrap w:val="0"/>
                  <w:vAlign w:val="center"/>
                </w:tcPr>
                <w:p>
                  <w:pPr>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名称</w:t>
                  </w:r>
                </w:p>
              </w:tc>
              <w:tc>
                <w:tcPr>
                  <w:tcW w:w="1072" w:type="dxa"/>
                  <w:noWrap w:val="0"/>
                  <w:vAlign w:val="center"/>
                </w:tcPr>
                <w:p>
                  <w:pPr>
                    <w:jc w:val="center"/>
                    <w:rPr>
                      <w:rFonts w:hint="default" w:ascii="Times New Roman" w:hAnsi="Times New Roman" w:eastAsia="宋体" w:cs="Times New Roman"/>
                      <w:b/>
                      <w:color w:val="auto"/>
                      <w:szCs w:val="21"/>
                      <w:highlight w:val="none"/>
                      <w:lang w:val="en-US" w:eastAsia="zh-CN"/>
                    </w:rPr>
                  </w:pPr>
                  <w:r>
                    <w:rPr>
                      <w:rFonts w:hint="eastAsia" w:ascii="Times New Roman" w:hAnsi="Times New Roman" w:cs="Times New Roman"/>
                      <w:b/>
                      <w:color w:val="auto"/>
                      <w:szCs w:val="21"/>
                      <w:highlight w:val="none"/>
                      <w:lang w:val="en-US" w:eastAsia="zh-CN"/>
                    </w:rPr>
                    <w:t>漆料密度（g/cm</w:t>
                  </w:r>
                  <w:r>
                    <w:rPr>
                      <w:rFonts w:hint="eastAsia" w:ascii="Times New Roman" w:hAnsi="Times New Roman" w:cs="Times New Roman"/>
                      <w:b/>
                      <w:color w:val="auto"/>
                      <w:szCs w:val="21"/>
                      <w:highlight w:val="none"/>
                      <w:vertAlign w:val="superscript"/>
                      <w:lang w:val="en-US" w:eastAsia="zh-CN"/>
                    </w:rPr>
                    <w:t>3</w:t>
                  </w:r>
                  <w:r>
                    <w:rPr>
                      <w:rFonts w:hint="eastAsia" w:ascii="Times New Roman" w:hAnsi="Times New Roman" w:cs="Times New Roman"/>
                      <w:b/>
                      <w:color w:val="auto"/>
                      <w:szCs w:val="21"/>
                      <w:highlight w:val="none"/>
                      <w:lang w:val="en-US" w:eastAsia="zh-CN"/>
                    </w:rPr>
                    <w:t>）</w:t>
                  </w:r>
                </w:p>
              </w:tc>
              <w:tc>
                <w:tcPr>
                  <w:tcW w:w="1184" w:type="dxa"/>
                  <w:noWrap w:val="0"/>
                  <w:vAlign w:val="center"/>
                </w:tcPr>
                <w:p>
                  <w:pPr>
                    <w:jc w:val="center"/>
                    <w:rPr>
                      <w:rFonts w:hint="default" w:ascii="Times New Roman" w:hAnsi="Times New Roman" w:eastAsia="宋体" w:cs="Times New Roman"/>
                      <w:b/>
                      <w:color w:val="auto"/>
                      <w:szCs w:val="21"/>
                      <w:highlight w:val="none"/>
                      <w:lang w:val="en-US" w:eastAsia="zh-CN"/>
                    </w:rPr>
                  </w:pPr>
                  <w:r>
                    <w:rPr>
                      <w:rFonts w:hint="eastAsia" w:ascii="Times New Roman" w:hAnsi="Times New Roman" w:eastAsia="宋体" w:cs="Times New Roman"/>
                      <w:b/>
                      <w:color w:val="auto"/>
                      <w:szCs w:val="21"/>
                      <w:highlight w:val="none"/>
                      <w:lang w:val="en-US" w:eastAsia="zh-CN"/>
                    </w:rPr>
                    <w:t>喷漆面积（m</w:t>
                  </w:r>
                  <w:r>
                    <w:rPr>
                      <w:rFonts w:hint="eastAsia" w:ascii="Times New Roman" w:hAnsi="Times New Roman" w:eastAsia="宋体" w:cs="Times New Roman"/>
                      <w:b/>
                      <w:color w:val="auto"/>
                      <w:szCs w:val="21"/>
                      <w:highlight w:val="none"/>
                      <w:vertAlign w:val="superscript"/>
                      <w:lang w:val="en-US" w:eastAsia="zh-CN"/>
                    </w:rPr>
                    <w:t>2</w:t>
                  </w:r>
                  <w:r>
                    <w:rPr>
                      <w:rFonts w:hint="eastAsia" w:ascii="Times New Roman" w:hAnsi="Times New Roman" w:eastAsia="宋体" w:cs="Times New Roman"/>
                      <w:b/>
                      <w:color w:val="auto"/>
                      <w:szCs w:val="21"/>
                      <w:highlight w:val="none"/>
                      <w:lang w:val="en-US" w:eastAsia="zh-CN"/>
                    </w:rPr>
                    <w:t>）</w:t>
                  </w:r>
                </w:p>
              </w:tc>
              <w:tc>
                <w:tcPr>
                  <w:tcW w:w="981" w:type="dxa"/>
                  <w:noWrap w:val="0"/>
                  <w:vAlign w:val="center"/>
                </w:tcPr>
                <w:p>
                  <w:pPr>
                    <w:jc w:val="center"/>
                    <w:rPr>
                      <w:rFonts w:hint="default" w:ascii="Times New Roman" w:hAnsi="Times New Roman" w:eastAsia="宋体" w:cs="Times New Roman"/>
                      <w:b/>
                      <w:color w:val="auto"/>
                      <w:szCs w:val="21"/>
                      <w:highlight w:val="none"/>
                      <w:lang w:val="en-US" w:eastAsia="zh-CN"/>
                    </w:rPr>
                  </w:pPr>
                  <w:r>
                    <w:rPr>
                      <w:rFonts w:hint="eastAsia" w:ascii="Times New Roman" w:hAnsi="Times New Roman" w:cs="Times New Roman"/>
                      <w:b/>
                      <w:color w:val="auto"/>
                      <w:szCs w:val="21"/>
                      <w:highlight w:val="none"/>
                      <w:lang w:val="en-US" w:eastAsia="zh-CN"/>
                    </w:rPr>
                    <w:t>喷漆</w:t>
                  </w:r>
                  <w:r>
                    <w:rPr>
                      <w:rFonts w:hint="default" w:ascii="Times New Roman" w:hAnsi="Times New Roman" w:cs="Times New Roman"/>
                      <w:b/>
                      <w:color w:val="auto"/>
                      <w:szCs w:val="21"/>
                      <w:highlight w:val="none"/>
                      <w:lang w:val="en-US" w:eastAsia="zh-CN"/>
                    </w:rPr>
                    <w:t>厚度（μm）</w:t>
                  </w:r>
                </w:p>
              </w:tc>
              <w:tc>
                <w:tcPr>
                  <w:tcW w:w="1082" w:type="dxa"/>
                  <w:noWrap w:val="0"/>
                  <w:vAlign w:val="center"/>
                </w:tcPr>
                <w:p>
                  <w:pPr>
                    <w:jc w:val="center"/>
                    <w:rPr>
                      <w:rFonts w:hint="default" w:ascii="Times New Roman" w:hAnsi="Times New Roman" w:eastAsia="宋体" w:cs="Times New Roman"/>
                      <w:b/>
                      <w:color w:val="auto"/>
                      <w:szCs w:val="21"/>
                      <w:highlight w:val="none"/>
                      <w:lang w:val="en-US" w:eastAsia="zh-CN"/>
                    </w:rPr>
                  </w:pPr>
                  <w:r>
                    <w:rPr>
                      <w:rFonts w:hint="eastAsia" w:ascii="Times New Roman" w:hAnsi="Times New Roman" w:cs="Times New Roman"/>
                      <w:b/>
                      <w:color w:val="auto"/>
                      <w:szCs w:val="21"/>
                      <w:highlight w:val="none"/>
                      <w:lang w:val="en-US" w:eastAsia="zh-CN"/>
                    </w:rPr>
                    <w:t>固体份NV（%）</w:t>
                  </w:r>
                </w:p>
              </w:tc>
              <w:tc>
                <w:tcPr>
                  <w:tcW w:w="1073" w:type="dxa"/>
                  <w:noWrap w:val="0"/>
                  <w:vAlign w:val="center"/>
                </w:tcPr>
                <w:p>
                  <w:pPr>
                    <w:jc w:val="center"/>
                    <w:rPr>
                      <w:rFonts w:hint="default" w:ascii="Times New Roman" w:hAnsi="Times New Roman" w:cs="Times New Roman"/>
                      <w:b/>
                      <w:color w:val="auto"/>
                      <w:szCs w:val="21"/>
                      <w:highlight w:val="none"/>
                      <w:lang w:val="en-US" w:eastAsia="zh-CN"/>
                    </w:rPr>
                  </w:pPr>
                  <w:r>
                    <w:rPr>
                      <w:rFonts w:hint="eastAsia" w:cs="Times New Roman"/>
                      <w:b/>
                      <w:color w:val="auto"/>
                      <w:szCs w:val="21"/>
                      <w:highlight w:val="none"/>
                      <w:lang w:val="en-US" w:eastAsia="zh-CN"/>
                    </w:rPr>
                    <w:t>上漆率（%）</w:t>
                  </w:r>
                </w:p>
              </w:tc>
              <w:tc>
                <w:tcPr>
                  <w:tcW w:w="1031" w:type="dxa"/>
                  <w:noWrap w:val="0"/>
                  <w:vAlign w:val="center"/>
                </w:tcPr>
                <w:p>
                  <w:pPr>
                    <w:jc w:val="center"/>
                    <w:rPr>
                      <w:rFonts w:hint="default" w:ascii="Times New Roman" w:hAnsi="Times New Roman" w:eastAsia="宋体" w:cs="Times New Roman"/>
                      <w:b/>
                      <w:color w:val="auto"/>
                      <w:szCs w:val="21"/>
                      <w:highlight w:val="none"/>
                      <w:lang w:val="en-US" w:eastAsia="zh-CN"/>
                    </w:rPr>
                  </w:pPr>
                  <w:r>
                    <w:rPr>
                      <w:rFonts w:hint="eastAsia" w:ascii="Times New Roman" w:hAnsi="Times New Roman" w:eastAsia="宋体" w:cs="Times New Roman"/>
                      <w:b/>
                      <w:color w:val="auto"/>
                      <w:szCs w:val="21"/>
                      <w:highlight w:val="none"/>
                      <w:lang w:val="en-US" w:eastAsia="zh-CN"/>
                    </w:rPr>
                    <w:t>漆料用量（t/a）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1614" w:type="dxa"/>
                  <w:noWrap w:val="0"/>
                  <w:vAlign w:val="center"/>
                </w:tcPr>
                <w:p>
                  <w:pPr>
                    <w:spacing w:line="300" w:lineRule="exact"/>
                    <w:jc w:val="center"/>
                    <w:rPr>
                      <w:rFonts w:hint="default" w:ascii="Times New Roman" w:hAnsi="Times New Roman" w:eastAsia="宋体" w:cs="Times New Roman"/>
                      <w:color w:val="auto"/>
                      <w:szCs w:val="21"/>
                      <w:highlight w:val="none"/>
                      <w:lang w:val="en-US" w:eastAsia="zh-CN"/>
                    </w:rPr>
                  </w:pPr>
                  <w:r>
                    <w:rPr>
                      <w:rFonts w:hint="eastAsia" w:eastAsia="宋体" w:cs="Times New Roman"/>
                      <w:color w:val="auto"/>
                      <w:szCs w:val="21"/>
                      <w:highlight w:val="none"/>
                      <w:lang w:val="en-US" w:eastAsia="zh-CN"/>
                    </w:rPr>
                    <w:t>KT漆（按比例混合固化剂、稀释剂后）</w:t>
                  </w:r>
                </w:p>
              </w:tc>
              <w:tc>
                <w:tcPr>
                  <w:tcW w:w="1072" w:type="dxa"/>
                  <w:noWrap w:val="0"/>
                  <w:vAlign w:val="center"/>
                </w:tcPr>
                <w:p>
                  <w:pPr>
                    <w:spacing w:line="300" w:lineRule="exact"/>
                    <w:jc w:val="center"/>
                    <w:rPr>
                      <w:rFonts w:hint="default" w:eastAsia="宋体" w:cs="Times New Roman"/>
                      <w:color w:val="auto"/>
                      <w:szCs w:val="21"/>
                      <w:highlight w:val="none"/>
                      <w:lang w:val="en-US" w:eastAsia="zh-CN"/>
                    </w:rPr>
                  </w:pPr>
                  <w:r>
                    <w:rPr>
                      <w:rFonts w:hint="eastAsia" w:eastAsia="宋体" w:cs="Times New Roman"/>
                      <w:color w:val="auto"/>
                      <w:szCs w:val="21"/>
                      <w:highlight w:val="none"/>
                      <w:lang w:val="en-US" w:eastAsia="zh-CN"/>
                    </w:rPr>
                    <w:t>1.3</w:t>
                  </w:r>
                </w:p>
              </w:tc>
              <w:tc>
                <w:tcPr>
                  <w:tcW w:w="1184" w:type="dxa"/>
                  <w:noWrap w:val="0"/>
                  <w:vAlign w:val="center"/>
                </w:tcPr>
                <w:p>
                  <w:pPr>
                    <w:spacing w:line="300" w:lineRule="exact"/>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1440</w:t>
                  </w:r>
                </w:p>
              </w:tc>
              <w:tc>
                <w:tcPr>
                  <w:tcW w:w="981"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50</w:t>
                  </w:r>
                </w:p>
              </w:tc>
              <w:tc>
                <w:tcPr>
                  <w:tcW w:w="1082"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80.3</w:t>
                  </w:r>
                </w:p>
              </w:tc>
              <w:tc>
                <w:tcPr>
                  <w:tcW w:w="1073"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85</w:t>
                  </w:r>
                </w:p>
              </w:tc>
              <w:tc>
                <w:tcPr>
                  <w:tcW w:w="1031"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0.14</w:t>
                  </w:r>
                </w:p>
              </w:tc>
            </w:tr>
          </w:tbl>
          <w:p>
            <w:pPr>
              <w:keepNext w:val="0"/>
              <w:keepLines w:val="0"/>
              <w:pageBreakBefore w:val="0"/>
              <w:widowControl w:val="0"/>
              <w:kinsoku/>
              <w:wordWrap/>
              <w:overflowPunct/>
              <w:topLinePunct w:val="0"/>
              <w:autoSpaceDE w:val="0"/>
              <w:autoSpaceDN w:val="0"/>
              <w:bidi w:val="0"/>
              <w:adjustRightInd w:val="0"/>
              <w:snapToGrid w:val="0"/>
              <w:spacing w:line="360" w:lineRule="auto"/>
              <w:ind w:firstLine="440" w:firstLineChars="200"/>
              <w:jc w:val="left"/>
              <w:textAlignment w:val="auto"/>
              <w:outlineLvl w:val="9"/>
              <w:rPr>
                <w:rFonts w:hint="default" w:ascii="Times New Roman" w:hAnsi="Times New Roman" w:eastAsia="宋体" w:cs="Times New Roman"/>
                <w:bCs/>
                <w:color w:val="auto"/>
                <w:sz w:val="22"/>
                <w:szCs w:val="22"/>
                <w:highlight w:val="none"/>
                <w:lang w:val="en-US" w:eastAsia="zh-CN"/>
              </w:rPr>
            </w:pPr>
            <w:r>
              <w:rPr>
                <w:rFonts w:hint="eastAsia" w:ascii="Times New Roman" w:hAnsi="Times New Roman" w:eastAsia="宋体" w:cs="Times New Roman"/>
                <w:bCs/>
                <w:color w:val="auto"/>
                <w:sz w:val="22"/>
                <w:szCs w:val="22"/>
                <w:highlight w:val="none"/>
                <w:lang w:val="en-US" w:eastAsia="zh-CN"/>
              </w:rPr>
              <w:t>KT漆、KT固化剂、KT稀释剂按3:1:1.5调配使用，因此其使用量分别为0.076t/a、0.026t/a、0.038t/a。</w:t>
            </w:r>
          </w:p>
          <w:p>
            <w:pPr>
              <w:snapToGrid w:val="0"/>
              <w:jc w:val="center"/>
              <w:rPr>
                <w:rFonts w:hint="eastAsia" w:ascii="Times New Roman" w:hAnsi="Times New Roman" w:eastAsia="宋体" w:cs="Times New Roman"/>
                <w:b/>
                <w:bCs/>
                <w:color w:val="auto"/>
                <w:szCs w:val="21"/>
                <w:highlight w:val="yellow"/>
                <w:lang w:eastAsia="zh-CN"/>
              </w:rPr>
            </w:pPr>
            <w:r>
              <w:rPr>
                <w:rFonts w:hint="default" w:ascii="Times New Roman" w:hAnsi="Times New Roman" w:cs="Times New Roman"/>
                <w:b/>
                <w:bCs/>
                <w:color w:val="auto"/>
                <w:szCs w:val="21"/>
                <w:highlight w:val="none"/>
              </w:rPr>
              <w:t>表2-</w:t>
            </w:r>
            <w:r>
              <w:rPr>
                <w:rFonts w:hint="eastAsia" w:ascii="Times New Roman" w:hAnsi="Times New Roman" w:cs="Times New Roman"/>
                <w:b/>
                <w:bCs/>
                <w:color w:val="auto"/>
                <w:szCs w:val="21"/>
                <w:highlight w:val="none"/>
                <w:lang w:val="en-US" w:eastAsia="zh-CN"/>
              </w:rPr>
              <w:t xml:space="preserve">6 </w:t>
            </w:r>
            <w:r>
              <w:rPr>
                <w:rFonts w:hint="eastAsia" w:ascii="Times New Roman" w:hAnsi="Times New Roman" w:cs="Times New Roman"/>
                <w:b/>
                <w:bCs/>
                <w:color w:val="auto"/>
                <w:szCs w:val="21"/>
                <w:highlight w:val="none"/>
                <w:lang w:eastAsia="zh-CN"/>
              </w:rPr>
              <w:t>主要原辅材料及能耗情况表</w:t>
            </w:r>
          </w:p>
          <w:tbl>
            <w:tblPr>
              <w:tblStyle w:val="42"/>
              <w:tblW w:w="806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75"/>
              <w:gridCol w:w="1263"/>
              <w:gridCol w:w="1270"/>
              <w:gridCol w:w="1137"/>
              <w:gridCol w:w="1194"/>
              <w:gridCol w:w="1708"/>
              <w:gridCol w:w="111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1638" w:type="dxa"/>
                  <w:gridSpan w:val="2"/>
                  <w:noWrap w:val="0"/>
                  <w:vAlign w:val="center"/>
                </w:tcPr>
                <w:p>
                  <w:pPr>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名称</w:t>
                  </w:r>
                </w:p>
              </w:tc>
              <w:tc>
                <w:tcPr>
                  <w:tcW w:w="1270" w:type="dxa"/>
                  <w:noWrap w:val="0"/>
                  <w:vAlign w:val="center"/>
                </w:tcPr>
                <w:p>
                  <w:pPr>
                    <w:jc w:val="center"/>
                    <w:rPr>
                      <w:rFonts w:hint="eastAsia" w:ascii="Times New Roman" w:hAnsi="Times New Roman" w:eastAsia="宋体" w:cs="Times New Roman"/>
                      <w:b/>
                      <w:color w:val="auto"/>
                      <w:szCs w:val="21"/>
                      <w:highlight w:val="none"/>
                      <w:lang w:eastAsia="zh-CN"/>
                    </w:rPr>
                  </w:pPr>
                  <w:r>
                    <w:rPr>
                      <w:rFonts w:hint="eastAsia" w:ascii="Times New Roman" w:hAnsi="Times New Roman" w:cs="Times New Roman"/>
                      <w:b/>
                      <w:color w:val="auto"/>
                      <w:szCs w:val="21"/>
                      <w:highlight w:val="none"/>
                      <w:lang w:val="en-US" w:eastAsia="zh-CN"/>
                    </w:rPr>
                    <w:t>数量</w:t>
                  </w:r>
                </w:p>
              </w:tc>
              <w:tc>
                <w:tcPr>
                  <w:tcW w:w="1137" w:type="dxa"/>
                  <w:noWrap w:val="0"/>
                  <w:vAlign w:val="center"/>
                </w:tcPr>
                <w:p>
                  <w:pPr>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主要来源</w:t>
                  </w:r>
                </w:p>
              </w:tc>
              <w:tc>
                <w:tcPr>
                  <w:tcW w:w="1194" w:type="dxa"/>
                  <w:noWrap w:val="0"/>
                  <w:vAlign w:val="center"/>
                </w:tcPr>
                <w:p>
                  <w:pPr>
                    <w:jc w:val="center"/>
                    <w:rPr>
                      <w:rFonts w:hint="eastAsia" w:ascii="Times New Roman" w:hAnsi="Times New Roman" w:eastAsia="宋体" w:cs="Times New Roman"/>
                      <w:b/>
                      <w:color w:val="auto"/>
                      <w:szCs w:val="21"/>
                      <w:highlight w:val="none"/>
                      <w:lang w:eastAsia="zh-CN"/>
                    </w:rPr>
                  </w:pPr>
                  <w:r>
                    <w:rPr>
                      <w:rFonts w:hint="eastAsia" w:ascii="Times New Roman" w:hAnsi="Times New Roman" w:cs="Times New Roman"/>
                      <w:b/>
                      <w:color w:val="auto"/>
                      <w:szCs w:val="21"/>
                      <w:highlight w:val="none"/>
                      <w:lang w:eastAsia="zh-CN"/>
                    </w:rPr>
                    <w:t>最大储量</w:t>
                  </w:r>
                </w:p>
              </w:tc>
              <w:tc>
                <w:tcPr>
                  <w:tcW w:w="1708" w:type="dxa"/>
                  <w:noWrap w:val="0"/>
                  <w:vAlign w:val="center"/>
                </w:tcPr>
                <w:p>
                  <w:pPr>
                    <w:jc w:val="center"/>
                    <w:rPr>
                      <w:rFonts w:hint="eastAsia" w:ascii="Times New Roman" w:hAnsi="Times New Roman" w:cs="Times New Roman"/>
                      <w:b/>
                      <w:color w:val="auto"/>
                      <w:szCs w:val="21"/>
                      <w:highlight w:val="none"/>
                      <w:lang w:eastAsia="zh-CN"/>
                    </w:rPr>
                  </w:pPr>
                  <w:r>
                    <w:rPr>
                      <w:rFonts w:hint="eastAsia" w:ascii="Times New Roman" w:hAnsi="Times New Roman" w:cs="Times New Roman"/>
                      <w:b/>
                      <w:color w:val="auto"/>
                      <w:szCs w:val="21"/>
                      <w:highlight w:val="none"/>
                      <w:lang w:eastAsia="zh-CN"/>
                    </w:rPr>
                    <w:t>位置</w:t>
                  </w:r>
                </w:p>
              </w:tc>
              <w:tc>
                <w:tcPr>
                  <w:tcW w:w="1113" w:type="dxa"/>
                  <w:noWrap w:val="0"/>
                  <w:vAlign w:val="center"/>
                </w:tcPr>
                <w:p>
                  <w:pPr>
                    <w:jc w:val="center"/>
                    <w:rPr>
                      <w:rFonts w:hint="eastAsia" w:ascii="Times New Roman" w:hAnsi="Times New Roman" w:eastAsia="宋体" w:cs="Times New Roman"/>
                      <w:b/>
                      <w:color w:val="auto"/>
                      <w:szCs w:val="21"/>
                      <w:highlight w:val="none"/>
                      <w:lang w:eastAsia="zh-CN"/>
                    </w:rPr>
                  </w:pPr>
                  <w:r>
                    <w:rPr>
                      <w:rFonts w:hint="eastAsia" w:ascii="Times New Roman" w:hAnsi="Times New Roman" w:cs="Times New Roman"/>
                      <w:b/>
                      <w:color w:val="auto"/>
                      <w:szCs w:val="21"/>
                      <w:highlight w:val="none"/>
                      <w:lang w:eastAsia="zh-CN"/>
                    </w:rPr>
                    <w:t>备注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375" w:type="dxa"/>
                  <w:vMerge w:val="restart"/>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原辅料</w:t>
                  </w:r>
                </w:p>
              </w:tc>
              <w:tc>
                <w:tcPr>
                  <w:tcW w:w="1263" w:type="dxa"/>
                  <w:noWrap w:val="0"/>
                  <w:vAlign w:val="center"/>
                </w:tcPr>
                <w:p>
                  <w:pPr>
                    <w:spacing w:line="30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玻璃原片</w:t>
                  </w:r>
                </w:p>
              </w:tc>
              <w:tc>
                <w:tcPr>
                  <w:tcW w:w="1270" w:type="dxa"/>
                  <w:noWrap w:val="0"/>
                  <w:vAlign w:val="center"/>
                </w:tcPr>
                <w:p>
                  <w:pPr>
                    <w:spacing w:line="300" w:lineRule="exact"/>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highlight w:val="none"/>
                      <w:lang w:val="en-US" w:eastAsia="zh-CN"/>
                    </w:rPr>
                    <w:t>16.2万m</w:t>
                  </w:r>
                  <w:r>
                    <w:rPr>
                      <w:rFonts w:hint="eastAsia" w:ascii="Times New Roman" w:hAnsi="Times New Roman" w:cs="Times New Roman"/>
                      <w:color w:val="auto"/>
                      <w:kern w:val="0"/>
                      <w:szCs w:val="21"/>
                      <w:highlight w:val="none"/>
                      <w:vertAlign w:val="superscript"/>
                      <w:lang w:val="en-US" w:eastAsia="zh-CN"/>
                    </w:rPr>
                    <w:t>2</w:t>
                  </w:r>
                </w:p>
              </w:tc>
              <w:tc>
                <w:tcPr>
                  <w:tcW w:w="1137"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外购</w:t>
                  </w:r>
                </w:p>
              </w:tc>
              <w:tc>
                <w:tcPr>
                  <w:tcW w:w="1194" w:type="dxa"/>
                  <w:noWrap w:val="0"/>
                  <w:vAlign w:val="center"/>
                </w:tcPr>
                <w:p>
                  <w:pPr>
                    <w:spacing w:line="30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kern w:val="0"/>
                      <w:szCs w:val="21"/>
                      <w:highlight w:val="none"/>
                      <w:lang w:val="en-US" w:eastAsia="zh-CN"/>
                    </w:rPr>
                    <w:t>1万m</w:t>
                  </w:r>
                  <w:r>
                    <w:rPr>
                      <w:rFonts w:hint="eastAsia" w:ascii="Times New Roman" w:hAnsi="Times New Roman" w:cs="Times New Roman"/>
                      <w:color w:val="auto"/>
                      <w:kern w:val="0"/>
                      <w:szCs w:val="21"/>
                      <w:highlight w:val="none"/>
                      <w:vertAlign w:val="superscript"/>
                      <w:lang w:val="en-US" w:eastAsia="zh-CN"/>
                    </w:rPr>
                    <w:t>2</w:t>
                  </w:r>
                </w:p>
              </w:tc>
              <w:tc>
                <w:tcPr>
                  <w:tcW w:w="1708"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生产车间</w:t>
                  </w:r>
                </w:p>
              </w:tc>
              <w:tc>
                <w:tcPr>
                  <w:tcW w:w="1113"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375" w:type="dxa"/>
                  <w:vMerge w:val="continue"/>
                  <w:noWrap w:val="0"/>
                  <w:vAlign w:val="center"/>
                </w:tcPr>
                <w:p>
                  <w:pPr>
                    <w:jc w:val="center"/>
                    <w:rPr>
                      <w:rFonts w:hint="default" w:ascii="Times New Roman" w:hAnsi="Times New Roman" w:cs="Times New Roman"/>
                      <w:color w:val="auto"/>
                      <w:szCs w:val="21"/>
                      <w:highlight w:val="none"/>
                    </w:rPr>
                  </w:pPr>
                </w:p>
              </w:tc>
              <w:tc>
                <w:tcPr>
                  <w:tcW w:w="1263" w:type="dxa"/>
                  <w:noWrap w:val="0"/>
                  <w:vAlign w:val="center"/>
                </w:tcPr>
                <w:p>
                  <w:pPr>
                    <w:spacing w:line="300" w:lineRule="exact"/>
                    <w:jc w:val="center"/>
                    <w:rPr>
                      <w:rFonts w:hint="default" w:ascii="Times New Roman" w:hAnsi="Times New Roman" w:cs="Times New Roman"/>
                      <w:color w:val="auto"/>
                      <w:kern w:val="0"/>
                      <w:szCs w:val="21"/>
                      <w:highlight w:val="none"/>
                      <w:lang w:val="en-US" w:eastAsia="zh-CN"/>
                    </w:rPr>
                  </w:pPr>
                  <w:r>
                    <w:rPr>
                      <w:rFonts w:hint="eastAsia" w:ascii="Times New Roman" w:hAnsi="Times New Roman" w:cs="Times New Roman"/>
                      <w:color w:val="auto"/>
                      <w:kern w:val="0"/>
                      <w:szCs w:val="21"/>
                      <w:highlight w:val="none"/>
                      <w:lang w:val="en-US" w:eastAsia="zh-CN"/>
                    </w:rPr>
                    <w:t>PVB胶片</w:t>
                  </w:r>
                </w:p>
              </w:tc>
              <w:tc>
                <w:tcPr>
                  <w:tcW w:w="1270" w:type="dxa"/>
                  <w:noWrap w:val="0"/>
                  <w:vAlign w:val="center"/>
                </w:tcPr>
                <w:p>
                  <w:pPr>
                    <w:spacing w:line="300" w:lineRule="exact"/>
                    <w:jc w:val="center"/>
                    <w:rPr>
                      <w:rFonts w:hint="default" w:ascii="Times New Roman" w:hAnsi="Times New Roman" w:cs="Times New Roman"/>
                      <w:color w:val="auto"/>
                      <w:kern w:val="0"/>
                      <w:szCs w:val="21"/>
                      <w:highlight w:val="none"/>
                      <w:lang w:val="en-US" w:eastAsia="zh-CN"/>
                    </w:rPr>
                  </w:pPr>
                  <w:r>
                    <w:rPr>
                      <w:rFonts w:hint="eastAsia" w:ascii="Times New Roman" w:hAnsi="Times New Roman" w:cs="Times New Roman"/>
                      <w:color w:val="auto"/>
                      <w:kern w:val="0"/>
                      <w:szCs w:val="21"/>
                      <w:highlight w:val="none"/>
                      <w:lang w:val="en-US" w:eastAsia="zh-CN"/>
                    </w:rPr>
                    <w:t>8.5万m</w:t>
                  </w:r>
                  <w:r>
                    <w:rPr>
                      <w:rFonts w:hint="eastAsia" w:ascii="Times New Roman" w:hAnsi="Times New Roman" w:cs="Times New Roman"/>
                      <w:color w:val="auto"/>
                      <w:kern w:val="0"/>
                      <w:szCs w:val="21"/>
                      <w:highlight w:val="none"/>
                      <w:vertAlign w:val="superscript"/>
                      <w:lang w:val="en-US" w:eastAsia="zh-CN"/>
                    </w:rPr>
                    <w:t>2</w:t>
                  </w:r>
                </w:p>
              </w:tc>
              <w:tc>
                <w:tcPr>
                  <w:tcW w:w="1137"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外购</w:t>
                  </w:r>
                </w:p>
              </w:tc>
              <w:tc>
                <w:tcPr>
                  <w:tcW w:w="1194" w:type="dxa"/>
                  <w:noWrap w:val="0"/>
                  <w:vAlign w:val="center"/>
                </w:tcPr>
                <w:p>
                  <w:pPr>
                    <w:spacing w:line="30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kern w:val="0"/>
                      <w:szCs w:val="21"/>
                      <w:highlight w:val="none"/>
                      <w:lang w:val="en-US" w:eastAsia="zh-CN"/>
                    </w:rPr>
                    <w:t>1万m</w:t>
                  </w:r>
                  <w:r>
                    <w:rPr>
                      <w:rFonts w:hint="eastAsia" w:ascii="Times New Roman" w:hAnsi="Times New Roman" w:cs="Times New Roman"/>
                      <w:color w:val="auto"/>
                      <w:kern w:val="0"/>
                      <w:szCs w:val="21"/>
                      <w:highlight w:val="none"/>
                      <w:vertAlign w:val="superscript"/>
                      <w:lang w:val="en-US" w:eastAsia="zh-CN"/>
                    </w:rPr>
                    <w:t>2</w:t>
                  </w:r>
                </w:p>
              </w:tc>
              <w:tc>
                <w:tcPr>
                  <w:tcW w:w="1708"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PVB胶片储存室</w:t>
                  </w:r>
                </w:p>
              </w:tc>
              <w:tc>
                <w:tcPr>
                  <w:tcW w:w="1113"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375" w:type="dxa"/>
                  <w:vMerge w:val="continue"/>
                  <w:noWrap w:val="0"/>
                  <w:vAlign w:val="center"/>
                </w:tcPr>
                <w:p>
                  <w:pPr>
                    <w:jc w:val="center"/>
                    <w:rPr>
                      <w:rFonts w:hint="default" w:ascii="Times New Roman" w:hAnsi="Times New Roman" w:cs="Times New Roman"/>
                      <w:color w:val="auto"/>
                      <w:szCs w:val="21"/>
                      <w:highlight w:val="none"/>
                    </w:rPr>
                  </w:pPr>
                </w:p>
              </w:tc>
              <w:tc>
                <w:tcPr>
                  <w:tcW w:w="1263" w:type="dxa"/>
                  <w:noWrap w:val="0"/>
                  <w:vAlign w:val="center"/>
                </w:tcPr>
                <w:p>
                  <w:pPr>
                    <w:spacing w:line="300" w:lineRule="exact"/>
                    <w:jc w:val="center"/>
                    <w:rPr>
                      <w:rFonts w:hint="default" w:ascii="Times New Roman" w:hAnsi="Times New Roman" w:cs="Times New Roman"/>
                      <w:color w:val="auto"/>
                      <w:kern w:val="0"/>
                      <w:szCs w:val="21"/>
                      <w:highlight w:val="none"/>
                      <w:lang w:val="en-US" w:eastAsia="zh-CN"/>
                    </w:rPr>
                  </w:pPr>
                  <w:r>
                    <w:rPr>
                      <w:rFonts w:hint="eastAsia" w:ascii="Times New Roman" w:hAnsi="Times New Roman" w:cs="Times New Roman"/>
                      <w:color w:val="auto"/>
                      <w:kern w:val="0"/>
                      <w:szCs w:val="21"/>
                      <w:highlight w:val="none"/>
                      <w:lang w:val="en-US" w:eastAsia="zh-CN"/>
                    </w:rPr>
                    <w:t>KT漆</w:t>
                  </w:r>
                </w:p>
              </w:tc>
              <w:tc>
                <w:tcPr>
                  <w:tcW w:w="1270" w:type="dxa"/>
                  <w:noWrap w:val="0"/>
                  <w:vAlign w:val="center"/>
                </w:tcPr>
                <w:p>
                  <w:pPr>
                    <w:spacing w:line="300" w:lineRule="exact"/>
                    <w:jc w:val="center"/>
                    <w:rPr>
                      <w:rFonts w:hint="eastAsia" w:ascii="Times New Roman" w:hAnsi="Times New Roman" w:cs="Times New Roman"/>
                      <w:color w:val="auto"/>
                      <w:kern w:val="0"/>
                      <w:szCs w:val="21"/>
                      <w:highlight w:val="none"/>
                      <w:lang w:val="en-US" w:eastAsia="zh-CN"/>
                    </w:rPr>
                  </w:pPr>
                  <w:r>
                    <w:rPr>
                      <w:rFonts w:hint="eastAsia" w:ascii="Times New Roman" w:hAnsi="Times New Roman" w:cs="Times New Roman"/>
                      <w:color w:val="auto"/>
                      <w:kern w:val="0"/>
                      <w:szCs w:val="21"/>
                      <w:highlight w:val="none"/>
                      <w:lang w:val="en-US" w:eastAsia="zh-CN"/>
                    </w:rPr>
                    <w:t>0.076t</w:t>
                  </w:r>
                </w:p>
              </w:tc>
              <w:tc>
                <w:tcPr>
                  <w:tcW w:w="1137" w:type="dxa"/>
                  <w:noWrap w:val="0"/>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外购</w:t>
                  </w:r>
                </w:p>
              </w:tc>
              <w:tc>
                <w:tcPr>
                  <w:tcW w:w="1194" w:type="dxa"/>
                  <w:noWrap w:val="0"/>
                  <w:vAlign w:val="center"/>
                </w:tcPr>
                <w:p>
                  <w:pPr>
                    <w:spacing w:line="300" w:lineRule="exact"/>
                    <w:jc w:val="center"/>
                    <w:rPr>
                      <w:rFonts w:hint="eastAsia" w:ascii="Times New Roman" w:hAnsi="Times New Roman" w:cs="Times New Roman"/>
                      <w:color w:val="auto"/>
                      <w:kern w:val="0"/>
                      <w:szCs w:val="21"/>
                      <w:highlight w:val="none"/>
                      <w:lang w:val="en-US" w:eastAsia="zh-CN"/>
                    </w:rPr>
                  </w:pPr>
                  <w:r>
                    <w:rPr>
                      <w:rFonts w:hint="eastAsia" w:ascii="Times New Roman" w:hAnsi="Times New Roman" w:cs="Times New Roman"/>
                      <w:color w:val="auto"/>
                      <w:kern w:val="0"/>
                      <w:szCs w:val="21"/>
                      <w:highlight w:val="none"/>
                      <w:lang w:val="en-US" w:eastAsia="zh-CN"/>
                    </w:rPr>
                    <w:t>0.03t</w:t>
                  </w:r>
                </w:p>
              </w:tc>
              <w:tc>
                <w:tcPr>
                  <w:tcW w:w="1708"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漆库房</w:t>
                  </w:r>
                </w:p>
              </w:tc>
              <w:tc>
                <w:tcPr>
                  <w:tcW w:w="1113" w:type="dxa"/>
                  <w:noWrap w:val="0"/>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普乐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375" w:type="dxa"/>
                  <w:vMerge w:val="continue"/>
                  <w:noWrap w:val="0"/>
                  <w:vAlign w:val="center"/>
                </w:tcPr>
                <w:p>
                  <w:pPr>
                    <w:jc w:val="center"/>
                    <w:rPr>
                      <w:rFonts w:hint="default" w:ascii="Times New Roman" w:hAnsi="Times New Roman" w:cs="Times New Roman"/>
                      <w:color w:val="auto"/>
                      <w:szCs w:val="21"/>
                      <w:highlight w:val="none"/>
                    </w:rPr>
                  </w:pPr>
                </w:p>
              </w:tc>
              <w:tc>
                <w:tcPr>
                  <w:tcW w:w="1263" w:type="dxa"/>
                  <w:noWrap w:val="0"/>
                  <w:vAlign w:val="center"/>
                </w:tcPr>
                <w:p>
                  <w:pPr>
                    <w:spacing w:line="300" w:lineRule="exact"/>
                    <w:jc w:val="center"/>
                    <w:rPr>
                      <w:rFonts w:hint="default" w:ascii="Times New Roman" w:hAnsi="Times New Roman" w:cs="Times New Roman"/>
                      <w:color w:val="auto"/>
                      <w:kern w:val="0"/>
                      <w:szCs w:val="21"/>
                      <w:highlight w:val="none"/>
                      <w:lang w:val="en-US" w:eastAsia="zh-CN"/>
                    </w:rPr>
                  </w:pPr>
                  <w:r>
                    <w:rPr>
                      <w:rFonts w:hint="eastAsia" w:ascii="Times New Roman" w:hAnsi="Times New Roman" w:cs="Times New Roman"/>
                      <w:color w:val="auto"/>
                      <w:kern w:val="0"/>
                      <w:szCs w:val="21"/>
                      <w:highlight w:val="none"/>
                      <w:lang w:val="en-US" w:eastAsia="zh-CN"/>
                    </w:rPr>
                    <w:t>KT固化剂</w:t>
                  </w:r>
                </w:p>
              </w:tc>
              <w:tc>
                <w:tcPr>
                  <w:tcW w:w="1270" w:type="dxa"/>
                  <w:noWrap w:val="0"/>
                  <w:vAlign w:val="center"/>
                </w:tcPr>
                <w:p>
                  <w:pPr>
                    <w:spacing w:line="300" w:lineRule="exact"/>
                    <w:jc w:val="center"/>
                    <w:rPr>
                      <w:rFonts w:hint="default" w:ascii="Times New Roman" w:hAnsi="Times New Roman" w:cs="Times New Roman"/>
                      <w:color w:val="auto"/>
                      <w:kern w:val="0"/>
                      <w:szCs w:val="21"/>
                      <w:highlight w:val="none"/>
                      <w:lang w:val="en-US" w:eastAsia="zh-CN"/>
                    </w:rPr>
                  </w:pPr>
                  <w:r>
                    <w:rPr>
                      <w:rFonts w:hint="eastAsia" w:ascii="Times New Roman" w:hAnsi="Times New Roman" w:cs="Times New Roman"/>
                      <w:color w:val="auto"/>
                      <w:kern w:val="0"/>
                      <w:szCs w:val="21"/>
                      <w:highlight w:val="none"/>
                      <w:lang w:val="en-US" w:eastAsia="zh-CN"/>
                    </w:rPr>
                    <w:t>0.026t</w:t>
                  </w:r>
                </w:p>
              </w:tc>
              <w:tc>
                <w:tcPr>
                  <w:tcW w:w="1137"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外购</w:t>
                  </w:r>
                </w:p>
              </w:tc>
              <w:tc>
                <w:tcPr>
                  <w:tcW w:w="1194" w:type="dxa"/>
                  <w:noWrap w:val="0"/>
                  <w:vAlign w:val="center"/>
                </w:tcPr>
                <w:p>
                  <w:pPr>
                    <w:spacing w:line="300" w:lineRule="exact"/>
                    <w:jc w:val="center"/>
                    <w:rPr>
                      <w:rFonts w:hint="default" w:ascii="Times New Roman" w:hAnsi="Times New Roman" w:cs="Times New Roman"/>
                      <w:color w:val="auto"/>
                      <w:kern w:val="0"/>
                      <w:szCs w:val="21"/>
                      <w:highlight w:val="none"/>
                      <w:lang w:val="en-US" w:eastAsia="zh-CN"/>
                    </w:rPr>
                  </w:pPr>
                  <w:r>
                    <w:rPr>
                      <w:rFonts w:hint="eastAsia" w:ascii="Times New Roman" w:hAnsi="Times New Roman" w:cs="Times New Roman"/>
                      <w:color w:val="auto"/>
                      <w:kern w:val="0"/>
                      <w:szCs w:val="21"/>
                      <w:highlight w:val="none"/>
                      <w:lang w:val="en-US" w:eastAsia="zh-CN"/>
                    </w:rPr>
                    <w:t>0.01t</w:t>
                  </w:r>
                </w:p>
              </w:tc>
              <w:tc>
                <w:tcPr>
                  <w:tcW w:w="1708" w:type="dxa"/>
                  <w:noWrap w:val="0"/>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漆库房</w:t>
                  </w:r>
                </w:p>
              </w:tc>
              <w:tc>
                <w:tcPr>
                  <w:tcW w:w="1113"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普乐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375" w:type="dxa"/>
                  <w:vMerge w:val="continue"/>
                  <w:noWrap w:val="0"/>
                  <w:vAlign w:val="center"/>
                </w:tcPr>
                <w:p>
                  <w:pPr>
                    <w:jc w:val="center"/>
                    <w:rPr>
                      <w:rFonts w:hint="default" w:ascii="Times New Roman" w:hAnsi="Times New Roman" w:cs="Times New Roman"/>
                      <w:color w:val="auto"/>
                      <w:szCs w:val="21"/>
                      <w:highlight w:val="none"/>
                    </w:rPr>
                  </w:pPr>
                </w:p>
              </w:tc>
              <w:tc>
                <w:tcPr>
                  <w:tcW w:w="1263" w:type="dxa"/>
                  <w:noWrap w:val="0"/>
                  <w:vAlign w:val="center"/>
                </w:tcPr>
                <w:p>
                  <w:pPr>
                    <w:spacing w:line="300" w:lineRule="exact"/>
                    <w:jc w:val="center"/>
                    <w:rPr>
                      <w:rFonts w:hint="eastAsia" w:ascii="Times New Roman" w:hAnsi="Times New Roman" w:cs="Times New Roman"/>
                      <w:color w:val="auto"/>
                      <w:kern w:val="0"/>
                      <w:szCs w:val="21"/>
                      <w:highlight w:val="none"/>
                      <w:lang w:val="en-US" w:eastAsia="zh-CN"/>
                    </w:rPr>
                  </w:pPr>
                  <w:r>
                    <w:rPr>
                      <w:rFonts w:hint="eastAsia" w:ascii="Times New Roman" w:hAnsi="Times New Roman" w:cs="Times New Roman"/>
                      <w:color w:val="auto"/>
                      <w:kern w:val="0"/>
                      <w:szCs w:val="21"/>
                      <w:highlight w:val="none"/>
                      <w:lang w:val="en-US" w:eastAsia="zh-CN"/>
                    </w:rPr>
                    <w:t>KT稀释剂</w:t>
                  </w:r>
                </w:p>
              </w:tc>
              <w:tc>
                <w:tcPr>
                  <w:tcW w:w="1270" w:type="dxa"/>
                  <w:noWrap w:val="0"/>
                  <w:vAlign w:val="center"/>
                </w:tcPr>
                <w:p>
                  <w:pPr>
                    <w:spacing w:line="300" w:lineRule="exact"/>
                    <w:jc w:val="center"/>
                    <w:rPr>
                      <w:rFonts w:hint="eastAsia" w:ascii="Times New Roman" w:hAnsi="Times New Roman" w:cs="Times New Roman"/>
                      <w:color w:val="auto"/>
                      <w:kern w:val="0"/>
                      <w:szCs w:val="21"/>
                      <w:highlight w:val="none"/>
                      <w:lang w:val="en-US" w:eastAsia="zh-CN"/>
                    </w:rPr>
                  </w:pPr>
                  <w:r>
                    <w:rPr>
                      <w:rFonts w:hint="eastAsia" w:ascii="Times New Roman" w:hAnsi="Times New Roman" w:cs="Times New Roman"/>
                      <w:color w:val="auto"/>
                      <w:kern w:val="0"/>
                      <w:szCs w:val="21"/>
                      <w:highlight w:val="none"/>
                      <w:lang w:val="en-US" w:eastAsia="zh-CN"/>
                    </w:rPr>
                    <w:t>0.038t</w:t>
                  </w:r>
                </w:p>
              </w:tc>
              <w:tc>
                <w:tcPr>
                  <w:tcW w:w="1137" w:type="dxa"/>
                  <w:noWrap w:val="0"/>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外购</w:t>
                  </w:r>
                </w:p>
              </w:tc>
              <w:tc>
                <w:tcPr>
                  <w:tcW w:w="1194" w:type="dxa"/>
                  <w:noWrap w:val="0"/>
                  <w:vAlign w:val="center"/>
                </w:tcPr>
                <w:p>
                  <w:pPr>
                    <w:spacing w:line="300" w:lineRule="exact"/>
                    <w:jc w:val="center"/>
                    <w:rPr>
                      <w:rFonts w:hint="eastAsia" w:ascii="Times New Roman" w:hAnsi="Times New Roman" w:cs="Times New Roman"/>
                      <w:color w:val="auto"/>
                      <w:kern w:val="0"/>
                      <w:szCs w:val="21"/>
                      <w:highlight w:val="none"/>
                      <w:lang w:val="en-US" w:eastAsia="zh-CN"/>
                    </w:rPr>
                  </w:pPr>
                  <w:r>
                    <w:rPr>
                      <w:rFonts w:hint="eastAsia" w:ascii="Times New Roman" w:hAnsi="Times New Roman" w:cs="Times New Roman"/>
                      <w:color w:val="auto"/>
                      <w:kern w:val="0"/>
                      <w:szCs w:val="21"/>
                      <w:highlight w:val="none"/>
                      <w:lang w:val="en-US" w:eastAsia="zh-CN"/>
                    </w:rPr>
                    <w:t>0.02t</w:t>
                  </w:r>
                </w:p>
              </w:tc>
              <w:tc>
                <w:tcPr>
                  <w:tcW w:w="1708" w:type="dxa"/>
                  <w:noWrap w:val="0"/>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漆库房</w:t>
                  </w:r>
                </w:p>
              </w:tc>
              <w:tc>
                <w:tcPr>
                  <w:tcW w:w="1113" w:type="dxa"/>
                  <w:noWrap w:val="0"/>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普乐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375" w:type="dxa"/>
                  <w:vMerge w:val="restart"/>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能源</w:t>
                  </w:r>
                </w:p>
              </w:tc>
              <w:tc>
                <w:tcPr>
                  <w:tcW w:w="1263"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水</w:t>
                  </w:r>
                </w:p>
              </w:tc>
              <w:tc>
                <w:tcPr>
                  <w:tcW w:w="1270" w:type="dxa"/>
                  <w:noWrap w:val="0"/>
                  <w:vAlign w:val="center"/>
                </w:tcPr>
                <w:p>
                  <w:pPr>
                    <w:jc w:val="center"/>
                    <w:rPr>
                      <w:rFonts w:hint="eastAsia" w:ascii="Times New Roman" w:hAnsi="Times New Roman" w:eastAsia="宋体" w:cs="Times New Roman"/>
                      <w:color w:val="auto"/>
                      <w:szCs w:val="21"/>
                      <w:highlight w:val="yellow"/>
                      <w:lang w:val="en-US" w:eastAsia="zh-CN"/>
                    </w:rPr>
                  </w:pPr>
                  <w:r>
                    <w:rPr>
                      <w:rFonts w:hint="eastAsia" w:ascii="Times New Roman" w:hAnsi="Times New Roman" w:cs="Times New Roman"/>
                      <w:color w:val="auto"/>
                      <w:szCs w:val="21"/>
                      <w:highlight w:val="none"/>
                      <w:lang w:val="en-US" w:eastAsia="zh-CN"/>
                    </w:rPr>
                    <w:t>2115m</w:t>
                  </w:r>
                  <w:r>
                    <w:rPr>
                      <w:rFonts w:hint="eastAsia" w:ascii="Times New Roman" w:hAnsi="Times New Roman" w:cs="Times New Roman"/>
                      <w:color w:val="auto"/>
                      <w:szCs w:val="21"/>
                      <w:highlight w:val="none"/>
                      <w:vertAlign w:val="superscript"/>
                      <w:lang w:val="en-US" w:eastAsia="zh-CN"/>
                    </w:rPr>
                    <w:t>3</w:t>
                  </w:r>
                </w:p>
              </w:tc>
              <w:tc>
                <w:tcPr>
                  <w:tcW w:w="1137" w:type="dxa"/>
                  <w:noWrap w:val="0"/>
                  <w:vAlign w:val="center"/>
                </w:tcPr>
                <w:p>
                  <w:pPr>
                    <w:jc w:val="center"/>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val="en-US" w:eastAsia="zh-CN"/>
                    </w:rPr>
                    <w:t>园区</w:t>
                  </w:r>
                  <w:r>
                    <w:rPr>
                      <w:rFonts w:hint="eastAsia" w:ascii="Times New Roman" w:hAnsi="Times New Roman" w:eastAsia="宋体" w:cs="Times New Roman"/>
                      <w:color w:val="auto"/>
                      <w:szCs w:val="21"/>
                      <w:highlight w:val="none"/>
                      <w:lang w:eastAsia="zh-CN"/>
                    </w:rPr>
                    <w:t>供水</w:t>
                  </w:r>
                </w:p>
              </w:tc>
              <w:tc>
                <w:tcPr>
                  <w:tcW w:w="1194"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1708" w:type="dxa"/>
                  <w:noWrap w:val="0"/>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1113" w:type="dxa"/>
                  <w:noWrap w:val="0"/>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375" w:type="dxa"/>
                  <w:vMerge w:val="continue"/>
                  <w:noWrap w:val="0"/>
                  <w:vAlign w:val="center"/>
                </w:tcPr>
                <w:p>
                  <w:pPr>
                    <w:jc w:val="center"/>
                    <w:rPr>
                      <w:rFonts w:hint="default" w:ascii="Times New Roman" w:hAnsi="Times New Roman" w:cs="Times New Roman"/>
                      <w:color w:val="auto"/>
                      <w:szCs w:val="21"/>
                      <w:highlight w:val="none"/>
                    </w:rPr>
                  </w:pPr>
                </w:p>
              </w:tc>
              <w:tc>
                <w:tcPr>
                  <w:tcW w:w="1263" w:type="dxa"/>
                  <w:noWrap w:val="0"/>
                  <w:vAlign w:val="center"/>
                </w:tcPr>
                <w:p>
                  <w:pPr>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电</w:t>
                  </w:r>
                </w:p>
              </w:tc>
              <w:tc>
                <w:tcPr>
                  <w:tcW w:w="1270" w:type="dxa"/>
                  <w:noWrap w:val="0"/>
                  <w:vAlign w:val="center"/>
                </w:tcPr>
                <w:p>
                  <w:pPr>
                    <w:jc w:val="center"/>
                    <w:rPr>
                      <w:rFonts w:hint="eastAsia"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highlight w:val="none"/>
                      <w:lang w:val="en-US" w:eastAsia="zh-CN"/>
                    </w:rPr>
                    <w:t>140万</w:t>
                  </w:r>
                  <w:r>
                    <w:rPr>
                      <w:rFonts w:hint="default" w:ascii="Times New Roman" w:hAnsi="Times New Roman" w:cs="Times New Roman"/>
                      <w:color w:val="auto"/>
                      <w:kern w:val="0"/>
                      <w:szCs w:val="21"/>
                      <w:highlight w:val="none"/>
                      <w:lang w:val="en-US" w:eastAsia="zh-CN"/>
                    </w:rPr>
                    <w:t>kw·h</w:t>
                  </w:r>
                </w:p>
              </w:tc>
              <w:tc>
                <w:tcPr>
                  <w:tcW w:w="1137" w:type="dxa"/>
                  <w:noWrap w:val="0"/>
                  <w:vAlign w:val="center"/>
                </w:tcPr>
                <w:p>
                  <w:pPr>
                    <w:jc w:val="center"/>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val="en-US" w:eastAsia="zh-CN"/>
                    </w:rPr>
                    <w:t>园区</w:t>
                  </w:r>
                  <w:r>
                    <w:rPr>
                      <w:rFonts w:hint="eastAsia" w:ascii="Times New Roman" w:hAnsi="Times New Roman" w:eastAsia="宋体" w:cs="Times New Roman"/>
                      <w:color w:val="auto"/>
                      <w:szCs w:val="21"/>
                      <w:highlight w:val="none"/>
                      <w:lang w:eastAsia="zh-CN"/>
                    </w:rPr>
                    <w:t>供电</w:t>
                  </w:r>
                </w:p>
              </w:tc>
              <w:tc>
                <w:tcPr>
                  <w:tcW w:w="1194"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1708" w:type="dxa"/>
                  <w:noWrap w:val="0"/>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1113" w:type="dxa"/>
                  <w:noWrap w:val="0"/>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r>
          </w:tbl>
          <w:p>
            <w:pPr>
              <w:keepNext w:val="0"/>
              <w:keepLines w:val="0"/>
              <w:pageBreakBefore w:val="0"/>
              <w:widowControl w:val="0"/>
              <w:kinsoku/>
              <w:wordWrap/>
              <w:overflowPunct/>
              <w:topLinePunct w:val="0"/>
              <w:autoSpaceDE w:val="0"/>
              <w:autoSpaceDN w:val="0"/>
              <w:bidi w:val="0"/>
              <w:adjustRightInd w:val="0"/>
              <w:snapToGrid w:val="0"/>
              <w:spacing w:line="360" w:lineRule="auto"/>
              <w:ind w:firstLine="440" w:firstLineChars="200"/>
              <w:jc w:val="left"/>
              <w:textAlignment w:val="auto"/>
              <w:outlineLvl w:val="9"/>
              <w:rPr>
                <w:rFonts w:hint="default" w:ascii="Times New Roman" w:hAnsi="Times New Roman" w:cs="Times New Roman"/>
                <w:bCs/>
                <w:color w:val="auto"/>
                <w:sz w:val="22"/>
                <w:szCs w:val="22"/>
                <w:highlight w:val="none"/>
                <w:lang w:val="en-US" w:eastAsia="zh-CN"/>
              </w:rPr>
            </w:pPr>
            <w:r>
              <w:rPr>
                <w:rFonts w:hint="eastAsia" w:ascii="Times New Roman" w:hAnsi="Times New Roman" w:cs="Times New Roman"/>
                <w:b w:val="0"/>
                <w:bCs/>
                <w:color w:val="auto"/>
                <w:sz w:val="22"/>
                <w:szCs w:val="22"/>
                <w:highlight w:val="none"/>
                <w:lang w:val="en-US" w:eastAsia="zh-CN"/>
              </w:rPr>
              <w:t>（1）</w:t>
            </w:r>
            <w:r>
              <w:rPr>
                <w:rFonts w:hint="eastAsia" w:ascii="Times New Roman" w:hAnsi="Times New Roman" w:cs="Times New Roman"/>
                <w:bCs/>
                <w:color w:val="auto"/>
                <w:sz w:val="22"/>
                <w:szCs w:val="22"/>
                <w:highlight w:val="none"/>
                <w:lang w:val="en-US" w:eastAsia="zh-CN"/>
              </w:rPr>
              <w:t>PVB胶</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40" w:firstLineChars="200"/>
              <w:jc w:val="left"/>
              <w:textAlignment w:val="auto"/>
              <w:outlineLvl w:val="9"/>
              <w:rPr>
                <w:rFonts w:hint="eastAsia" w:ascii="Times New Roman" w:hAnsi="Times New Roman" w:cs="Times New Roman"/>
                <w:bCs/>
                <w:color w:val="auto"/>
                <w:sz w:val="22"/>
                <w:szCs w:val="22"/>
                <w:highlight w:val="none"/>
                <w:lang w:val="en-US" w:eastAsia="zh-CN"/>
              </w:rPr>
            </w:pPr>
            <w:r>
              <w:rPr>
                <w:rFonts w:hint="eastAsia" w:ascii="Times New Roman" w:hAnsi="Times New Roman" w:cs="Times New Roman"/>
                <w:bCs/>
                <w:color w:val="auto"/>
                <w:sz w:val="22"/>
                <w:szCs w:val="22"/>
                <w:highlight w:val="none"/>
                <w:lang w:val="en-US" w:eastAsia="zh-CN"/>
              </w:rPr>
              <w:t>PVB胶片是由聚乙烯醇缩丁醛树脂经增塑剂塑化挤压成型的一种高分子材料。外观为半透明膜片，无杂质，表面平整，有一定的粗糙度和良好的柔软性，对无机玻璃有很好的粘结力、具有透明、耐热、耐寒、耐湿、机械强度高等特性，是当前世界上制造夹层、安全玻璃用的最佳粘合材料。PVB胶片软化温度为60-65℃，200℃时发生分解。</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40" w:firstLineChars="200"/>
              <w:jc w:val="left"/>
              <w:textAlignment w:val="auto"/>
              <w:outlineLvl w:val="9"/>
              <w:rPr>
                <w:rFonts w:hint="default" w:ascii="Times New Roman" w:hAnsi="Times New Roman" w:eastAsia="宋体" w:cs="Times New Roman"/>
                <w:b w:val="0"/>
                <w:bCs/>
                <w:color w:val="auto"/>
                <w:sz w:val="22"/>
                <w:szCs w:val="22"/>
                <w:highlight w:val="none"/>
                <w:lang w:val="en-US" w:eastAsia="zh-CN"/>
              </w:rPr>
            </w:pPr>
            <w:r>
              <w:rPr>
                <w:rFonts w:hint="eastAsia" w:ascii="Times New Roman" w:hAnsi="Times New Roman" w:eastAsia="宋体" w:cs="Times New Roman"/>
                <w:b w:val="0"/>
                <w:bCs/>
                <w:color w:val="auto"/>
                <w:sz w:val="22"/>
                <w:szCs w:val="22"/>
                <w:highlight w:val="none"/>
                <w:lang w:val="en-US" w:eastAsia="zh-CN"/>
              </w:rPr>
              <w:t>（2）KT漆</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40" w:firstLineChars="200"/>
              <w:jc w:val="both"/>
              <w:textAlignment w:val="auto"/>
              <w:outlineLvl w:val="9"/>
              <w:rPr>
                <w:rFonts w:hint="default" w:ascii="Times New Roman" w:hAnsi="Times New Roman" w:eastAsia="宋体" w:cs="Times New Roman"/>
                <w:bCs/>
                <w:color w:val="auto"/>
                <w:sz w:val="22"/>
                <w:szCs w:val="22"/>
                <w:highlight w:val="none"/>
                <w:lang w:val="en-US" w:eastAsia="zh-CN"/>
              </w:rPr>
            </w:pPr>
            <w:r>
              <w:rPr>
                <w:rFonts w:hint="eastAsia" w:ascii="Times New Roman" w:hAnsi="Times New Roman" w:eastAsia="宋体" w:cs="Times New Roman"/>
                <w:bCs/>
                <w:color w:val="auto"/>
                <w:sz w:val="22"/>
                <w:szCs w:val="22"/>
                <w:highlight w:val="none"/>
                <w:lang w:val="en-US" w:eastAsia="zh-CN"/>
              </w:rPr>
              <w:t>玻璃漆的一种，为油性涂料，遇明火、高热能引起燃烧。可以稳定的粘附在玻璃器具表面，通过不同的颜色对玻璃器具进行美观和装饰的作用。使用时与KT固化剂、KT稀释剂按3:1:1.5进行调配后使用。</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42" w:firstLineChars="200"/>
              <w:jc w:val="left"/>
              <w:textAlignment w:val="auto"/>
              <w:outlineLvl w:val="9"/>
              <w:rPr>
                <w:rFonts w:hint="eastAsia" w:ascii="Times New Roman" w:hAnsi="Times New Roman" w:cs="Times New Roman"/>
                <w:b/>
                <w:bCs w:val="0"/>
                <w:color w:val="auto"/>
                <w:sz w:val="22"/>
                <w:szCs w:val="22"/>
                <w:highlight w:val="none"/>
                <w:lang w:val="en-US" w:eastAsia="zh-CN"/>
              </w:rPr>
            </w:pPr>
            <w:r>
              <w:rPr>
                <w:rFonts w:hint="eastAsia" w:ascii="Times New Roman" w:hAnsi="Times New Roman" w:cs="Times New Roman"/>
                <w:b/>
                <w:bCs w:val="0"/>
                <w:color w:val="auto"/>
                <w:sz w:val="22"/>
                <w:szCs w:val="22"/>
                <w:highlight w:val="none"/>
                <w:lang w:val="en-US" w:eastAsia="zh-CN"/>
              </w:rPr>
              <w:t>3、物料平衡</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40" w:firstLineChars="200"/>
              <w:jc w:val="left"/>
              <w:textAlignment w:val="auto"/>
              <w:outlineLvl w:val="9"/>
              <w:rPr>
                <w:rFonts w:hint="eastAsia" w:ascii="Times New Roman" w:hAnsi="Times New Roman" w:eastAsia="宋体" w:cs="Times New Roman"/>
                <w:bCs/>
                <w:color w:val="auto"/>
                <w:sz w:val="22"/>
                <w:szCs w:val="22"/>
                <w:highlight w:val="none"/>
                <w:lang w:val="en-US" w:eastAsia="zh-CN"/>
              </w:rPr>
            </w:pPr>
            <w:r>
              <w:rPr>
                <w:rFonts w:hint="eastAsia" w:ascii="Times New Roman" w:hAnsi="Times New Roman" w:eastAsia="宋体" w:cs="Times New Roman"/>
                <w:bCs/>
                <w:color w:val="auto"/>
                <w:sz w:val="22"/>
                <w:szCs w:val="22"/>
                <w:highlight w:val="none"/>
                <w:lang w:val="en-US" w:eastAsia="zh-CN"/>
              </w:rPr>
              <w:t>本项目使用玻璃原片16.2万m</w:t>
            </w:r>
            <w:r>
              <w:rPr>
                <w:rFonts w:hint="eastAsia" w:ascii="Times New Roman" w:hAnsi="Times New Roman" w:eastAsia="宋体" w:cs="Times New Roman"/>
                <w:bCs/>
                <w:color w:val="auto"/>
                <w:sz w:val="22"/>
                <w:szCs w:val="22"/>
                <w:highlight w:val="none"/>
                <w:vertAlign w:val="superscript"/>
                <w:lang w:val="en-US" w:eastAsia="zh-CN"/>
              </w:rPr>
              <w:t>2</w:t>
            </w:r>
            <w:r>
              <w:rPr>
                <w:rFonts w:hint="eastAsia" w:ascii="Times New Roman" w:hAnsi="Times New Roman" w:eastAsia="宋体" w:cs="Times New Roman"/>
                <w:bCs/>
                <w:color w:val="auto"/>
                <w:sz w:val="22"/>
                <w:szCs w:val="22"/>
                <w:highlight w:val="none"/>
                <w:lang w:val="en-US" w:eastAsia="zh-CN"/>
              </w:rPr>
              <w:t>/a（约2050t/a），生产过程中产生一定的边角料和不合格产品；PVB胶片使用过程中会产生一定量的边角料，其余进入夹层玻璃。根据漆料检测报告，KT漆（混合后）不挥发物含量含量为80.3%。本项目物料平衡情况见下表：</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40" w:firstLineChars="200"/>
              <w:jc w:val="left"/>
              <w:textAlignment w:val="auto"/>
              <w:outlineLvl w:val="9"/>
              <w:rPr>
                <w:rFonts w:hint="default" w:ascii="Times New Roman" w:hAnsi="Times New Roman" w:eastAsia="宋体" w:cs="Times New Roman"/>
                <w:bCs/>
                <w:color w:val="auto"/>
                <w:sz w:val="22"/>
                <w:szCs w:val="22"/>
                <w:highlight w:val="none"/>
                <w:lang w:val="en-US" w:eastAsia="zh-CN"/>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40" w:firstLineChars="200"/>
              <w:jc w:val="left"/>
              <w:textAlignment w:val="auto"/>
              <w:outlineLvl w:val="9"/>
              <w:rPr>
                <w:rFonts w:hint="default" w:ascii="Times New Roman" w:hAnsi="Times New Roman" w:eastAsia="宋体" w:cs="Times New Roman"/>
                <w:bCs/>
                <w:color w:val="auto"/>
                <w:sz w:val="22"/>
                <w:szCs w:val="22"/>
                <w:highlight w:val="none"/>
                <w:lang w:val="en-US" w:eastAsia="zh-CN"/>
              </w:rPr>
            </w:pPr>
          </w:p>
          <w:p>
            <w:pPr>
              <w:jc w:val="center"/>
              <w:rPr>
                <w:rFonts w:hint="default" w:ascii="Times New Roman" w:hAnsi="Times New Roman" w:cs="Times New Roman"/>
                <w:b/>
                <w:bCs/>
                <w:color w:val="auto"/>
                <w:szCs w:val="21"/>
                <w:highlight w:val="none"/>
              </w:rPr>
            </w:pPr>
          </w:p>
          <w:p>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表2-</w:t>
            </w:r>
            <w:r>
              <w:rPr>
                <w:rFonts w:hint="eastAsia" w:ascii="Times New Roman" w:hAnsi="Times New Roman" w:cs="Times New Roman"/>
                <w:b/>
                <w:bCs/>
                <w:color w:val="auto"/>
                <w:szCs w:val="21"/>
                <w:highlight w:val="none"/>
                <w:lang w:val="en-US" w:eastAsia="zh-CN"/>
              </w:rPr>
              <w:t>7</w:t>
            </w:r>
            <w:r>
              <w:rPr>
                <w:rFonts w:hint="default" w:ascii="Times New Roman" w:hAnsi="Times New Roman" w:cs="Times New Roman"/>
                <w:b/>
                <w:bCs/>
                <w:color w:val="auto"/>
                <w:szCs w:val="21"/>
                <w:highlight w:val="none"/>
              </w:rPr>
              <w:t xml:space="preserve"> 本项目物料平衡表</w:t>
            </w:r>
          </w:p>
          <w:tbl>
            <w:tblPr>
              <w:tblStyle w:val="42"/>
              <w:tblW w:w="79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4"/>
              <w:gridCol w:w="1242"/>
              <w:gridCol w:w="3173"/>
              <w:gridCol w:w="1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3156" w:type="dxa"/>
                  <w:gridSpan w:val="2"/>
                  <w:noWrap w:val="0"/>
                  <w:vAlign w:val="center"/>
                </w:tcPr>
                <w:p>
                  <w:pPr>
                    <w:pStyle w:val="16"/>
                    <w:adjustRightInd w:val="0"/>
                    <w:snapToGrid w:val="0"/>
                    <w:spacing w:after="0"/>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4"/>
                      <w:sz w:val="21"/>
                      <w:szCs w:val="21"/>
                      <w:highlight w:val="none"/>
                    </w:rPr>
                    <w:t>进（t/a）</w:t>
                  </w:r>
                </w:p>
              </w:tc>
              <w:tc>
                <w:tcPr>
                  <w:tcW w:w="4843" w:type="dxa"/>
                  <w:gridSpan w:val="2"/>
                  <w:noWrap w:val="0"/>
                  <w:vAlign w:val="center"/>
                </w:tcPr>
                <w:p>
                  <w:pPr>
                    <w:pStyle w:val="16"/>
                    <w:adjustRightInd w:val="0"/>
                    <w:snapToGrid w:val="0"/>
                    <w:spacing w:after="0"/>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4"/>
                      <w:sz w:val="21"/>
                      <w:szCs w:val="21"/>
                      <w:highlight w:val="none"/>
                    </w:rPr>
                    <w:t>出（t/a）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914" w:type="dxa"/>
                  <w:noWrap w:val="0"/>
                  <w:vAlign w:val="center"/>
                </w:tcPr>
                <w:p>
                  <w:pPr>
                    <w:spacing w:line="300" w:lineRule="exac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玻璃原片</w:t>
                  </w:r>
                </w:p>
              </w:tc>
              <w:tc>
                <w:tcPr>
                  <w:tcW w:w="1242" w:type="dxa"/>
                  <w:noWrap w:val="0"/>
                  <w:vAlign w:val="center"/>
                </w:tcPr>
                <w:p>
                  <w:pPr>
                    <w:spacing w:line="300" w:lineRule="exac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2050</w:t>
                  </w:r>
                </w:p>
              </w:tc>
              <w:tc>
                <w:tcPr>
                  <w:tcW w:w="3173" w:type="dxa"/>
                  <w:noWrap w:val="0"/>
                  <w:vAlign w:val="center"/>
                </w:tcPr>
                <w:p>
                  <w:pPr>
                    <w:pStyle w:val="16"/>
                    <w:adjustRightInd w:val="0"/>
                    <w:snapToGrid w:val="0"/>
                    <w:spacing w:after="0"/>
                    <w:ind w:left="0" w:lef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夹层玻璃</w:t>
                  </w:r>
                </w:p>
              </w:tc>
              <w:tc>
                <w:tcPr>
                  <w:tcW w:w="1670" w:type="dxa"/>
                  <w:noWrap w:val="0"/>
                  <w:vAlign w:val="center"/>
                </w:tcPr>
                <w:p>
                  <w:pPr>
                    <w:pStyle w:val="16"/>
                    <w:adjustRightInd w:val="0"/>
                    <w:snapToGrid w:val="0"/>
                    <w:spacing w:after="0"/>
                    <w:ind w:left="0" w:lef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1914" w:type="dxa"/>
                  <w:noWrap w:val="0"/>
                  <w:vAlign w:val="center"/>
                </w:tcPr>
                <w:p>
                  <w:pPr>
                    <w:spacing w:line="300" w:lineRule="exac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PVB胶片</w:t>
                  </w:r>
                </w:p>
              </w:tc>
              <w:tc>
                <w:tcPr>
                  <w:tcW w:w="1242" w:type="dxa"/>
                  <w:noWrap w:val="0"/>
                  <w:vAlign w:val="center"/>
                </w:tcPr>
                <w:p>
                  <w:pPr>
                    <w:spacing w:line="300" w:lineRule="exac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85</w:t>
                  </w:r>
                </w:p>
              </w:tc>
              <w:tc>
                <w:tcPr>
                  <w:tcW w:w="3173" w:type="dxa"/>
                  <w:noWrap w:val="0"/>
                  <w:vAlign w:val="center"/>
                </w:tcPr>
                <w:p>
                  <w:pPr>
                    <w:pStyle w:val="16"/>
                    <w:adjustRightInd w:val="0"/>
                    <w:snapToGrid w:val="0"/>
                    <w:spacing w:after="0"/>
                    <w:ind w:left="0" w:leftChars="0"/>
                    <w:jc w:val="center"/>
                    <w:rPr>
                      <w:rFonts w:hint="default" w:ascii="Times New Roman" w:hAnsi="Times New Roman" w:eastAsia="宋体" w:cs="Times New Roman"/>
                      <w:color w:val="auto"/>
                      <w:spacing w:val="-4"/>
                      <w:kern w:val="0"/>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边角料和不合格产品</w:t>
                  </w:r>
                </w:p>
              </w:tc>
              <w:tc>
                <w:tcPr>
                  <w:tcW w:w="1670" w:type="dxa"/>
                  <w:noWrap w:val="0"/>
                  <w:vAlign w:val="center"/>
                </w:tcPr>
                <w:p>
                  <w:pPr>
                    <w:pStyle w:val="16"/>
                    <w:adjustRightInd w:val="0"/>
                    <w:snapToGrid w:val="0"/>
                    <w:spacing w:after="0"/>
                    <w:ind w:left="0" w:left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50.4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3" w:hRule="atLeast"/>
                <w:jc w:val="center"/>
              </w:trPr>
              <w:tc>
                <w:tcPr>
                  <w:tcW w:w="1914" w:type="dxa"/>
                  <w:noWrap w:val="0"/>
                  <w:vAlign w:val="center"/>
                </w:tcPr>
                <w:p>
                  <w:pPr>
                    <w:spacing w:line="300" w:lineRule="exact"/>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kern w:val="0"/>
                      <w:szCs w:val="21"/>
                      <w:highlight w:val="none"/>
                      <w:lang w:val="en-US" w:eastAsia="zh-CN"/>
                    </w:rPr>
                    <w:t>KT漆</w:t>
                  </w:r>
                </w:p>
              </w:tc>
              <w:tc>
                <w:tcPr>
                  <w:tcW w:w="1242" w:type="dxa"/>
                  <w:noWrap w:val="0"/>
                  <w:vAlign w:val="center"/>
                </w:tcPr>
                <w:p>
                  <w:pPr>
                    <w:spacing w:line="300" w:lineRule="exac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kern w:val="0"/>
                      <w:szCs w:val="21"/>
                      <w:highlight w:val="none"/>
                      <w:lang w:val="en-US" w:eastAsia="zh-CN"/>
                    </w:rPr>
                    <w:t>0.076</w:t>
                  </w:r>
                </w:p>
              </w:tc>
              <w:tc>
                <w:tcPr>
                  <w:tcW w:w="3173" w:type="dxa"/>
                  <w:noWrap w:val="0"/>
                  <w:vAlign w:val="center"/>
                </w:tcPr>
                <w:p>
                  <w:pPr>
                    <w:pStyle w:val="16"/>
                    <w:adjustRightInd w:val="0"/>
                    <w:snapToGrid w:val="0"/>
                    <w:spacing w:after="0"/>
                    <w:ind w:left="0" w:left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eastAsia="宋体" w:cs="Times New Roman"/>
                      <w:color w:val="auto"/>
                      <w:spacing w:val="-4"/>
                      <w:sz w:val="21"/>
                      <w:szCs w:val="21"/>
                      <w:highlight w:val="none"/>
                      <w:lang w:eastAsia="zh-CN"/>
                    </w:rPr>
                    <w:t>水池沉渣</w:t>
                  </w:r>
                </w:p>
              </w:tc>
              <w:tc>
                <w:tcPr>
                  <w:tcW w:w="1670" w:type="dxa"/>
                  <w:noWrap w:val="0"/>
                  <w:vAlign w:val="center"/>
                </w:tcPr>
                <w:p>
                  <w:pPr>
                    <w:pStyle w:val="16"/>
                    <w:adjustRightInd w:val="0"/>
                    <w:snapToGrid w:val="0"/>
                    <w:spacing w:after="0"/>
                    <w:ind w:left="0" w:left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3" w:hRule="atLeast"/>
                <w:jc w:val="center"/>
              </w:trPr>
              <w:tc>
                <w:tcPr>
                  <w:tcW w:w="1914" w:type="dxa"/>
                  <w:noWrap w:val="0"/>
                  <w:vAlign w:val="center"/>
                </w:tcPr>
                <w:p>
                  <w:pPr>
                    <w:spacing w:line="300" w:lineRule="exact"/>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kern w:val="0"/>
                      <w:szCs w:val="21"/>
                      <w:highlight w:val="none"/>
                      <w:lang w:val="en-US" w:eastAsia="zh-CN"/>
                    </w:rPr>
                    <w:t>KT固化剂</w:t>
                  </w:r>
                </w:p>
              </w:tc>
              <w:tc>
                <w:tcPr>
                  <w:tcW w:w="1242" w:type="dxa"/>
                  <w:noWrap w:val="0"/>
                  <w:vAlign w:val="center"/>
                </w:tcPr>
                <w:p>
                  <w:pPr>
                    <w:spacing w:line="300" w:lineRule="exac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kern w:val="0"/>
                      <w:szCs w:val="21"/>
                      <w:highlight w:val="none"/>
                      <w:lang w:val="en-US" w:eastAsia="zh-CN"/>
                    </w:rPr>
                    <w:t>0.026</w:t>
                  </w:r>
                </w:p>
              </w:tc>
              <w:tc>
                <w:tcPr>
                  <w:tcW w:w="3173" w:type="dxa"/>
                  <w:noWrap w:val="0"/>
                  <w:vAlign w:val="center"/>
                </w:tcPr>
                <w:p>
                  <w:pPr>
                    <w:pStyle w:val="16"/>
                    <w:adjustRightInd w:val="0"/>
                    <w:snapToGrid w:val="0"/>
                    <w:spacing w:after="0"/>
                    <w:ind w:left="0" w:leftChars="0"/>
                    <w:jc w:val="center"/>
                    <w:rPr>
                      <w:rFonts w:hint="default" w:ascii="Times New Roman" w:hAnsi="Times New Roman" w:eastAsia="宋体" w:cs="Times New Roman"/>
                      <w:color w:val="auto"/>
                      <w:spacing w:val="-4"/>
                      <w:sz w:val="21"/>
                      <w:szCs w:val="21"/>
                      <w:highlight w:val="none"/>
                      <w:lang w:val="en-US" w:eastAsia="zh-CN"/>
                    </w:rPr>
                  </w:pPr>
                  <w:r>
                    <w:rPr>
                      <w:rFonts w:hint="eastAsia" w:ascii="Times New Roman" w:hAnsi="Times New Roman" w:cs="Times New Roman"/>
                      <w:color w:val="auto"/>
                      <w:spacing w:val="-4"/>
                      <w:sz w:val="21"/>
                      <w:szCs w:val="21"/>
                      <w:highlight w:val="none"/>
                      <w:lang w:val="en-US" w:eastAsia="zh-CN"/>
                    </w:rPr>
                    <w:t>成膜附着在玻璃上</w:t>
                  </w:r>
                </w:p>
              </w:tc>
              <w:tc>
                <w:tcPr>
                  <w:tcW w:w="1670" w:type="dxa"/>
                  <w:noWrap w:val="0"/>
                  <w:vAlign w:val="center"/>
                </w:tcPr>
                <w:p>
                  <w:pPr>
                    <w:pStyle w:val="16"/>
                    <w:adjustRightInd w:val="0"/>
                    <w:snapToGrid w:val="0"/>
                    <w:spacing w:after="0"/>
                    <w:ind w:left="0" w:left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0.095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3" w:hRule="atLeast"/>
                <w:jc w:val="center"/>
              </w:trPr>
              <w:tc>
                <w:tcPr>
                  <w:tcW w:w="1914" w:type="dxa"/>
                  <w:noWrap w:val="0"/>
                  <w:vAlign w:val="center"/>
                </w:tcPr>
                <w:p>
                  <w:pPr>
                    <w:spacing w:line="300" w:lineRule="exact"/>
                    <w:jc w:val="center"/>
                    <w:rPr>
                      <w:rFonts w:hint="eastAsia" w:ascii="Times New Roman" w:hAnsi="Times New Roman" w:eastAsia="宋体" w:cs="Times New Roman"/>
                      <w:color w:val="auto"/>
                      <w:spacing w:val="-4"/>
                      <w:sz w:val="21"/>
                      <w:szCs w:val="21"/>
                      <w:highlight w:val="none"/>
                      <w:lang w:eastAsia="zh-CN"/>
                    </w:rPr>
                  </w:pPr>
                  <w:r>
                    <w:rPr>
                      <w:rFonts w:hint="eastAsia" w:ascii="Times New Roman" w:hAnsi="Times New Roman" w:cs="Times New Roman"/>
                      <w:color w:val="auto"/>
                      <w:kern w:val="0"/>
                      <w:szCs w:val="21"/>
                      <w:highlight w:val="none"/>
                      <w:lang w:val="en-US" w:eastAsia="zh-CN"/>
                    </w:rPr>
                    <w:t>KT稀释剂</w:t>
                  </w:r>
                </w:p>
              </w:tc>
              <w:tc>
                <w:tcPr>
                  <w:tcW w:w="1242" w:type="dxa"/>
                  <w:noWrap w:val="0"/>
                  <w:vAlign w:val="center"/>
                </w:tcPr>
                <w:p>
                  <w:pPr>
                    <w:spacing w:line="300" w:lineRule="exact"/>
                    <w:jc w:val="center"/>
                    <w:rPr>
                      <w:rFonts w:hint="default" w:ascii="Times New Roman" w:hAnsi="Times New Roman" w:eastAsia="宋体" w:cs="Times New Roman"/>
                      <w:color w:val="auto"/>
                      <w:spacing w:val="-4"/>
                      <w:sz w:val="21"/>
                      <w:szCs w:val="21"/>
                      <w:highlight w:val="none"/>
                      <w:lang w:val="en-US" w:eastAsia="zh-CN"/>
                    </w:rPr>
                  </w:pPr>
                  <w:r>
                    <w:rPr>
                      <w:rFonts w:hint="eastAsia" w:ascii="Times New Roman" w:hAnsi="Times New Roman" w:cs="Times New Roman"/>
                      <w:color w:val="auto"/>
                      <w:kern w:val="0"/>
                      <w:szCs w:val="21"/>
                      <w:highlight w:val="none"/>
                      <w:lang w:val="en-US" w:eastAsia="zh-CN"/>
                    </w:rPr>
                    <w:t>0.038</w:t>
                  </w:r>
                </w:p>
              </w:tc>
              <w:tc>
                <w:tcPr>
                  <w:tcW w:w="3173" w:type="dxa"/>
                  <w:noWrap w:val="0"/>
                  <w:vAlign w:val="center"/>
                </w:tcPr>
                <w:p>
                  <w:pPr>
                    <w:pStyle w:val="16"/>
                    <w:adjustRightInd w:val="0"/>
                    <w:snapToGrid w:val="0"/>
                    <w:spacing w:after="0"/>
                    <w:ind w:left="0" w:left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spacing w:val="-4"/>
                      <w:sz w:val="21"/>
                      <w:szCs w:val="21"/>
                      <w:highlight w:val="none"/>
                      <w:lang w:val="en-US" w:eastAsia="zh-CN"/>
                    </w:rPr>
                    <w:t>VOCs</w:t>
                  </w:r>
                </w:p>
              </w:tc>
              <w:tc>
                <w:tcPr>
                  <w:tcW w:w="1670" w:type="dxa"/>
                  <w:noWrap w:val="0"/>
                  <w:vAlign w:val="center"/>
                </w:tcPr>
                <w:p>
                  <w:pPr>
                    <w:pStyle w:val="16"/>
                    <w:adjustRightInd w:val="0"/>
                    <w:snapToGrid w:val="0"/>
                    <w:spacing w:after="0"/>
                    <w:ind w:left="0" w:left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0.028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1914" w:type="dxa"/>
                  <w:noWrap w:val="0"/>
                  <w:vAlign w:val="center"/>
                </w:tcPr>
                <w:p>
                  <w:pPr>
                    <w:spacing w:line="300" w:lineRule="exact"/>
                    <w:jc w:val="center"/>
                    <w:rPr>
                      <w:rFonts w:hint="default" w:ascii="Times New Roman" w:hAnsi="Times New Roman" w:cs="Times New Roman"/>
                      <w:color w:val="auto"/>
                      <w:kern w:val="0"/>
                      <w:szCs w:val="21"/>
                      <w:highlight w:val="none"/>
                      <w:lang w:val="en-US" w:eastAsia="zh-CN"/>
                    </w:rPr>
                  </w:pPr>
                  <w:r>
                    <w:rPr>
                      <w:rFonts w:hint="eastAsia" w:ascii="Times New Roman" w:hAnsi="Times New Roman" w:cs="Times New Roman"/>
                      <w:color w:val="auto"/>
                      <w:kern w:val="0"/>
                      <w:szCs w:val="21"/>
                      <w:highlight w:val="none"/>
                      <w:lang w:val="en-US" w:eastAsia="zh-CN"/>
                    </w:rPr>
                    <w:t>/</w:t>
                  </w:r>
                </w:p>
              </w:tc>
              <w:tc>
                <w:tcPr>
                  <w:tcW w:w="1242" w:type="dxa"/>
                  <w:noWrap w:val="0"/>
                  <w:vAlign w:val="center"/>
                </w:tcPr>
                <w:p>
                  <w:pPr>
                    <w:spacing w:line="300" w:lineRule="exact"/>
                    <w:jc w:val="center"/>
                    <w:rPr>
                      <w:rFonts w:hint="default" w:ascii="Times New Roman" w:hAnsi="Times New Roman" w:cs="Times New Roman"/>
                      <w:color w:val="auto"/>
                      <w:kern w:val="0"/>
                      <w:szCs w:val="21"/>
                      <w:highlight w:val="none"/>
                      <w:lang w:val="en-US" w:eastAsia="zh-CN"/>
                    </w:rPr>
                  </w:pPr>
                  <w:r>
                    <w:rPr>
                      <w:rFonts w:hint="eastAsia" w:ascii="Times New Roman" w:hAnsi="Times New Roman" w:cs="Times New Roman"/>
                      <w:color w:val="auto"/>
                      <w:kern w:val="0"/>
                      <w:szCs w:val="21"/>
                      <w:highlight w:val="none"/>
                      <w:lang w:val="en-US" w:eastAsia="zh-CN"/>
                    </w:rPr>
                    <w:t>/</w:t>
                  </w:r>
                </w:p>
              </w:tc>
              <w:tc>
                <w:tcPr>
                  <w:tcW w:w="3173" w:type="dxa"/>
                  <w:noWrap w:val="0"/>
                  <w:vAlign w:val="center"/>
                </w:tcPr>
                <w:p>
                  <w:pPr>
                    <w:pStyle w:val="16"/>
                    <w:adjustRightInd w:val="0"/>
                    <w:snapToGrid w:val="0"/>
                    <w:spacing w:after="0"/>
                    <w:ind w:left="0" w:leftChars="0"/>
                    <w:jc w:val="center"/>
                    <w:rPr>
                      <w:rFonts w:hint="eastAsia" w:ascii="Times New Roman" w:hAnsi="Times New Roman" w:cs="Times New Roman"/>
                      <w:color w:val="auto"/>
                      <w:spacing w:val="-4"/>
                      <w:sz w:val="21"/>
                      <w:szCs w:val="21"/>
                      <w:highlight w:val="none"/>
                      <w:lang w:val="en-US" w:eastAsia="zh-CN"/>
                    </w:rPr>
                  </w:pPr>
                  <w:r>
                    <w:rPr>
                      <w:rFonts w:hint="eastAsia" w:ascii="Times New Roman" w:hAnsi="Times New Roman" w:cs="Times New Roman"/>
                      <w:color w:val="auto"/>
                      <w:spacing w:val="-4"/>
                      <w:sz w:val="21"/>
                      <w:szCs w:val="21"/>
                      <w:highlight w:val="none"/>
                      <w:lang w:val="en-US" w:eastAsia="zh-CN"/>
                    </w:rPr>
                    <w:t>漆雾（</w:t>
                  </w:r>
                  <w:r>
                    <w:rPr>
                      <w:rFonts w:hint="eastAsia" w:ascii="Times New Roman" w:hAnsi="Times New Roman" w:cs="Times New Roman"/>
                      <w:color w:val="auto"/>
                      <w:spacing w:val="-4"/>
                      <w:sz w:val="21"/>
                      <w:szCs w:val="21"/>
                      <w:highlight w:val="none"/>
                      <w:lang w:eastAsia="zh-CN"/>
                    </w:rPr>
                    <w:t>颗粒物</w:t>
                  </w:r>
                  <w:r>
                    <w:rPr>
                      <w:rFonts w:hint="eastAsia" w:ascii="Times New Roman" w:hAnsi="Times New Roman" w:cs="Times New Roman"/>
                      <w:color w:val="auto"/>
                      <w:spacing w:val="-4"/>
                      <w:sz w:val="21"/>
                      <w:szCs w:val="21"/>
                      <w:highlight w:val="none"/>
                      <w:lang w:val="en-US" w:eastAsia="zh-CN"/>
                    </w:rPr>
                    <w:t>）</w:t>
                  </w:r>
                </w:p>
              </w:tc>
              <w:tc>
                <w:tcPr>
                  <w:tcW w:w="1670" w:type="dxa"/>
                  <w:noWrap w:val="0"/>
                  <w:vAlign w:val="center"/>
                </w:tcPr>
                <w:p>
                  <w:pPr>
                    <w:pStyle w:val="16"/>
                    <w:adjustRightInd w:val="0"/>
                    <w:snapToGrid w:val="0"/>
                    <w:spacing w:after="0"/>
                    <w:ind w:left="0" w:left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0.017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1914" w:type="dxa"/>
                  <w:noWrap w:val="0"/>
                  <w:vAlign w:val="center"/>
                </w:tcPr>
                <w:p>
                  <w:pPr>
                    <w:pStyle w:val="16"/>
                    <w:adjustRightInd w:val="0"/>
                    <w:snapToGrid w:val="0"/>
                    <w:spacing w:after="0"/>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4"/>
                      <w:sz w:val="21"/>
                      <w:szCs w:val="21"/>
                      <w:highlight w:val="none"/>
                    </w:rPr>
                    <w:t>合计</w:t>
                  </w:r>
                </w:p>
              </w:tc>
              <w:tc>
                <w:tcPr>
                  <w:tcW w:w="1242" w:type="dxa"/>
                  <w:noWrap w:val="0"/>
                  <w:vAlign w:val="center"/>
                </w:tcPr>
                <w:p>
                  <w:pPr>
                    <w:pStyle w:val="16"/>
                    <w:adjustRightInd w:val="0"/>
                    <w:snapToGrid w:val="0"/>
                    <w:spacing w:after="0"/>
                    <w:ind w:left="0" w:lef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2135.14</w:t>
                  </w:r>
                </w:p>
              </w:tc>
              <w:tc>
                <w:tcPr>
                  <w:tcW w:w="3173" w:type="dxa"/>
                  <w:noWrap w:val="0"/>
                  <w:vAlign w:val="center"/>
                </w:tcPr>
                <w:p>
                  <w:pPr>
                    <w:pStyle w:val="16"/>
                    <w:adjustRightInd w:val="0"/>
                    <w:snapToGrid w:val="0"/>
                    <w:spacing w:after="0"/>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4"/>
                      <w:sz w:val="21"/>
                      <w:szCs w:val="21"/>
                      <w:highlight w:val="none"/>
                    </w:rPr>
                    <w:t>合计</w:t>
                  </w:r>
                </w:p>
              </w:tc>
              <w:tc>
                <w:tcPr>
                  <w:tcW w:w="1670" w:type="dxa"/>
                  <w:noWrap w:val="0"/>
                  <w:vAlign w:val="center"/>
                </w:tcPr>
                <w:p>
                  <w:pPr>
                    <w:pStyle w:val="16"/>
                    <w:adjustRightInd w:val="0"/>
                    <w:snapToGrid w:val="0"/>
                    <w:spacing w:after="0"/>
                    <w:ind w:left="0" w:lef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2135.14</w:t>
                  </w:r>
                </w:p>
              </w:tc>
            </w:tr>
          </w:tbl>
          <w:p>
            <w:pPr>
              <w:keepNext w:val="0"/>
              <w:keepLines w:val="0"/>
              <w:pageBreakBefore w:val="0"/>
              <w:widowControl w:val="0"/>
              <w:kinsoku/>
              <w:wordWrap/>
              <w:overflowPunct/>
              <w:topLinePunct w:val="0"/>
              <w:autoSpaceDE w:val="0"/>
              <w:autoSpaceDN w:val="0"/>
              <w:bidi w:val="0"/>
              <w:adjustRightInd w:val="0"/>
              <w:snapToGrid w:val="0"/>
              <w:spacing w:line="360" w:lineRule="auto"/>
              <w:ind w:firstLine="442" w:firstLineChars="200"/>
              <w:jc w:val="left"/>
              <w:textAlignment w:val="auto"/>
              <w:outlineLvl w:val="9"/>
              <w:rPr>
                <w:rFonts w:hint="eastAsia" w:ascii="Times New Roman" w:hAnsi="Times New Roman" w:cs="Times New Roman"/>
                <w:b/>
                <w:bCs w:val="0"/>
                <w:color w:val="auto"/>
                <w:sz w:val="22"/>
                <w:szCs w:val="22"/>
                <w:highlight w:val="none"/>
                <w:lang w:val="en-US" w:eastAsia="zh-CN"/>
              </w:rPr>
            </w:pPr>
            <w:r>
              <w:rPr>
                <w:rFonts w:hint="eastAsia" w:ascii="Times New Roman" w:hAnsi="Times New Roman" w:cs="Times New Roman"/>
                <w:b/>
                <w:bCs w:val="0"/>
                <w:color w:val="auto"/>
                <w:sz w:val="22"/>
                <w:szCs w:val="22"/>
                <w:highlight w:val="none"/>
                <w:lang w:val="en-US" w:eastAsia="zh-CN"/>
              </w:rPr>
              <w:t>4、公用工程</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42" w:firstLineChars="200"/>
              <w:jc w:val="left"/>
              <w:textAlignment w:val="auto"/>
              <w:outlineLvl w:val="9"/>
              <w:rPr>
                <w:rFonts w:hint="eastAsia" w:ascii="Times New Roman" w:hAnsi="Times New Roman" w:cs="Times New Roman"/>
                <w:b/>
                <w:bCs w:val="0"/>
                <w:color w:val="auto"/>
                <w:sz w:val="22"/>
                <w:szCs w:val="22"/>
                <w:highlight w:val="none"/>
                <w:lang w:val="en-US" w:eastAsia="zh-CN"/>
              </w:rPr>
            </w:pPr>
            <w:r>
              <w:rPr>
                <w:rFonts w:hint="eastAsia" w:ascii="Times New Roman" w:hAnsi="Times New Roman" w:cs="Times New Roman"/>
                <w:b/>
                <w:bCs w:val="0"/>
                <w:color w:val="auto"/>
                <w:sz w:val="22"/>
                <w:szCs w:val="22"/>
                <w:highlight w:val="none"/>
                <w:lang w:val="en-US" w:eastAsia="zh-CN"/>
              </w:rPr>
              <w:t>4.1 给排水</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40" w:firstLineChars="200"/>
              <w:jc w:val="left"/>
              <w:textAlignment w:val="auto"/>
              <w:outlineLvl w:val="9"/>
              <w:rPr>
                <w:rFonts w:hint="eastAsia" w:ascii="Times New Roman" w:hAnsi="Times New Roman" w:cs="Times New Roman"/>
                <w:bCs/>
                <w:color w:val="auto"/>
                <w:sz w:val="22"/>
                <w:szCs w:val="22"/>
                <w:highlight w:val="none"/>
                <w:lang w:val="en-US" w:eastAsia="zh-CN"/>
              </w:rPr>
            </w:pPr>
            <w:r>
              <w:rPr>
                <w:rFonts w:hint="default" w:ascii="Times New Roman" w:hAnsi="Times New Roman" w:cs="Times New Roman"/>
                <w:bCs/>
                <w:color w:val="auto"/>
                <w:sz w:val="22"/>
                <w:szCs w:val="22"/>
                <w:highlight w:val="none"/>
                <w:lang w:val="en-US" w:eastAsia="zh-CN"/>
              </w:rPr>
              <w:t>项目由</w:t>
            </w:r>
            <w:r>
              <w:rPr>
                <w:rFonts w:hint="eastAsia" w:ascii="Times New Roman" w:hAnsi="Times New Roman" w:cs="Times New Roman"/>
                <w:bCs/>
                <w:color w:val="auto"/>
                <w:sz w:val="22"/>
                <w:szCs w:val="22"/>
                <w:highlight w:val="none"/>
                <w:lang w:val="en-US" w:eastAsia="zh-CN"/>
              </w:rPr>
              <w:t>园区</w:t>
            </w:r>
            <w:r>
              <w:rPr>
                <w:rFonts w:hint="default" w:ascii="Times New Roman" w:hAnsi="Times New Roman" w:cs="Times New Roman"/>
                <w:bCs/>
                <w:color w:val="auto"/>
                <w:sz w:val="22"/>
                <w:szCs w:val="22"/>
                <w:highlight w:val="none"/>
                <w:lang w:val="en-US" w:eastAsia="zh-CN"/>
              </w:rPr>
              <w:t>供水，</w:t>
            </w:r>
            <w:r>
              <w:rPr>
                <w:rFonts w:hint="eastAsia" w:ascii="Times New Roman" w:hAnsi="Times New Roman" w:cs="Times New Roman"/>
                <w:bCs/>
                <w:color w:val="auto"/>
                <w:sz w:val="22"/>
                <w:szCs w:val="22"/>
                <w:highlight w:val="none"/>
                <w:lang w:val="en-US" w:eastAsia="zh-CN"/>
              </w:rPr>
              <w:t>经</w:t>
            </w:r>
            <w:r>
              <w:rPr>
                <w:rFonts w:hint="default" w:ascii="Times New Roman" w:hAnsi="Times New Roman" w:cs="Times New Roman"/>
                <w:bCs/>
                <w:color w:val="auto"/>
                <w:sz w:val="22"/>
                <w:szCs w:val="22"/>
                <w:highlight w:val="none"/>
                <w:lang w:val="en-US" w:eastAsia="zh-CN"/>
              </w:rPr>
              <w:t>供水管网接入进水管</w:t>
            </w:r>
            <w:r>
              <w:rPr>
                <w:rFonts w:hint="eastAsia" w:ascii="Times New Roman" w:hAnsi="Times New Roman" w:cs="Times New Roman"/>
                <w:bCs/>
                <w:color w:val="auto"/>
                <w:sz w:val="22"/>
                <w:szCs w:val="22"/>
                <w:highlight w:val="none"/>
                <w:lang w:val="en-US" w:eastAsia="zh-CN"/>
              </w:rPr>
              <w:t>，年工作时间300天，每天8小时。本项目用水主要为生活用水、磨边用水、清洗水、冷却用水和水帘柜用水。</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42" w:firstLineChars="200"/>
              <w:jc w:val="left"/>
              <w:textAlignment w:val="auto"/>
              <w:outlineLvl w:val="9"/>
              <w:rPr>
                <w:rFonts w:hint="eastAsia" w:ascii="Times New Roman" w:hAnsi="Times New Roman" w:cs="Times New Roman"/>
                <w:b/>
                <w:bCs w:val="0"/>
                <w:color w:val="auto"/>
                <w:sz w:val="22"/>
                <w:szCs w:val="22"/>
                <w:highlight w:val="none"/>
                <w:lang w:val="en-US" w:eastAsia="zh-CN"/>
              </w:rPr>
            </w:pPr>
            <w:r>
              <w:rPr>
                <w:rFonts w:hint="eastAsia" w:ascii="Times New Roman" w:hAnsi="Times New Roman" w:cs="Times New Roman"/>
                <w:b/>
                <w:bCs w:val="0"/>
                <w:color w:val="auto"/>
                <w:sz w:val="22"/>
                <w:szCs w:val="22"/>
                <w:highlight w:val="none"/>
                <w:lang w:val="en-US" w:eastAsia="zh-CN"/>
              </w:rPr>
              <w:t>（1）生活用水</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40" w:firstLineChars="200"/>
              <w:jc w:val="left"/>
              <w:textAlignment w:val="auto"/>
              <w:outlineLvl w:val="9"/>
              <w:rPr>
                <w:rFonts w:hint="eastAsia" w:ascii="Times New Roman" w:hAnsi="Times New Roman" w:cs="Times New Roman"/>
                <w:b/>
                <w:bCs w:val="0"/>
                <w:color w:val="auto"/>
                <w:sz w:val="22"/>
                <w:szCs w:val="22"/>
                <w:highlight w:val="none"/>
                <w:lang w:val="en-US" w:eastAsia="zh-CN"/>
              </w:rPr>
            </w:pPr>
            <w:r>
              <w:rPr>
                <w:rFonts w:hint="default" w:ascii="Times New Roman" w:hAnsi="Times New Roman" w:cs="Times New Roman"/>
                <w:bCs/>
                <w:color w:val="auto"/>
                <w:sz w:val="22"/>
                <w:szCs w:val="22"/>
                <w:highlight w:val="none"/>
              </w:rPr>
              <w:t>项目定员</w:t>
            </w:r>
            <w:r>
              <w:rPr>
                <w:rFonts w:hint="eastAsia" w:ascii="Times New Roman" w:hAnsi="Times New Roman" w:cs="Times New Roman"/>
                <w:bCs/>
                <w:color w:val="auto"/>
                <w:sz w:val="22"/>
                <w:szCs w:val="22"/>
                <w:highlight w:val="none"/>
                <w:lang w:val="en-US" w:eastAsia="zh-CN"/>
              </w:rPr>
              <w:t>30</w:t>
            </w:r>
            <w:r>
              <w:rPr>
                <w:rFonts w:hint="default" w:ascii="Times New Roman" w:hAnsi="Times New Roman" w:cs="Times New Roman"/>
                <w:bCs/>
                <w:color w:val="auto"/>
                <w:sz w:val="22"/>
                <w:szCs w:val="22"/>
                <w:highlight w:val="none"/>
              </w:rPr>
              <w:t>人，</w:t>
            </w:r>
            <w:r>
              <w:rPr>
                <w:rFonts w:hint="eastAsia" w:ascii="Times New Roman" w:hAnsi="Times New Roman" w:cs="Times New Roman"/>
                <w:bCs/>
                <w:color w:val="auto"/>
                <w:sz w:val="22"/>
                <w:szCs w:val="22"/>
                <w:highlight w:val="none"/>
                <w:lang w:eastAsia="zh-CN"/>
              </w:rPr>
              <w:t>厂内提供食宿</w:t>
            </w:r>
            <w:r>
              <w:rPr>
                <w:rFonts w:hint="default" w:ascii="Times New Roman" w:hAnsi="Times New Roman" w:cs="Times New Roman"/>
                <w:bCs/>
                <w:color w:val="auto"/>
                <w:sz w:val="22"/>
                <w:szCs w:val="22"/>
                <w:highlight w:val="none"/>
              </w:rPr>
              <w:t>，</w:t>
            </w:r>
            <w:r>
              <w:rPr>
                <w:rFonts w:hint="eastAsia" w:ascii="Times New Roman" w:hAnsi="Times New Roman" w:cs="Times New Roman"/>
                <w:bCs/>
                <w:color w:val="auto"/>
                <w:sz w:val="22"/>
                <w:szCs w:val="22"/>
                <w:highlight w:val="none"/>
                <w:lang w:val="en-US" w:eastAsia="zh-CN"/>
              </w:rPr>
              <w:t>根据《四川省用水定额》（川府函[2021]8号），</w:t>
            </w:r>
            <w:r>
              <w:rPr>
                <w:rFonts w:hint="default" w:ascii="Times New Roman" w:hAnsi="Times New Roman" w:cs="Times New Roman"/>
                <w:bCs/>
                <w:color w:val="auto"/>
                <w:sz w:val="22"/>
                <w:szCs w:val="22"/>
                <w:highlight w:val="none"/>
              </w:rPr>
              <w:t>人均用水量以</w:t>
            </w:r>
            <w:r>
              <w:rPr>
                <w:rFonts w:hint="eastAsia" w:ascii="Times New Roman" w:hAnsi="Times New Roman" w:cs="Times New Roman"/>
                <w:bCs/>
                <w:color w:val="auto"/>
                <w:sz w:val="22"/>
                <w:szCs w:val="22"/>
                <w:highlight w:val="none"/>
                <w:lang w:val="en-US" w:eastAsia="zh-CN"/>
              </w:rPr>
              <w:t>160</w:t>
            </w:r>
            <w:r>
              <w:rPr>
                <w:rFonts w:hint="default" w:ascii="Times New Roman" w:hAnsi="Times New Roman" w:cs="Times New Roman"/>
                <w:bCs/>
                <w:color w:val="auto"/>
                <w:sz w:val="22"/>
                <w:szCs w:val="22"/>
                <w:highlight w:val="none"/>
              </w:rPr>
              <w:t>L/d计算，</w:t>
            </w:r>
            <w:r>
              <w:rPr>
                <w:rFonts w:hint="eastAsia" w:ascii="Times New Roman" w:hAnsi="Times New Roman" w:cs="Times New Roman"/>
                <w:bCs/>
                <w:color w:val="auto"/>
                <w:sz w:val="22"/>
                <w:szCs w:val="22"/>
                <w:highlight w:val="none"/>
                <w:lang w:val="en-US" w:eastAsia="zh-CN"/>
              </w:rPr>
              <w:t>则职工生活用水量为4.8m</w:t>
            </w:r>
            <w:r>
              <w:rPr>
                <w:rFonts w:hint="eastAsia" w:ascii="Times New Roman" w:hAnsi="Times New Roman" w:cs="Times New Roman"/>
                <w:bCs/>
                <w:color w:val="auto"/>
                <w:sz w:val="22"/>
                <w:szCs w:val="22"/>
                <w:highlight w:val="none"/>
                <w:vertAlign w:val="superscript"/>
                <w:lang w:val="en-US" w:eastAsia="zh-CN"/>
              </w:rPr>
              <w:t>3</w:t>
            </w:r>
            <w:r>
              <w:rPr>
                <w:rFonts w:hint="eastAsia" w:ascii="Times New Roman" w:hAnsi="Times New Roman" w:cs="Times New Roman"/>
                <w:bCs/>
                <w:color w:val="auto"/>
                <w:sz w:val="22"/>
                <w:szCs w:val="22"/>
                <w:highlight w:val="none"/>
                <w:lang w:val="en-US" w:eastAsia="zh-CN"/>
              </w:rPr>
              <w:t>/d，1440m</w:t>
            </w:r>
            <w:r>
              <w:rPr>
                <w:rFonts w:hint="eastAsia" w:ascii="Times New Roman" w:hAnsi="Times New Roman" w:cs="Times New Roman"/>
                <w:bCs/>
                <w:color w:val="auto"/>
                <w:sz w:val="22"/>
                <w:szCs w:val="22"/>
                <w:highlight w:val="none"/>
                <w:vertAlign w:val="superscript"/>
                <w:lang w:val="en-US" w:eastAsia="zh-CN"/>
              </w:rPr>
              <w:t>3</w:t>
            </w:r>
            <w:r>
              <w:rPr>
                <w:rFonts w:hint="eastAsia" w:ascii="Times New Roman" w:hAnsi="Times New Roman" w:cs="Times New Roman"/>
                <w:bCs/>
                <w:color w:val="auto"/>
                <w:sz w:val="22"/>
                <w:szCs w:val="22"/>
                <w:highlight w:val="none"/>
                <w:lang w:val="en-US" w:eastAsia="zh-CN"/>
              </w:rPr>
              <w:t>/a。排污系数以0.85计，则生活污水产生量为4.08m</w:t>
            </w:r>
            <w:r>
              <w:rPr>
                <w:rFonts w:hint="eastAsia" w:ascii="Times New Roman" w:hAnsi="Times New Roman" w:cs="Times New Roman"/>
                <w:bCs/>
                <w:color w:val="auto"/>
                <w:sz w:val="22"/>
                <w:szCs w:val="22"/>
                <w:highlight w:val="none"/>
                <w:vertAlign w:val="superscript"/>
                <w:lang w:val="en-US" w:eastAsia="zh-CN"/>
              </w:rPr>
              <w:t>3</w:t>
            </w:r>
            <w:r>
              <w:rPr>
                <w:rFonts w:hint="eastAsia" w:ascii="Times New Roman" w:hAnsi="Times New Roman" w:cs="Times New Roman"/>
                <w:bCs/>
                <w:color w:val="auto"/>
                <w:sz w:val="22"/>
                <w:szCs w:val="22"/>
                <w:highlight w:val="none"/>
                <w:lang w:val="en-US" w:eastAsia="zh-CN"/>
              </w:rPr>
              <w:t>/d，1224m</w:t>
            </w:r>
            <w:r>
              <w:rPr>
                <w:rFonts w:hint="eastAsia" w:ascii="Times New Roman" w:hAnsi="Times New Roman" w:cs="Times New Roman"/>
                <w:bCs/>
                <w:color w:val="auto"/>
                <w:sz w:val="22"/>
                <w:szCs w:val="22"/>
                <w:highlight w:val="none"/>
                <w:vertAlign w:val="superscript"/>
                <w:lang w:val="en-US" w:eastAsia="zh-CN"/>
              </w:rPr>
              <w:t>3</w:t>
            </w:r>
            <w:r>
              <w:rPr>
                <w:rFonts w:hint="eastAsia" w:ascii="Times New Roman" w:hAnsi="Times New Roman" w:cs="Times New Roman"/>
                <w:bCs/>
                <w:color w:val="auto"/>
                <w:sz w:val="22"/>
                <w:szCs w:val="22"/>
                <w:highlight w:val="none"/>
                <w:lang w:val="en-US" w:eastAsia="zh-CN"/>
              </w:rPr>
              <w:t>/a。</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42" w:firstLineChars="200"/>
              <w:jc w:val="left"/>
              <w:textAlignment w:val="auto"/>
              <w:outlineLvl w:val="9"/>
              <w:rPr>
                <w:rFonts w:hint="eastAsia" w:ascii="Times New Roman" w:hAnsi="Times New Roman" w:cs="Times New Roman"/>
                <w:b/>
                <w:bCs w:val="0"/>
                <w:color w:val="auto"/>
                <w:sz w:val="22"/>
                <w:szCs w:val="22"/>
                <w:highlight w:val="none"/>
                <w:lang w:val="en-US" w:eastAsia="zh-CN"/>
              </w:rPr>
            </w:pPr>
            <w:r>
              <w:rPr>
                <w:rFonts w:hint="eastAsia" w:ascii="Times New Roman" w:hAnsi="Times New Roman" w:cs="Times New Roman"/>
                <w:b/>
                <w:bCs w:val="0"/>
                <w:color w:val="auto"/>
                <w:sz w:val="22"/>
                <w:szCs w:val="22"/>
                <w:highlight w:val="none"/>
                <w:lang w:val="en-US" w:eastAsia="zh-CN"/>
              </w:rPr>
              <w:t>（2）磨边用水</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40" w:firstLineChars="200"/>
              <w:jc w:val="left"/>
              <w:textAlignment w:val="auto"/>
              <w:outlineLvl w:val="9"/>
              <w:rPr>
                <w:rFonts w:hint="eastAsia" w:ascii="Times New Roman" w:hAnsi="Times New Roman" w:cs="Times New Roman"/>
                <w:bCs/>
                <w:color w:val="auto"/>
                <w:sz w:val="22"/>
                <w:szCs w:val="22"/>
                <w:highlight w:val="none"/>
                <w:lang w:val="en-US" w:eastAsia="zh-CN"/>
              </w:rPr>
            </w:pPr>
            <w:r>
              <w:rPr>
                <w:rFonts w:hint="eastAsia" w:ascii="Times New Roman" w:hAnsi="Times New Roman" w:cs="Times New Roman"/>
                <w:bCs/>
                <w:color w:val="auto"/>
                <w:sz w:val="22"/>
                <w:szCs w:val="22"/>
                <w:highlight w:val="none"/>
                <w:lang w:val="en-US" w:eastAsia="zh-CN"/>
              </w:rPr>
              <w:t>玻璃在磨边时局部过热，因此需用水冲洗砂轮和玻璃接触部位，磨边时产生的玻璃粉末会被水带走，进入循环水池，以免产生玻璃粉尘。磨边冲洗废水主要污染物为SS，该废水经循环水池沉淀后全部循环使用，不外排，定期清理沉积物，补充新鲜水。根据业主提供资料，项目磨边工序用水约10.0m</w:t>
            </w:r>
            <w:r>
              <w:rPr>
                <w:rFonts w:hint="eastAsia" w:ascii="Times New Roman" w:hAnsi="Times New Roman" w:cs="Times New Roman"/>
                <w:bCs/>
                <w:color w:val="auto"/>
                <w:sz w:val="22"/>
                <w:szCs w:val="22"/>
                <w:highlight w:val="none"/>
                <w:vertAlign w:val="superscript"/>
                <w:lang w:val="en-US" w:eastAsia="zh-CN"/>
              </w:rPr>
              <w:t>3</w:t>
            </w:r>
            <w:r>
              <w:rPr>
                <w:rFonts w:hint="eastAsia" w:ascii="Times New Roman" w:hAnsi="Times New Roman" w:cs="Times New Roman"/>
                <w:bCs/>
                <w:color w:val="auto"/>
                <w:sz w:val="22"/>
                <w:szCs w:val="22"/>
                <w:highlight w:val="none"/>
                <w:lang w:val="en-US" w:eastAsia="zh-CN"/>
              </w:rPr>
              <w:t>/d，损耗率按5%计，则需补充新鲜用水为0.5m</w:t>
            </w:r>
            <w:r>
              <w:rPr>
                <w:rFonts w:hint="eastAsia" w:ascii="Times New Roman" w:hAnsi="Times New Roman" w:cs="Times New Roman"/>
                <w:bCs/>
                <w:color w:val="auto"/>
                <w:sz w:val="22"/>
                <w:szCs w:val="22"/>
                <w:highlight w:val="none"/>
                <w:vertAlign w:val="superscript"/>
                <w:lang w:val="en-US" w:eastAsia="zh-CN"/>
              </w:rPr>
              <w:t>3</w:t>
            </w:r>
            <w:r>
              <w:rPr>
                <w:rFonts w:hint="eastAsia" w:ascii="Times New Roman" w:hAnsi="Times New Roman" w:cs="Times New Roman"/>
                <w:bCs/>
                <w:color w:val="auto"/>
                <w:sz w:val="22"/>
                <w:szCs w:val="22"/>
                <w:highlight w:val="none"/>
                <w:lang w:val="en-US" w:eastAsia="zh-CN"/>
              </w:rPr>
              <w:t>/d，150m</w:t>
            </w:r>
            <w:r>
              <w:rPr>
                <w:rFonts w:hint="eastAsia" w:ascii="Times New Roman" w:hAnsi="Times New Roman" w:cs="Times New Roman"/>
                <w:bCs/>
                <w:color w:val="auto"/>
                <w:sz w:val="22"/>
                <w:szCs w:val="22"/>
                <w:highlight w:val="none"/>
                <w:vertAlign w:val="superscript"/>
                <w:lang w:val="en-US" w:eastAsia="zh-CN"/>
              </w:rPr>
              <w:t>3</w:t>
            </w:r>
            <w:r>
              <w:rPr>
                <w:rFonts w:hint="eastAsia" w:ascii="Times New Roman" w:hAnsi="Times New Roman" w:cs="Times New Roman"/>
                <w:bCs/>
                <w:color w:val="auto"/>
                <w:sz w:val="22"/>
                <w:szCs w:val="22"/>
                <w:highlight w:val="none"/>
                <w:lang w:val="en-US" w:eastAsia="zh-CN"/>
              </w:rPr>
              <w:t>/a。</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42" w:firstLineChars="200"/>
              <w:jc w:val="left"/>
              <w:textAlignment w:val="auto"/>
              <w:outlineLvl w:val="9"/>
              <w:rPr>
                <w:rFonts w:hint="default" w:ascii="Times New Roman" w:hAnsi="Times New Roman" w:cs="Times New Roman"/>
                <w:b/>
                <w:bCs w:val="0"/>
                <w:color w:val="auto"/>
                <w:sz w:val="22"/>
                <w:szCs w:val="22"/>
                <w:highlight w:val="none"/>
                <w:lang w:val="en-US" w:eastAsia="zh-CN"/>
              </w:rPr>
            </w:pPr>
            <w:r>
              <w:rPr>
                <w:rFonts w:hint="eastAsia" w:ascii="Times New Roman" w:hAnsi="Times New Roman" w:cs="Times New Roman"/>
                <w:b/>
                <w:bCs w:val="0"/>
                <w:color w:val="auto"/>
                <w:sz w:val="22"/>
                <w:szCs w:val="22"/>
                <w:highlight w:val="none"/>
                <w:lang w:val="en-US" w:eastAsia="zh-CN"/>
              </w:rPr>
              <w:t>（3）清洗用水</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40" w:firstLineChars="200"/>
              <w:jc w:val="left"/>
              <w:textAlignment w:val="auto"/>
              <w:outlineLvl w:val="9"/>
              <w:rPr>
                <w:rFonts w:hint="default" w:ascii="Times New Roman" w:hAnsi="Times New Roman" w:cs="Times New Roman"/>
                <w:b w:val="0"/>
                <w:bCs/>
                <w:color w:val="auto"/>
                <w:sz w:val="22"/>
                <w:szCs w:val="22"/>
                <w:highlight w:val="none"/>
                <w:lang w:val="en-US" w:eastAsia="zh-CN"/>
              </w:rPr>
            </w:pPr>
            <w:r>
              <w:rPr>
                <w:rFonts w:hint="eastAsia" w:ascii="Times New Roman" w:hAnsi="Times New Roman" w:cs="Times New Roman"/>
                <w:b w:val="0"/>
                <w:bCs/>
                <w:color w:val="auto"/>
                <w:sz w:val="22"/>
                <w:szCs w:val="22"/>
                <w:highlight w:val="none"/>
                <w:lang w:val="en-US" w:eastAsia="zh-CN"/>
              </w:rPr>
              <w:t>玻璃在加热粘合前，需对玻璃表面进行清洗，以洗去玻璃表面的灰层等杂质，清洗水进入循环水池沉淀后循环使用</w:t>
            </w:r>
            <w:r>
              <w:rPr>
                <w:rFonts w:hint="eastAsia" w:ascii="Times New Roman" w:hAnsi="Times New Roman" w:cs="Times New Roman"/>
                <w:bCs/>
                <w:color w:val="auto"/>
                <w:sz w:val="22"/>
                <w:szCs w:val="22"/>
                <w:highlight w:val="none"/>
                <w:lang w:val="en-US" w:eastAsia="zh-CN"/>
              </w:rPr>
              <w:t>，不外排，定期清理沉积物，补充新鲜水。根据业主提供资料，项目磨边工序用水约20m</w:t>
            </w:r>
            <w:r>
              <w:rPr>
                <w:rFonts w:hint="eastAsia" w:ascii="Times New Roman" w:hAnsi="Times New Roman" w:cs="Times New Roman"/>
                <w:bCs/>
                <w:color w:val="auto"/>
                <w:sz w:val="22"/>
                <w:szCs w:val="22"/>
                <w:highlight w:val="none"/>
                <w:vertAlign w:val="superscript"/>
                <w:lang w:val="en-US" w:eastAsia="zh-CN"/>
              </w:rPr>
              <w:t>3</w:t>
            </w:r>
            <w:r>
              <w:rPr>
                <w:rFonts w:hint="eastAsia" w:ascii="Times New Roman" w:hAnsi="Times New Roman" w:cs="Times New Roman"/>
                <w:bCs/>
                <w:color w:val="auto"/>
                <w:sz w:val="22"/>
                <w:szCs w:val="22"/>
                <w:highlight w:val="none"/>
                <w:lang w:val="en-US" w:eastAsia="zh-CN"/>
              </w:rPr>
              <w:t>/d，损耗率按5%计，则需补充新鲜用水为1m</w:t>
            </w:r>
            <w:r>
              <w:rPr>
                <w:rFonts w:hint="eastAsia" w:ascii="Times New Roman" w:hAnsi="Times New Roman" w:cs="Times New Roman"/>
                <w:bCs/>
                <w:color w:val="auto"/>
                <w:sz w:val="22"/>
                <w:szCs w:val="22"/>
                <w:highlight w:val="none"/>
                <w:vertAlign w:val="superscript"/>
                <w:lang w:val="en-US" w:eastAsia="zh-CN"/>
              </w:rPr>
              <w:t>3</w:t>
            </w:r>
            <w:r>
              <w:rPr>
                <w:rFonts w:hint="eastAsia" w:ascii="Times New Roman" w:hAnsi="Times New Roman" w:cs="Times New Roman"/>
                <w:bCs/>
                <w:color w:val="auto"/>
                <w:sz w:val="22"/>
                <w:szCs w:val="22"/>
                <w:highlight w:val="none"/>
                <w:lang w:val="en-US" w:eastAsia="zh-CN"/>
              </w:rPr>
              <w:t>/d，300m</w:t>
            </w:r>
            <w:r>
              <w:rPr>
                <w:rFonts w:hint="eastAsia" w:ascii="Times New Roman" w:hAnsi="Times New Roman" w:cs="Times New Roman"/>
                <w:bCs/>
                <w:color w:val="auto"/>
                <w:sz w:val="22"/>
                <w:szCs w:val="22"/>
                <w:highlight w:val="none"/>
                <w:vertAlign w:val="superscript"/>
                <w:lang w:val="en-US" w:eastAsia="zh-CN"/>
              </w:rPr>
              <w:t>3</w:t>
            </w:r>
            <w:r>
              <w:rPr>
                <w:rFonts w:hint="eastAsia" w:ascii="Times New Roman" w:hAnsi="Times New Roman" w:cs="Times New Roman"/>
                <w:bCs/>
                <w:color w:val="auto"/>
                <w:sz w:val="22"/>
                <w:szCs w:val="22"/>
                <w:highlight w:val="none"/>
                <w:lang w:val="en-US" w:eastAsia="zh-CN"/>
              </w:rPr>
              <w:t>/a。</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42" w:firstLineChars="200"/>
              <w:jc w:val="left"/>
              <w:textAlignment w:val="auto"/>
              <w:outlineLvl w:val="9"/>
              <w:rPr>
                <w:rFonts w:hint="default" w:ascii="Times New Roman" w:hAnsi="Times New Roman" w:cs="Times New Roman"/>
                <w:b/>
                <w:bCs w:val="0"/>
                <w:color w:val="auto"/>
                <w:sz w:val="22"/>
                <w:szCs w:val="22"/>
                <w:highlight w:val="none"/>
                <w:lang w:val="en-US" w:eastAsia="zh-CN"/>
              </w:rPr>
            </w:pPr>
            <w:r>
              <w:rPr>
                <w:rFonts w:hint="eastAsia" w:ascii="Times New Roman" w:hAnsi="Times New Roman" w:cs="Times New Roman"/>
                <w:b/>
                <w:bCs w:val="0"/>
                <w:color w:val="auto"/>
                <w:sz w:val="22"/>
                <w:szCs w:val="22"/>
                <w:highlight w:val="none"/>
                <w:lang w:val="en-US" w:eastAsia="zh-CN"/>
              </w:rPr>
              <w:t>（4）冷却用水</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40" w:firstLineChars="200"/>
              <w:jc w:val="left"/>
              <w:textAlignment w:val="auto"/>
              <w:outlineLvl w:val="9"/>
              <w:rPr>
                <w:rFonts w:hint="default" w:ascii="Times New Roman" w:hAnsi="Times New Roman" w:cs="Times New Roman"/>
                <w:b w:val="0"/>
                <w:bCs/>
                <w:color w:val="auto"/>
                <w:sz w:val="22"/>
                <w:szCs w:val="22"/>
                <w:highlight w:val="none"/>
                <w:lang w:val="en-US" w:eastAsia="zh-CN"/>
              </w:rPr>
            </w:pPr>
            <w:r>
              <w:rPr>
                <w:rFonts w:hint="eastAsia" w:ascii="Times New Roman" w:hAnsi="Times New Roman" w:cs="Times New Roman"/>
                <w:bCs/>
                <w:color w:val="auto"/>
                <w:sz w:val="22"/>
                <w:szCs w:val="22"/>
                <w:highlight w:val="none"/>
                <w:lang w:val="en-US" w:eastAsia="zh-CN"/>
              </w:rPr>
              <w:t>本项目PVB夹层玻璃在经过高压釜加温后，需要用水通过管道间接冷却。冷却水回流至冷却水池（20m</w:t>
            </w:r>
            <w:r>
              <w:rPr>
                <w:rFonts w:hint="eastAsia" w:ascii="Times New Roman" w:hAnsi="Times New Roman" w:cs="Times New Roman"/>
                <w:bCs/>
                <w:color w:val="auto"/>
                <w:sz w:val="22"/>
                <w:szCs w:val="22"/>
                <w:highlight w:val="none"/>
                <w:vertAlign w:val="superscript"/>
                <w:lang w:val="en-US" w:eastAsia="zh-CN"/>
              </w:rPr>
              <w:t>3</w:t>
            </w:r>
            <w:r>
              <w:rPr>
                <w:rFonts w:hint="eastAsia" w:ascii="Times New Roman" w:hAnsi="Times New Roman" w:cs="Times New Roman"/>
                <w:bCs/>
                <w:color w:val="auto"/>
                <w:sz w:val="22"/>
                <w:szCs w:val="22"/>
                <w:highlight w:val="none"/>
                <w:lang w:val="en-US" w:eastAsia="zh-CN"/>
              </w:rPr>
              <w:t>），循环使用，不外排。冷却用水约10m</w:t>
            </w:r>
            <w:r>
              <w:rPr>
                <w:rFonts w:hint="eastAsia" w:ascii="Times New Roman" w:hAnsi="Times New Roman" w:cs="Times New Roman"/>
                <w:bCs/>
                <w:color w:val="auto"/>
                <w:sz w:val="22"/>
                <w:szCs w:val="22"/>
                <w:highlight w:val="none"/>
                <w:vertAlign w:val="superscript"/>
                <w:lang w:val="en-US" w:eastAsia="zh-CN"/>
              </w:rPr>
              <w:t>3</w:t>
            </w:r>
            <w:r>
              <w:rPr>
                <w:rFonts w:hint="eastAsia" w:ascii="Times New Roman" w:hAnsi="Times New Roman" w:cs="Times New Roman"/>
                <w:bCs/>
                <w:color w:val="auto"/>
                <w:sz w:val="22"/>
                <w:szCs w:val="22"/>
                <w:highlight w:val="none"/>
                <w:lang w:val="en-US" w:eastAsia="zh-CN"/>
              </w:rPr>
              <w:t>/d，定期补充用水量，损耗率按5%计，则需补充新鲜用水为0.5m</w:t>
            </w:r>
            <w:r>
              <w:rPr>
                <w:rFonts w:hint="eastAsia" w:ascii="Times New Roman" w:hAnsi="Times New Roman" w:cs="Times New Roman"/>
                <w:bCs/>
                <w:color w:val="auto"/>
                <w:sz w:val="22"/>
                <w:szCs w:val="22"/>
                <w:highlight w:val="none"/>
                <w:vertAlign w:val="superscript"/>
                <w:lang w:val="en-US" w:eastAsia="zh-CN"/>
              </w:rPr>
              <w:t>3</w:t>
            </w:r>
            <w:r>
              <w:rPr>
                <w:rFonts w:hint="eastAsia" w:ascii="Times New Roman" w:hAnsi="Times New Roman" w:cs="Times New Roman"/>
                <w:bCs/>
                <w:color w:val="auto"/>
                <w:sz w:val="22"/>
                <w:szCs w:val="22"/>
                <w:highlight w:val="none"/>
                <w:lang w:val="en-US" w:eastAsia="zh-CN"/>
              </w:rPr>
              <w:t>/d，150m</w:t>
            </w:r>
            <w:r>
              <w:rPr>
                <w:rFonts w:hint="eastAsia" w:ascii="Times New Roman" w:hAnsi="Times New Roman" w:cs="Times New Roman"/>
                <w:bCs/>
                <w:color w:val="auto"/>
                <w:sz w:val="22"/>
                <w:szCs w:val="22"/>
                <w:highlight w:val="none"/>
                <w:vertAlign w:val="superscript"/>
                <w:lang w:val="en-US" w:eastAsia="zh-CN"/>
              </w:rPr>
              <w:t>3</w:t>
            </w:r>
            <w:r>
              <w:rPr>
                <w:rFonts w:hint="eastAsia" w:ascii="Times New Roman" w:hAnsi="Times New Roman" w:cs="Times New Roman"/>
                <w:bCs/>
                <w:color w:val="auto"/>
                <w:sz w:val="22"/>
                <w:szCs w:val="22"/>
                <w:highlight w:val="none"/>
                <w:lang w:val="en-US" w:eastAsia="zh-CN"/>
              </w:rPr>
              <w:t>/a。</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42" w:firstLineChars="200"/>
              <w:jc w:val="left"/>
              <w:textAlignment w:val="auto"/>
              <w:outlineLvl w:val="9"/>
              <w:rPr>
                <w:rFonts w:hint="default" w:ascii="Times New Roman" w:hAnsi="Times New Roman" w:cs="Times New Roman"/>
                <w:b/>
                <w:bCs w:val="0"/>
                <w:color w:val="auto"/>
                <w:sz w:val="22"/>
                <w:szCs w:val="22"/>
                <w:highlight w:val="none"/>
                <w:lang w:val="en-US" w:eastAsia="zh-CN"/>
              </w:rPr>
            </w:pPr>
            <w:r>
              <w:rPr>
                <w:rFonts w:hint="eastAsia" w:ascii="Times New Roman" w:hAnsi="Times New Roman" w:cs="Times New Roman"/>
                <w:b/>
                <w:bCs w:val="0"/>
                <w:color w:val="auto"/>
                <w:sz w:val="22"/>
                <w:szCs w:val="22"/>
                <w:highlight w:val="none"/>
                <w:lang w:val="en-US" w:eastAsia="zh-CN"/>
              </w:rPr>
              <w:t>（5）水帘柜用水</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40" w:firstLineChars="200"/>
              <w:jc w:val="left"/>
              <w:textAlignment w:val="auto"/>
              <w:outlineLvl w:val="9"/>
              <w:rPr>
                <w:rFonts w:hint="default" w:ascii="Times New Roman" w:hAnsi="Times New Roman" w:cs="Times New Roman"/>
                <w:bCs/>
                <w:color w:val="auto"/>
                <w:sz w:val="22"/>
                <w:szCs w:val="22"/>
                <w:highlight w:val="none"/>
                <w:lang w:val="en-US" w:eastAsia="zh-CN"/>
              </w:rPr>
            </w:pPr>
            <w:r>
              <w:rPr>
                <w:rFonts w:hint="eastAsia" w:ascii="Times New Roman" w:hAnsi="Times New Roman" w:cs="Times New Roman"/>
                <w:bCs/>
                <w:color w:val="auto"/>
                <w:sz w:val="22"/>
                <w:szCs w:val="22"/>
                <w:highlight w:val="none"/>
                <w:lang w:val="en-US" w:eastAsia="zh-CN"/>
              </w:rPr>
              <w:t>项目有机废气采用“水帘柜+干式过滤+两级活性炭”进行处理。水帘柜循环水量5m</w:t>
            </w:r>
            <w:r>
              <w:rPr>
                <w:rFonts w:hint="eastAsia" w:ascii="Times New Roman" w:hAnsi="Times New Roman" w:cs="Times New Roman"/>
                <w:bCs/>
                <w:color w:val="auto"/>
                <w:sz w:val="22"/>
                <w:szCs w:val="22"/>
                <w:highlight w:val="none"/>
                <w:vertAlign w:val="superscript"/>
                <w:lang w:val="en-US" w:eastAsia="zh-CN"/>
              </w:rPr>
              <w:t>3</w:t>
            </w:r>
            <w:r>
              <w:rPr>
                <w:rFonts w:hint="eastAsia" w:ascii="Times New Roman" w:hAnsi="Times New Roman" w:cs="Times New Roman"/>
                <w:bCs/>
                <w:color w:val="auto"/>
                <w:sz w:val="22"/>
                <w:szCs w:val="22"/>
                <w:highlight w:val="none"/>
                <w:lang w:val="en-US" w:eastAsia="zh-CN"/>
              </w:rPr>
              <w:t>/d，损耗率按5%计，需定期补充新鲜水0.25m</w:t>
            </w:r>
            <w:r>
              <w:rPr>
                <w:rFonts w:hint="eastAsia" w:ascii="Times New Roman" w:hAnsi="Times New Roman" w:cs="Times New Roman"/>
                <w:bCs/>
                <w:color w:val="auto"/>
                <w:sz w:val="22"/>
                <w:szCs w:val="22"/>
                <w:highlight w:val="none"/>
                <w:vertAlign w:val="superscript"/>
                <w:lang w:val="en-US" w:eastAsia="zh-CN"/>
              </w:rPr>
              <w:t>3</w:t>
            </w:r>
            <w:r>
              <w:rPr>
                <w:rFonts w:hint="eastAsia" w:ascii="Times New Roman" w:hAnsi="Times New Roman" w:cs="Times New Roman"/>
                <w:bCs/>
                <w:color w:val="auto"/>
                <w:sz w:val="22"/>
                <w:szCs w:val="22"/>
                <w:highlight w:val="none"/>
                <w:lang w:val="en-US" w:eastAsia="zh-CN"/>
              </w:rPr>
              <w:t>/d，75m</w:t>
            </w:r>
            <w:r>
              <w:rPr>
                <w:rFonts w:hint="eastAsia" w:ascii="Times New Roman" w:hAnsi="Times New Roman" w:cs="Times New Roman"/>
                <w:bCs/>
                <w:color w:val="auto"/>
                <w:sz w:val="22"/>
                <w:szCs w:val="22"/>
                <w:highlight w:val="none"/>
                <w:vertAlign w:val="superscript"/>
                <w:lang w:val="en-US" w:eastAsia="zh-CN"/>
              </w:rPr>
              <w:t>3</w:t>
            </w:r>
            <w:r>
              <w:rPr>
                <w:rFonts w:hint="eastAsia" w:ascii="Times New Roman" w:hAnsi="Times New Roman" w:cs="Times New Roman"/>
                <w:bCs/>
                <w:color w:val="auto"/>
                <w:sz w:val="22"/>
                <w:szCs w:val="22"/>
                <w:highlight w:val="none"/>
                <w:lang w:val="en-US" w:eastAsia="zh-CN"/>
              </w:rPr>
              <w:t>/a。水帘用循环水箱储水量约1m</w:t>
            </w:r>
            <w:r>
              <w:rPr>
                <w:rFonts w:hint="eastAsia" w:ascii="Times New Roman" w:hAnsi="Times New Roman" w:cs="Times New Roman"/>
                <w:bCs/>
                <w:color w:val="auto"/>
                <w:sz w:val="22"/>
                <w:szCs w:val="22"/>
                <w:highlight w:val="none"/>
                <w:vertAlign w:val="superscript"/>
                <w:lang w:val="en-US" w:eastAsia="zh-CN"/>
              </w:rPr>
              <w:t>3</w:t>
            </w:r>
            <w:r>
              <w:rPr>
                <w:rFonts w:hint="eastAsia" w:ascii="Times New Roman" w:hAnsi="Times New Roman" w:cs="Times New Roman"/>
                <w:bCs/>
                <w:color w:val="auto"/>
                <w:sz w:val="22"/>
                <w:szCs w:val="22"/>
                <w:highlight w:val="none"/>
                <w:lang w:val="en-US" w:eastAsia="zh-CN"/>
              </w:rPr>
              <w:t>，将水面浮渣（漆渣）打捞处理后循环使用，一年更换一次，</w:t>
            </w:r>
            <w:r>
              <w:rPr>
                <w:rFonts w:hint="eastAsia" w:ascii="Times New Roman" w:hAnsi="Times New Roman" w:cs="Times New Roman"/>
                <w:color w:val="auto"/>
                <w:szCs w:val="21"/>
                <w:highlight w:val="none"/>
                <w:lang w:val="en-US" w:eastAsia="zh-CN"/>
              </w:rPr>
              <w:t>排</w:t>
            </w:r>
            <w:r>
              <w:rPr>
                <w:rFonts w:hint="eastAsia" w:ascii="Times New Roman" w:hAnsi="Times New Roman" w:cs="Times New Roman"/>
                <w:color w:val="auto"/>
                <w:szCs w:val="21"/>
                <w:highlight w:val="none"/>
                <w:lang w:eastAsia="zh-CN"/>
              </w:rPr>
              <w:t>入乐山市工业集中区污水处理厂</w:t>
            </w:r>
            <w:r>
              <w:rPr>
                <w:rFonts w:hint="eastAsia" w:ascii="Times New Roman" w:hAnsi="Times New Roman" w:cs="Times New Roman"/>
                <w:bCs/>
                <w:color w:val="auto"/>
                <w:sz w:val="22"/>
                <w:szCs w:val="22"/>
                <w:highlight w:val="none"/>
                <w:lang w:val="en-US" w:eastAsia="zh-CN"/>
              </w:rPr>
              <w:t>。其中漆渣作为危险废物交由有资质单位处置。</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40" w:firstLineChars="200"/>
              <w:jc w:val="left"/>
              <w:textAlignment w:val="auto"/>
              <w:outlineLvl w:val="9"/>
              <w:rPr>
                <w:rFonts w:hint="eastAsia" w:ascii="Times New Roman" w:hAnsi="Times New Roman" w:cs="Times New Roman"/>
                <w:bCs/>
                <w:color w:val="auto"/>
                <w:sz w:val="22"/>
                <w:szCs w:val="22"/>
                <w:highlight w:val="none"/>
                <w:lang w:val="en-US" w:eastAsia="zh-CN"/>
              </w:rPr>
            </w:pPr>
            <w:r>
              <w:rPr>
                <w:rFonts w:hint="eastAsia" w:ascii="Times New Roman" w:hAnsi="Times New Roman" w:cs="Times New Roman"/>
                <w:bCs/>
                <w:color w:val="auto"/>
                <w:sz w:val="22"/>
                <w:szCs w:val="22"/>
                <w:highlight w:val="none"/>
                <w:lang w:val="en-US" w:eastAsia="zh-CN"/>
              </w:rPr>
              <w:t>综上，本项目采用雨污分流制，雨水经雨水管接入市政雨水管网；项目磨边、清洗废水经循环水池（160m</w:t>
            </w:r>
            <w:r>
              <w:rPr>
                <w:rFonts w:hint="eastAsia" w:ascii="Times New Roman" w:hAnsi="Times New Roman" w:cs="Times New Roman"/>
                <w:bCs/>
                <w:color w:val="auto"/>
                <w:sz w:val="22"/>
                <w:szCs w:val="22"/>
                <w:highlight w:val="none"/>
                <w:vertAlign w:val="superscript"/>
                <w:lang w:val="en-US" w:eastAsia="zh-CN"/>
              </w:rPr>
              <w:t>3</w:t>
            </w:r>
            <w:r>
              <w:rPr>
                <w:rFonts w:hint="eastAsia" w:ascii="Times New Roman" w:hAnsi="Times New Roman" w:cs="Times New Roman"/>
                <w:bCs/>
                <w:color w:val="auto"/>
                <w:sz w:val="22"/>
                <w:szCs w:val="22"/>
                <w:highlight w:val="none"/>
                <w:lang w:val="en-US" w:eastAsia="zh-CN"/>
              </w:rPr>
              <w:t>）沉淀后</w:t>
            </w:r>
            <w:r>
              <w:rPr>
                <w:rFonts w:hint="eastAsia" w:ascii="Times New Roman" w:hAnsi="Times New Roman" w:eastAsia="宋体" w:cs="Times New Roman"/>
                <w:bCs/>
                <w:color w:val="auto"/>
                <w:sz w:val="22"/>
                <w:szCs w:val="22"/>
                <w:highlight w:val="none"/>
                <w:lang w:val="en-US" w:eastAsia="zh-CN"/>
              </w:rPr>
              <w:t>循环使用，不外排；冷却水循环使用，不外排；水帘柜废水一年更换一次（1m</w:t>
            </w:r>
            <w:r>
              <w:rPr>
                <w:rFonts w:hint="eastAsia" w:ascii="Times New Roman" w:hAnsi="Times New Roman" w:eastAsia="宋体" w:cs="Times New Roman"/>
                <w:bCs/>
                <w:color w:val="auto"/>
                <w:sz w:val="22"/>
                <w:szCs w:val="22"/>
                <w:highlight w:val="none"/>
                <w:vertAlign w:val="superscript"/>
                <w:lang w:val="en-US" w:eastAsia="zh-CN"/>
              </w:rPr>
              <w:t>3</w:t>
            </w:r>
            <w:r>
              <w:rPr>
                <w:rFonts w:hint="eastAsia" w:ascii="Times New Roman" w:hAnsi="Times New Roman" w:eastAsia="宋体" w:cs="Times New Roman"/>
                <w:bCs/>
                <w:color w:val="auto"/>
                <w:sz w:val="22"/>
                <w:szCs w:val="22"/>
                <w:highlight w:val="none"/>
                <w:lang w:val="en-US" w:eastAsia="zh-CN"/>
              </w:rPr>
              <w:t>），排入乐山市工业集中区污水处理厂；生</w:t>
            </w:r>
            <w:r>
              <w:rPr>
                <w:rFonts w:hint="eastAsia" w:ascii="Times New Roman" w:hAnsi="Times New Roman" w:cs="Times New Roman"/>
                <w:bCs/>
                <w:color w:val="auto"/>
                <w:sz w:val="22"/>
                <w:szCs w:val="22"/>
                <w:highlight w:val="none"/>
                <w:lang w:val="en-US" w:eastAsia="zh-CN"/>
              </w:rPr>
              <w:t>活污水经预处理达《污水综合排放标准》（GB8978-1996）三级标准排入乐山市工业集中区污水处理厂处理后达标排放。项目给排水情况见表2-8，水平衡见图2-1。</w:t>
            </w:r>
          </w:p>
          <w:p>
            <w:pPr>
              <w:jc w:val="center"/>
              <w:rPr>
                <w:rFonts w:hint="eastAsia" w:ascii="Times New Roman" w:hAnsi="Times New Roman" w:eastAsia="宋体" w:cs="Times New Roman"/>
                <w:b/>
                <w:bCs/>
                <w:color w:val="auto"/>
                <w:szCs w:val="21"/>
                <w:highlight w:val="none"/>
                <w:lang w:eastAsia="zh-CN"/>
              </w:rPr>
            </w:pPr>
            <w:r>
              <w:rPr>
                <w:rFonts w:hint="default" w:ascii="Times New Roman" w:hAnsi="Times New Roman" w:cs="Times New Roman"/>
                <w:b/>
                <w:bCs/>
                <w:color w:val="auto"/>
                <w:szCs w:val="21"/>
                <w:highlight w:val="none"/>
              </w:rPr>
              <w:t>表2-</w:t>
            </w:r>
            <w:r>
              <w:rPr>
                <w:rFonts w:hint="eastAsia" w:ascii="Times New Roman" w:hAnsi="Times New Roman" w:cs="Times New Roman"/>
                <w:b/>
                <w:bCs/>
                <w:color w:val="auto"/>
                <w:szCs w:val="21"/>
                <w:highlight w:val="none"/>
                <w:lang w:val="en-US" w:eastAsia="zh-CN"/>
              </w:rPr>
              <w:t>8</w:t>
            </w:r>
            <w:r>
              <w:rPr>
                <w:rFonts w:hint="default" w:ascii="Times New Roman" w:hAnsi="Times New Roman" w:cs="Times New Roman"/>
                <w:b/>
                <w:bCs/>
                <w:color w:val="auto"/>
                <w:szCs w:val="21"/>
                <w:highlight w:val="none"/>
              </w:rPr>
              <w:t xml:space="preserve"> 本项目用水量情况</w:t>
            </w:r>
            <w:r>
              <w:rPr>
                <w:rFonts w:hint="eastAsia" w:ascii="Times New Roman" w:hAnsi="Times New Roman" w:cs="Times New Roman"/>
                <w:b/>
                <w:bCs/>
                <w:color w:val="auto"/>
                <w:szCs w:val="21"/>
                <w:highlight w:val="none"/>
                <w:lang w:eastAsia="zh-CN"/>
              </w:rPr>
              <w:t>估算一览表</w:t>
            </w:r>
          </w:p>
          <w:tbl>
            <w:tblPr>
              <w:tblStyle w:val="42"/>
              <w:tblW w:w="7987"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422"/>
              <w:gridCol w:w="1292"/>
              <w:gridCol w:w="1106"/>
              <w:gridCol w:w="1097"/>
              <w:gridCol w:w="1057"/>
              <w:gridCol w:w="1104"/>
              <w:gridCol w:w="190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74" w:hRule="atLeast"/>
                <w:jc w:val="center"/>
              </w:trPr>
              <w:tc>
                <w:tcPr>
                  <w:tcW w:w="422"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序号</w:t>
                  </w:r>
                </w:p>
              </w:tc>
              <w:tc>
                <w:tcPr>
                  <w:tcW w:w="1292"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用水类别</w:t>
                  </w:r>
                </w:p>
              </w:tc>
              <w:tc>
                <w:tcPr>
                  <w:tcW w:w="1106"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用水规模</w:t>
                  </w:r>
                </w:p>
              </w:tc>
              <w:tc>
                <w:tcPr>
                  <w:tcW w:w="1097"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用水定额</w:t>
                  </w:r>
                </w:p>
              </w:tc>
              <w:tc>
                <w:tcPr>
                  <w:tcW w:w="1057"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用水量（m</w:t>
                  </w:r>
                  <w:r>
                    <w:rPr>
                      <w:rFonts w:hint="default" w:ascii="Times New Roman" w:hAnsi="Times New Roman" w:cs="Times New Roman"/>
                      <w:color w:val="auto"/>
                      <w:szCs w:val="21"/>
                      <w:highlight w:val="none"/>
                      <w:vertAlign w:val="superscript"/>
                    </w:rPr>
                    <w:t>3</w:t>
                  </w:r>
                  <w:r>
                    <w:rPr>
                      <w:rFonts w:hint="default" w:ascii="Times New Roman" w:hAnsi="Times New Roman" w:cs="Times New Roman"/>
                      <w:color w:val="auto"/>
                      <w:szCs w:val="21"/>
                      <w:highlight w:val="none"/>
                    </w:rPr>
                    <w:t>/</w:t>
                  </w:r>
                  <w:r>
                    <w:rPr>
                      <w:rFonts w:hint="eastAsia" w:ascii="Times New Roman" w:hAnsi="Times New Roman" w:cs="Times New Roman"/>
                      <w:color w:val="auto"/>
                      <w:szCs w:val="21"/>
                      <w:highlight w:val="none"/>
                      <w:lang w:val="en-US" w:eastAsia="zh-CN"/>
                    </w:rPr>
                    <w:t>a</w:t>
                  </w:r>
                  <w:r>
                    <w:rPr>
                      <w:rFonts w:hint="default" w:ascii="Times New Roman" w:hAnsi="Times New Roman" w:cs="Times New Roman"/>
                      <w:color w:val="auto"/>
                      <w:szCs w:val="21"/>
                      <w:highlight w:val="none"/>
                    </w:rPr>
                    <w:t>）</w:t>
                  </w:r>
                </w:p>
              </w:tc>
              <w:tc>
                <w:tcPr>
                  <w:tcW w:w="1104" w:type="dxa"/>
                  <w:noWrap w:val="0"/>
                  <w:vAlign w:val="center"/>
                </w:tcPr>
                <w:p>
                  <w:pPr>
                    <w:jc w:val="center"/>
                    <w:rPr>
                      <w:rFonts w:hint="eastAsia" w:ascii="Times New Roman" w:hAnsi="Times New Roman" w:eastAsia="宋体" w:cs="Times New Roman"/>
                      <w:color w:val="auto"/>
                      <w:szCs w:val="21"/>
                      <w:highlight w:val="none"/>
                      <w:lang w:eastAsia="zh-CN"/>
                    </w:rPr>
                  </w:pPr>
                  <w:r>
                    <w:rPr>
                      <w:rFonts w:hint="eastAsia" w:ascii="Times New Roman" w:hAnsi="Times New Roman" w:cs="Times New Roman"/>
                      <w:color w:val="auto"/>
                      <w:szCs w:val="21"/>
                      <w:highlight w:val="none"/>
                      <w:lang w:eastAsia="zh-CN"/>
                    </w:rPr>
                    <w:t>排水量</w:t>
                  </w: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r>
                    <w:rPr>
                      <w:rFonts w:hint="default" w:ascii="Times New Roman" w:hAnsi="Times New Roman" w:cs="Times New Roman"/>
                      <w:color w:val="auto"/>
                      <w:szCs w:val="21"/>
                      <w:highlight w:val="none"/>
                    </w:rPr>
                    <w:t>/</w:t>
                  </w:r>
                  <w:r>
                    <w:rPr>
                      <w:rFonts w:hint="eastAsia" w:ascii="Times New Roman" w:hAnsi="Times New Roman" w:cs="Times New Roman"/>
                      <w:color w:val="auto"/>
                      <w:szCs w:val="21"/>
                      <w:highlight w:val="none"/>
                      <w:lang w:val="en-US" w:eastAsia="zh-CN"/>
                    </w:rPr>
                    <w:t>a</w:t>
                  </w:r>
                  <w:r>
                    <w:rPr>
                      <w:rFonts w:hint="default" w:ascii="Times New Roman" w:hAnsi="Times New Roman" w:cs="Times New Roman"/>
                      <w:color w:val="auto"/>
                      <w:szCs w:val="21"/>
                      <w:highlight w:val="none"/>
                    </w:rPr>
                    <w:t>）</w:t>
                  </w:r>
                </w:p>
              </w:tc>
              <w:tc>
                <w:tcPr>
                  <w:tcW w:w="1909"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备注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5" w:hRule="atLeast"/>
                <w:jc w:val="center"/>
              </w:trPr>
              <w:tc>
                <w:tcPr>
                  <w:tcW w:w="422"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c>
                <w:tcPr>
                  <w:tcW w:w="1292"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生活用水</w:t>
                  </w:r>
                </w:p>
              </w:tc>
              <w:tc>
                <w:tcPr>
                  <w:tcW w:w="1106" w:type="dxa"/>
                  <w:noWrap w:val="0"/>
                  <w:vAlign w:val="center"/>
                </w:tcPr>
                <w:p>
                  <w:pPr>
                    <w:jc w:val="center"/>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30</w:t>
                  </w:r>
                  <w:r>
                    <w:rPr>
                      <w:rFonts w:hint="default" w:ascii="Times New Roman" w:hAnsi="Times New Roman" w:cs="Times New Roman"/>
                      <w:color w:val="auto"/>
                      <w:szCs w:val="21"/>
                      <w:highlight w:val="none"/>
                    </w:rPr>
                    <w:t>人</w:t>
                  </w:r>
                </w:p>
              </w:tc>
              <w:tc>
                <w:tcPr>
                  <w:tcW w:w="1097" w:type="dxa"/>
                  <w:noWrap w:val="0"/>
                  <w:vAlign w:val="center"/>
                </w:tcPr>
                <w:p>
                  <w:pPr>
                    <w:jc w:val="center"/>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160</w:t>
                  </w:r>
                  <w:r>
                    <w:rPr>
                      <w:rFonts w:hint="default" w:ascii="Times New Roman" w:hAnsi="Times New Roman" w:cs="Times New Roman"/>
                      <w:color w:val="auto"/>
                      <w:szCs w:val="21"/>
                      <w:highlight w:val="none"/>
                    </w:rPr>
                    <w:t>L/（人·d）</w:t>
                  </w:r>
                </w:p>
              </w:tc>
              <w:tc>
                <w:tcPr>
                  <w:tcW w:w="1057"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1440</w:t>
                  </w:r>
                </w:p>
              </w:tc>
              <w:tc>
                <w:tcPr>
                  <w:tcW w:w="1104"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1224</w:t>
                  </w:r>
                </w:p>
              </w:tc>
              <w:tc>
                <w:tcPr>
                  <w:tcW w:w="1909" w:type="dxa"/>
                  <w:noWrap w:val="0"/>
                  <w:vAlign w:val="center"/>
                </w:tcPr>
                <w:p>
                  <w:pPr>
                    <w:jc w:val="center"/>
                    <w:rPr>
                      <w:rFonts w:hint="eastAsia" w:ascii="Times New Roman" w:hAnsi="Times New Roman" w:eastAsia="宋体" w:cs="Times New Roman"/>
                      <w:color w:val="auto"/>
                      <w:szCs w:val="21"/>
                      <w:highlight w:val="none"/>
                      <w:lang w:eastAsia="zh-CN"/>
                    </w:rPr>
                  </w:pPr>
                  <w:r>
                    <w:rPr>
                      <w:rFonts w:hint="eastAsia" w:ascii="Times New Roman" w:hAnsi="Times New Roman" w:cs="Times New Roman"/>
                      <w:color w:val="auto"/>
                      <w:szCs w:val="21"/>
                      <w:highlight w:val="none"/>
                      <w:lang w:eastAsia="zh-CN"/>
                    </w:rPr>
                    <w:t>经化粪池处理后</w:t>
                  </w:r>
                  <w:r>
                    <w:rPr>
                      <w:rFonts w:hint="eastAsia" w:ascii="Times New Roman" w:hAnsi="Times New Roman" w:cs="Times New Roman"/>
                      <w:color w:val="auto"/>
                      <w:szCs w:val="21"/>
                      <w:highlight w:val="none"/>
                      <w:lang w:val="en-US" w:eastAsia="zh-CN"/>
                    </w:rPr>
                    <w:t>排</w:t>
                  </w:r>
                  <w:r>
                    <w:rPr>
                      <w:rFonts w:hint="eastAsia" w:ascii="Times New Roman" w:hAnsi="Times New Roman" w:cs="Times New Roman"/>
                      <w:color w:val="auto"/>
                      <w:szCs w:val="21"/>
                      <w:highlight w:val="none"/>
                      <w:lang w:eastAsia="zh-CN"/>
                    </w:rPr>
                    <w:t>入乐山市工业集中区污水处理厂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32" w:hRule="atLeast"/>
                <w:jc w:val="center"/>
              </w:trPr>
              <w:tc>
                <w:tcPr>
                  <w:tcW w:w="422"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w:t>
                  </w:r>
                </w:p>
              </w:tc>
              <w:tc>
                <w:tcPr>
                  <w:tcW w:w="1292" w:type="dxa"/>
                  <w:noWrap w:val="0"/>
                  <w:vAlign w:val="center"/>
                </w:tcPr>
                <w:p>
                  <w:pPr>
                    <w:jc w:val="center"/>
                    <w:rPr>
                      <w:rFonts w:hint="eastAsia" w:ascii="Times New Roman" w:hAnsi="Times New Roman" w:eastAsia="宋体" w:cs="Times New Roman"/>
                      <w:color w:val="auto"/>
                      <w:szCs w:val="21"/>
                      <w:highlight w:val="none"/>
                      <w:lang w:eastAsia="zh-CN"/>
                    </w:rPr>
                  </w:pPr>
                  <w:r>
                    <w:rPr>
                      <w:rFonts w:hint="eastAsia" w:ascii="Times New Roman" w:hAnsi="Times New Roman" w:cs="Times New Roman"/>
                      <w:color w:val="auto"/>
                      <w:szCs w:val="21"/>
                      <w:highlight w:val="none"/>
                      <w:lang w:eastAsia="zh-CN"/>
                    </w:rPr>
                    <w:t>磨边用水</w:t>
                  </w:r>
                </w:p>
              </w:tc>
              <w:tc>
                <w:tcPr>
                  <w:tcW w:w="1106"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097"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057"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150</w:t>
                  </w:r>
                </w:p>
              </w:tc>
              <w:tc>
                <w:tcPr>
                  <w:tcW w:w="1104" w:type="dxa"/>
                  <w:noWrap w:val="0"/>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w:t>
                  </w:r>
                </w:p>
              </w:tc>
              <w:tc>
                <w:tcPr>
                  <w:tcW w:w="1909" w:type="dxa"/>
                  <w:noWrap w:val="0"/>
                  <w:vAlign w:val="center"/>
                </w:tcPr>
                <w:p>
                  <w:pPr>
                    <w:jc w:val="center"/>
                    <w:rPr>
                      <w:rFonts w:hint="eastAsia" w:ascii="Times New Roman" w:hAnsi="Times New Roman" w:eastAsia="宋体" w:cs="Times New Roman"/>
                      <w:color w:val="auto"/>
                      <w:szCs w:val="21"/>
                      <w:highlight w:val="none"/>
                      <w:lang w:eastAsia="zh-CN"/>
                    </w:rPr>
                  </w:pPr>
                  <w:r>
                    <w:rPr>
                      <w:rFonts w:hint="eastAsia" w:ascii="Times New Roman" w:hAnsi="Times New Roman" w:cs="Times New Roman"/>
                      <w:color w:val="auto"/>
                      <w:szCs w:val="21"/>
                      <w:highlight w:val="none"/>
                      <w:lang w:eastAsia="zh-CN"/>
                    </w:rPr>
                    <w:t>循环使用，不外排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32" w:hRule="atLeast"/>
                <w:jc w:val="center"/>
              </w:trPr>
              <w:tc>
                <w:tcPr>
                  <w:tcW w:w="422" w:type="dxa"/>
                  <w:noWrap w:val="0"/>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3</w:t>
                  </w:r>
                </w:p>
              </w:tc>
              <w:tc>
                <w:tcPr>
                  <w:tcW w:w="1292" w:type="dxa"/>
                  <w:noWrap w:val="0"/>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清洗用水</w:t>
                  </w:r>
                </w:p>
              </w:tc>
              <w:tc>
                <w:tcPr>
                  <w:tcW w:w="1106"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097"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057" w:type="dxa"/>
                  <w:noWrap w:val="0"/>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300</w:t>
                  </w:r>
                </w:p>
              </w:tc>
              <w:tc>
                <w:tcPr>
                  <w:tcW w:w="1104" w:type="dxa"/>
                  <w:noWrap w:val="0"/>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w:t>
                  </w:r>
                </w:p>
              </w:tc>
              <w:tc>
                <w:tcPr>
                  <w:tcW w:w="1909" w:type="dxa"/>
                  <w:noWrap w:val="0"/>
                  <w:vAlign w:val="center"/>
                </w:tcPr>
                <w:p>
                  <w:pPr>
                    <w:jc w:val="center"/>
                    <w:rPr>
                      <w:rFonts w:hint="eastAsia" w:ascii="Times New Roman" w:hAnsi="Times New Roman" w:cs="Times New Roman"/>
                      <w:color w:val="auto"/>
                      <w:szCs w:val="21"/>
                      <w:highlight w:val="none"/>
                      <w:lang w:eastAsia="zh-CN"/>
                    </w:rPr>
                  </w:pPr>
                  <w:r>
                    <w:rPr>
                      <w:rFonts w:hint="eastAsia" w:ascii="Times New Roman" w:hAnsi="Times New Roman" w:cs="Times New Roman"/>
                      <w:color w:val="auto"/>
                      <w:szCs w:val="21"/>
                      <w:highlight w:val="none"/>
                      <w:lang w:eastAsia="zh-CN"/>
                    </w:rPr>
                    <w:t>循环使用，不外排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32" w:hRule="atLeast"/>
                <w:jc w:val="center"/>
              </w:trPr>
              <w:tc>
                <w:tcPr>
                  <w:tcW w:w="422" w:type="dxa"/>
                  <w:noWrap w:val="0"/>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4</w:t>
                  </w:r>
                </w:p>
              </w:tc>
              <w:tc>
                <w:tcPr>
                  <w:tcW w:w="1292" w:type="dxa"/>
                  <w:noWrap w:val="0"/>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冷却用水</w:t>
                  </w:r>
                </w:p>
              </w:tc>
              <w:tc>
                <w:tcPr>
                  <w:tcW w:w="1106"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097"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057" w:type="dxa"/>
                  <w:noWrap w:val="0"/>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150</w:t>
                  </w:r>
                </w:p>
              </w:tc>
              <w:tc>
                <w:tcPr>
                  <w:tcW w:w="1104" w:type="dxa"/>
                  <w:noWrap w:val="0"/>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w:t>
                  </w:r>
                </w:p>
              </w:tc>
              <w:tc>
                <w:tcPr>
                  <w:tcW w:w="1909" w:type="dxa"/>
                  <w:noWrap w:val="0"/>
                  <w:vAlign w:val="center"/>
                </w:tcPr>
                <w:p>
                  <w:pPr>
                    <w:jc w:val="center"/>
                    <w:rPr>
                      <w:rFonts w:hint="eastAsia" w:ascii="Times New Roman" w:hAnsi="Times New Roman" w:cs="Times New Roman"/>
                      <w:color w:val="auto"/>
                      <w:szCs w:val="21"/>
                      <w:highlight w:val="none"/>
                      <w:lang w:eastAsia="zh-CN"/>
                    </w:rPr>
                  </w:pPr>
                  <w:r>
                    <w:rPr>
                      <w:rFonts w:hint="eastAsia" w:ascii="Times New Roman" w:hAnsi="Times New Roman" w:cs="Times New Roman"/>
                      <w:color w:val="auto"/>
                      <w:szCs w:val="21"/>
                      <w:highlight w:val="none"/>
                      <w:lang w:eastAsia="zh-CN"/>
                    </w:rPr>
                    <w:t>循环使用，不外排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32" w:hRule="atLeast"/>
                <w:jc w:val="center"/>
              </w:trPr>
              <w:tc>
                <w:tcPr>
                  <w:tcW w:w="422" w:type="dxa"/>
                  <w:noWrap w:val="0"/>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5</w:t>
                  </w:r>
                </w:p>
              </w:tc>
              <w:tc>
                <w:tcPr>
                  <w:tcW w:w="1292" w:type="dxa"/>
                  <w:noWrap w:val="0"/>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水帘柜用水</w:t>
                  </w:r>
                </w:p>
              </w:tc>
              <w:tc>
                <w:tcPr>
                  <w:tcW w:w="1106"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097"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057" w:type="dxa"/>
                  <w:noWrap w:val="0"/>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75</w:t>
                  </w:r>
                </w:p>
              </w:tc>
              <w:tc>
                <w:tcPr>
                  <w:tcW w:w="1104" w:type="dxa"/>
                  <w:noWrap w:val="0"/>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1</w:t>
                  </w:r>
                </w:p>
              </w:tc>
              <w:tc>
                <w:tcPr>
                  <w:tcW w:w="1909" w:type="dxa"/>
                  <w:noWrap w:val="0"/>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定期更换，排</w:t>
                  </w:r>
                  <w:r>
                    <w:rPr>
                      <w:rFonts w:hint="eastAsia" w:ascii="Times New Roman" w:hAnsi="Times New Roman" w:cs="Times New Roman"/>
                      <w:color w:val="auto"/>
                      <w:szCs w:val="21"/>
                      <w:highlight w:val="none"/>
                      <w:lang w:eastAsia="zh-CN"/>
                    </w:rPr>
                    <w:t>入乐山市工业集中区污水处理厂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422" w:type="dxa"/>
                  <w:noWrap w:val="0"/>
                  <w:vAlign w:val="center"/>
                </w:tcPr>
                <w:p>
                  <w:pPr>
                    <w:jc w:val="center"/>
                    <w:rPr>
                      <w:rFonts w:hint="eastAsia" w:ascii="Times New Roman" w:hAnsi="Times New Roman" w:eastAsia="宋体" w:cs="Times New Roman"/>
                      <w:color w:val="auto"/>
                      <w:szCs w:val="21"/>
                      <w:highlight w:val="none"/>
                      <w:lang w:eastAsia="zh-CN"/>
                    </w:rPr>
                  </w:pPr>
                  <w:r>
                    <w:rPr>
                      <w:rFonts w:hint="eastAsia" w:ascii="Times New Roman" w:hAnsi="Times New Roman" w:cs="Times New Roman"/>
                      <w:color w:val="auto"/>
                      <w:szCs w:val="21"/>
                      <w:highlight w:val="none"/>
                      <w:lang w:val="en-US" w:eastAsia="zh-CN"/>
                    </w:rPr>
                    <w:t>6</w:t>
                  </w:r>
                </w:p>
              </w:tc>
              <w:tc>
                <w:tcPr>
                  <w:tcW w:w="1292"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实际</w:t>
                  </w:r>
                  <w:r>
                    <w:rPr>
                      <w:rFonts w:hint="eastAsia" w:ascii="Times New Roman" w:hAnsi="Times New Roman" w:cs="Times New Roman"/>
                      <w:color w:val="auto"/>
                      <w:szCs w:val="21"/>
                      <w:highlight w:val="none"/>
                      <w:lang w:eastAsia="zh-CN"/>
                    </w:rPr>
                    <w:t>用</w:t>
                  </w:r>
                  <w:r>
                    <w:rPr>
                      <w:rFonts w:hint="default" w:ascii="Times New Roman" w:hAnsi="Times New Roman" w:cs="Times New Roman"/>
                      <w:color w:val="auto"/>
                      <w:szCs w:val="21"/>
                      <w:highlight w:val="none"/>
                    </w:rPr>
                    <w:t>水量合计</w:t>
                  </w:r>
                </w:p>
              </w:tc>
              <w:tc>
                <w:tcPr>
                  <w:tcW w:w="1106"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097"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057"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2115</w:t>
                  </w:r>
                </w:p>
              </w:tc>
              <w:tc>
                <w:tcPr>
                  <w:tcW w:w="1104"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1225</w:t>
                  </w:r>
                </w:p>
              </w:tc>
              <w:tc>
                <w:tcPr>
                  <w:tcW w:w="1909"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r>
          </w:tbl>
          <w:p>
            <w:pPr>
              <w:keepNext w:val="0"/>
              <w:keepLines w:val="0"/>
              <w:pageBreakBefore w:val="0"/>
              <w:widowControl w:val="0"/>
              <w:kinsoku/>
              <w:wordWrap/>
              <w:overflowPunct/>
              <w:topLinePunct w:val="0"/>
              <w:autoSpaceDE w:val="0"/>
              <w:autoSpaceDN w:val="0"/>
              <w:bidi w:val="0"/>
              <w:adjustRightInd w:val="0"/>
              <w:snapToGrid w:val="0"/>
              <w:spacing w:line="240" w:lineRule="auto"/>
              <w:ind w:right="0"/>
              <w:jc w:val="center"/>
              <w:textAlignment w:val="auto"/>
              <w:outlineLvl w:val="9"/>
              <w:rPr>
                <w:rFonts w:hint="eastAsia" w:ascii="Times New Roman" w:hAnsi="Times New Roman" w:cs="Times New Roman"/>
                <w:bCs/>
                <w:color w:val="auto"/>
                <w:sz w:val="22"/>
                <w:szCs w:val="22"/>
                <w:highlight w:val="none"/>
                <w:lang w:val="en-US" w:eastAsia="zh-CN"/>
              </w:rPr>
            </w:pPr>
            <w:r>
              <w:rPr>
                <w:rFonts w:hint="eastAsia" w:ascii="Times New Roman" w:hAnsi="Times New Roman" w:cs="Times New Roman"/>
                <w:bCs/>
                <w:color w:val="auto"/>
                <w:sz w:val="22"/>
                <w:szCs w:val="22"/>
                <w:highlight w:val="none"/>
                <w:lang w:val="en-US" w:eastAsia="zh-CN"/>
              </w:rPr>
              <w:drawing>
                <wp:inline distT="0" distB="0" distL="114300" distR="114300">
                  <wp:extent cx="4525010" cy="3279140"/>
                  <wp:effectExtent l="0" t="0" r="8890" b="0"/>
                  <wp:docPr id="8" name="图片 12"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2" descr="wps"/>
                          <pic:cNvPicPr>
                            <a:picLocks noChangeAspect="1"/>
                          </pic:cNvPicPr>
                        </pic:nvPicPr>
                        <pic:blipFill>
                          <a:blip r:embed="rId13"/>
                          <a:srcRect l="7153" t="8380" r="3110" b="4198"/>
                          <a:stretch>
                            <a:fillRect/>
                          </a:stretch>
                        </pic:blipFill>
                        <pic:spPr>
                          <a:xfrm>
                            <a:off x="0" y="0"/>
                            <a:ext cx="4525010" cy="3279140"/>
                          </a:xfrm>
                          <a:prstGeom prst="rect">
                            <a:avLst/>
                          </a:prstGeom>
                          <a:noFill/>
                          <a:ln>
                            <a:noFill/>
                          </a:ln>
                        </pic:spPr>
                      </pic:pic>
                    </a:graphicData>
                  </a:graphic>
                </wp:inline>
              </w:drawing>
            </w:r>
          </w:p>
          <w:p>
            <w:pPr>
              <w:keepNext w:val="0"/>
              <w:keepLines w:val="0"/>
              <w:pageBreakBefore w:val="0"/>
              <w:widowControl w:val="0"/>
              <w:kinsoku/>
              <w:wordWrap/>
              <w:overflowPunct/>
              <w:topLinePunct w:val="0"/>
              <w:bidi w:val="0"/>
              <w:spacing w:line="240" w:lineRule="auto"/>
              <w:ind w:right="0"/>
              <w:jc w:val="center"/>
              <w:textAlignment w:val="auto"/>
              <w:outlineLvl w:val="9"/>
              <w:rPr>
                <w:rFonts w:hint="eastAsia" w:ascii="Times New Roman" w:hAnsi="Times New Roman" w:eastAsia="宋体" w:cs="Times New Roman"/>
                <w:b/>
                <w:bCs/>
                <w:color w:val="auto"/>
                <w:sz w:val="24"/>
                <w:highlight w:val="none"/>
                <w:lang w:eastAsia="zh-CN"/>
              </w:rPr>
            </w:pPr>
            <w:r>
              <w:rPr>
                <w:rFonts w:hint="default" w:ascii="Times New Roman" w:hAnsi="Times New Roman" w:cs="Times New Roman"/>
                <w:b/>
                <w:color w:val="auto"/>
                <w:szCs w:val="21"/>
                <w:highlight w:val="none"/>
              </w:rPr>
              <w:t>图2-1   项目水平衡图</w:t>
            </w:r>
            <w:r>
              <w:rPr>
                <w:rFonts w:hint="default" w:ascii="Times New Roman" w:hAnsi="Times New Roman" w:cs="Times New Roman"/>
                <w:b/>
                <w:color w:val="auto"/>
                <w:sz w:val="24"/>
                <w:szCs w:val="28"/>
                <w:highlight w:val="none"/>
              </w:rPr>
              <w:t xml:space="preserve">   </w:t>
            </w:r>
            <w:r>
              <w:rPr>
                <w:rFonts w:hint="default" w:ascii="Times New Roman" w:hAnsi="Times New Roman" w:cs="Times New Roman"/>
                <w:b/>
                <w:color w:val="auto"/>
                <w:szCs w:val="21"/>
                <w:highlight w:val="none"/>
              </w:rPr>
              <w:t>单位m</w:t>
            </w:r>
            <w:r>
              <w:rPr>
                <w:rFonts w:hint="default" w:ascii="Times New Roman" w:hAnsi="Times New Roman" w:cs="Times New Roman"/>
                <w:b/>
                <w:color w:val="auto"/>
                <w:szCs w:val="21"/>
                <w:highlight w:val="none"/>
                <w:vertAlign w:val="superscript"/>
              </w:rPr>
              <w:t>3</w:t>
            </w:r>
            <w:r>
              <w:rPr>
                <w:rFonts w:hint="default" w:ascii="Times New Roman" w:hAnsi="Times New Roman" w:cs="Times New Roman"/>
                <w:b/>
                <w:color w:val="auto"/>
                <w:szCs w:val="21"/>
                <w:highlight w:val="none"/>
              </w:rPr>
              <w:t>/</w:t>
            </w:r>
            <w:r>
              <w:rPr>
                <w:rFonts w:hint="eastAsia" w:ascii="Times New Roman" w:hAnsi="Times New Roman" w:cs="Times New Roman"/>
                <w:b/>
                <w:color w:val="auto"/>
                <w:szCs w:val="21"/>
                <w:highlight w:val="none"/>
                <w:lang w:val="en-US" w:eastAsia="zh-CN"/>
              </w:rPr>
              <w:t>a</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42" w:firstLineChars="200"/>
              <w:jc w:val="left"/>
              <w:textAlignment w:val="auto"/>
              <w:outlineLvl w:val="9"/>
              <w:rPr>
                <w:rFonts w:hint="eastAsia" w:ascii="Times New Roman" w:hAnsi="Times New Roman" w:cs="Times New Roman"/>
                <w:b/>
                <w:bCs w:val="0"/>
                <w:color w:val="auto"/>
                <w:sz w:val="22"/>
                <w:szCs w:val="22"/>
                <w:highlight w:val="none"/>
                <w:lang w:val="en-US" w:eastAsia="zh-CN"/>
              </w:rPr>
            </w:pPr>
            <w:r>
              <w:rPr>
                <w:rFonts w:hint="eastAsia" w:ascii="Times New Roman" w:hAnsi="Times New Roman" w:cs="Times New Roman"/>
                <w:b/>
                <w:bCs w:val="0"/>
                <w:color w:val="auto"/>
                <w:sz w:val="22"/>
                <w:szCs w:val="22"/>
                <w:highlight w:val="none"/>
                <w:lang w:val="en-US" w:eastAsia="zh-CN"/>
              </w:rPr>
              <w:t>4.3 供电</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40" w:firstLineChars="200"/>
              <w:jc w:val="left"/>
              <w:textAlignment w:val="auto"/>
              <w:outlineLvl w:val="9"/>
              <w:rPr>
                <w:rFonts w:hint="eastAsia" w:ascii="Times New Roman" w:hAnsi="Times New Roman" w:cs="Times New Roman"/>
                <w:bCs/>
                <w:color w:val="auto"/>
                <w:sz w:val="22"/>
                <w:szCs w:val="22"/>
                <w:highlight w:val="none"/>
                <w:lang w:val="en-US" w:eastAsia="zh-CN"/>
              </w:rPr>
            </w:pPr>
            <w:r>
              <w:rPr>
                <w:rFonts w:hint="eastAsia" w:ascii="Times New Roman" w:hAnsi="Times New Roman" w:cs="Times New Roman"/>
                <w:bCs/>
                <w:color w:val="auto"/>
                <w:sz w:val="22"/>
                <w:szCs w:val="22"/>
                <w:highlight w:val="none"/>
                <w:lang w:val="en-US" w:eastAsia="zh-CN"/>
              </w:rPr>
              <w:t>园区供电。</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42" w:firstLineChars="200"/>
              <w:jc w:val="left"/>
              <w:textAlignment w:val="auto"/>
              <w:outlineLvl w:val="9"/>
              <w:rPr>
                <w:rFonts w:hint="eastAsia" w:ascii="Times New Roman" w:hAnsi="Times New Roman" w:cs="Times New Roman"/>
                <w:b/>
                <w:bCs w:val="0"/>
                <w:color w:val="auto"/>
                <w:sz w:val="22"/>
                <w:szCs w:val="22"/>
                <w:highlight w:val="none"/>
                <w:lang w:val="en-US" w:eastAsia="zh-CN"/>
              </w:rPr>
            </w:pPr>
            <w:r>
              <w:rPr>
                <w:rFonts w:hint="eastAsia" w:ascii="Times New Roman" w:hAnsi="Times New Roman" w:cs="Times New Roman"/>
                <w:b/>
                <w:bCs w:val="0"/>
                <w:color w:val="auto"/>
                <w:sz w:val="22"/>
                <w:szCs w:val="22"/>
                <w:highlight w:val="none"/>
                <w:lang w:val="en-US" w:eastAsia="zh-CN"/>
              </w:rPr>
              <w:t>5、劳动定员及工作制度</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40" w:firstLineChars="200"/>
              <w:jc w:val="left"/>
              <w:textAlignment w:val="auto"/>
              <w:outlineLvl w:val="9"/>
              <w:rPr>
                <w:rFonts w:hint="eastAsia" w:ascii="Times New Roman" w:hAnsi="Times New Roman" w:cs="Times New Roman"/>
                <w:bCs/>
                <w:color w:val="auto"/>
                <w:sz w:val="22"/>
                <w:szCs w:val="22"/>
                <w:highlight w:val="yellow"/>
                <w:lang w:val="en-US" w:eastAsia="zh-CN"/>
              </w:rPr>
            </w:pPr>
            <w:r>
              <w:rPr>
                <w:rFonts w:hint="eastAsia" w:ascii="Times New Roman" w:hAnsi="Times New Roman" w:cs="Times New Roman"/>
                <w:bCs/>
                <w:color w:val="auto"/>
                <w:sz w:val="22"/>
                <w:szCs w:val="22"/>
                <w:highlight w:val="none"/>
                <w:lang w:val="en-US" w:eastAsia="zh-CN"/>
              </w:rPr>
              <w:t>项目定员30人，厂内设食宿，年工作时间300天，每天工作8小时，夜间不生产。</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42" w:firstLineChars="200"/>
              <w:jc w:val="left"/>
              <w:textAlignment w:val="auto"/>
              <w:outlineLvl w:val="9"/>
              <w:rPr>
                <w:rFonts w:hint="eastAsia" w:ascii="Times New Roman" w:hAnsi="Times New Roman" w:cs="Times New Roman"/>
                <w:b/>
                <w:bCs w:val="0"/>
                <w:color w:val="auto"/>
                <w:sz w:val="22"/>
                <w:szCs w:val="22"/>
                <w:highlight w:val="none"/>
                <w:lang w:val="en-US" w:eastAsia="zh-CN"/>
              </w:rPr>
            </w:pPr>
            <w:r>
              <w:rPr>
                <w:rFonts w:hint="eastAsia" w:ascii="Times New Roman" w:hAnsi="Times New Roman" w:cs="Times New Roman"/>
                <w:b/>
                <w:bCs w:val="0"/>
                <w:color w:val="auto"/>
                <w:sz w:val="22"/>
                <w:szCs w:val="22"/>
                <w:highlight w:val="none"/>
                <w:lang w:val="en-US" w:eastAsia="zh-CN"/>
              </w:rPr>
              <w:t>6、厂区平面布置</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40" w:firstLineChars="200"/>
              <w:jc w:val="left"/>
              <w:textAlignment w:val="auto"/>
              <w:outlineLvl w:val="9"/>
              <w:rPr>
                <w:rFonts w:hint="eastAsia" w:ascii="Times New Roman" w:hAnsi="Times New Roman" w:eastAsia="宋体" w:cs="Times New Roman"/>
                <w:bCs/>
                <w:color w:val="auto"/>
                <w:sz w:val="22"/>
                <w:szCs w:val="22"/>
                <w:highlight w:val="yellow"/>
                <w:lang w:val="en-US" w:eastAsia="zh-CN"/>
              </w:rPr>
            </w:pPr>
            <w:r>
              <w:rPr>
                <w:rFonts w:hint="default" w:ascii="Times New Roman" w:hAnsi="Times New Roman" w:cs="Times New Roman"/>
                <w:bCs/>
                <w:color w:val="auto"/>
                <w:sz w:val="22"/>
                <w:szCs w:val="22"/>
                <w:highlight w:val="none"/>
                <w:lang w:val="en-US" w:eastAsia="zh-CN"/>
              </w:rPr>
              <w:t>项目</w:t>
            </w:r>
            <w:r>
              <w:rPr>
                <w:rFonts w:hint="eastAsia" w:ascii="Times New Roman" w:hAnsi="Times New Roman" w:cs="Times New Roman"/>
                <w:bCs/>
                <w:color w:val="auto"/>
                <w:sz w:val="22"/>
                <w:szCs w:val="22"/>
                <w:highlight w:val="none"/>
                <w:lang w:val="en-US" w:eastAsia="zh-CN"/>
              </w:rPr>
              <w:t>拟建设生产车间（1#楼）、办公生活区（2#楼）和门卫食堂（3#楼），均为独立区域，避免了互相干扰。生产车间整体呈长条形，布置在厂区北部，远离南侧居民。车间西北侧设置有循环水池，厂区东北部设置有沉淀水池，喷漆房、晾干区、危废暂存间均布置在生产车间内，车间内</w:t>
            </w:r>
            <w:r>
              <w:rPr>
                <w:rFonts w:hint="default" w:ascii="Times New Roman" w:hAnsi="Times New Roman" w:cs="Times New Roman"/>
                <w:bCs/>
                <w:color w:val="auto"/>
                <w:sz w:val="22"/>
                <w:szCs w:val="22"/>
                <w:highlight w:val="none"/>
                <w:lang w:val="en-US" w:eastAsia="zh-CN"/>
              </w:rPr>
              <w:t>平面布置分区功能明确，总体布局基本合理</w:t>
            </w:r>
            <w:r>
              <w:rPr>
                <w:rFonts w:hint="eastAsia" w:ascii="Times New Roman" w:hAnsi="Times New Roman" w:cs="Times New Roman"/>
                <w:bCs/>
                <w:color w:val="auto"/>
                <w:sz w:val="22"/>
                <w:szCs w:val="22"/>
                <w:highlight w:val="none"/>
                <w:lang w:val="en-US" w:eastAsia="zh-CN"/>
              </w:rPr>
              <w:t>（详见附图）。</w:t>
            </w:r>
          </w:p>
          <w:p>
            <w:pPr>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outlineLvl w:val="9"/>
              <w:rPr>
                <w:rFonts w:hint="default" w:ascii="Times New Roman" w:hAnsi="Times New Roman" w:eastAsia="宋体" w:cs="Times New Roman"/>
                <w:bCs/>
                <w:color w:val="auto"/>
                <w:szCs w:val="21"/>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3" w:type="dxa"/>
            <w:noWrap w:val="0"/>
            <w:vAlign w:val="center"/>
          </w:tcPr>
          <w:p>
            <w:pPr>
              <w:pStyle w:val="37"/>
              <w:adjustRightInd w:val="0"/>
              <w:snapToGrid w:val="0"/>
              <w:spacing w:before="0" w:beforeAutospacing="0" w:after="0" w:afterAutospacing="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工艺流程和产排污环节</w:t>
            </w:r>
          </w:p>
        </w:tc>
        <w:tc>
          <w:tcPr>
            <w:tcW w:w="8161" w:type="dxa"/>
            <w:noWrap w:val="0"/>
            <w:vAlign w:val="top"/>
          </w:tcPr>
          <w:p>
            <w:pPr>
              <w:keepNext w:val="0"/>
              <w:keepLines w:val="0"/>
              <w:pageBreakBefore w:val="0"/>
              <w:widowControl w:val="0"/>
              <w:kinsoku/>
              <w:wordWrap/>
              <w:overflowPunct/>
              <w:topLinePunct w:val="0"/>
              <w:autoSpaceDE w:val="0"/>
              <w:autoSpaceDN w:val="0"/>
              <w:bidi w:val="0"/>
              <w:adjustRightInd w:val="0"/>
              <w:snapToGrid w:val="0"/>
              <w:spacing w:line="360" w:lineRule="auto"/>
              <w:ind w:firstLine="442" w:firstLineChars="200"/>
              <w:jc w:val="left"/>
              <w:textAlignment w:val="auto"/>
              <w:outlineLvl w:val="9"/>
              <w:rPr>
                <w:rFonts w:hint="eastAsia" w:ascii="Times New Roman" w:hAnsi="Times New Roman" w:cs="Times New Roman"/>
                <w:b/>
                <w:bCs w:val="0"/>
                <w:color w:val="auto"/>
                <w:sz w:val="22"/>
                <w:szCs w:val="22"/>
                <w:highlight w:val="none"/>
                <w:lang w:val="en-US" w:eastAsia="zh-CN"/>
              </w:rPr>
            </w:pPr>
            <w:r>
              <w:rPr>
                <w:rFonts w:hint="eastAsia" w:ascii="Times New Roman" w:hAnsi="Times New Roman" w:cs="Times New Roman"/>
                <w:b/>
                <w:bCs w:val="0"/>
                <w:color w:val="auto"/>
                <w:sz w:val="22"/>
                <w:szCs w:val="22"/>
                <w:highlight w:val="none"/>
                <w:lang w:val="en-US" w:eastAsia="zh-CN"/>
              </w:rPr>
              <w:t>1、施工期</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40" w:firstLineChars="200"/>
              <w:jc w:val="left"/>
              <w:textAlignment w:val="auto"/>
              <w:outlineLvl w:val="9"/>
              <w:rPr>
                <w:rFonts w:hint="default" w:ascii="Times New Roman" w:hAnsi="Times New Roman" w:cs="Times New Roman"/>
                <w:bCs/>
                <w:color w:val="000000"/>
                <w:sz w:val="22"/>
                <w:szCs w:val="22"/>
                <w:highlight w:val="none"/>
                <w:lang w:val="en-US" w:eastAsia="zh-CN"/>
              </w:rPr>
            </w:pPr>
            <w:r>
              <w:rPr>
                <w:rFonts w:hint="default" w:ascii="Times New Roman" w:hAnsi="Times New Roman" w:eastAsia="宋体" w:cs="Times New Roman"/>
                <w:color w:val="000000"/>
                <w:sz w:val="22"/>
                <w:szCs w:val="22"/>
                <w:highlight w:val="none"/>
              </w:rPr>
              <w:t>本项目施工期主要包括场地平整、主体工程施工、</w:t>
            </w:r>
            <w:r>
              <w:rPr>
                <w:rFonts w:hint="default" w:ascii="Times New Roman" w:hAnsi="Times New Roman" w:eastAsia="宋体" w:cs="Times New Roman"/>
                <w:color w:val="000000"/>
                <w:sz w:val="22"/>
                <w:szCs w:val="22"/>
                <w:highlight w:val="none"/>
                <w:lang w:val="en-US" w:eastAsia="zh-CN"/>
              </w:rPr>
              <w:t>装修</w:t>
            </w:r>
            <w:r>
              <w:rPr>
                <w:rFonts w:hint="default" w:ascii="Times New Roman" w:hAnsi="Times New Roman" w:eastAsia="宋体" w:cs="Times New Roman"/>
                <w:color w:val="000000"/>
                <w:sz w:val="22"/>
                <w:szCs w:val="22"/>
                <w:highlight w:val="none"/>
              </w:rPr>
              <w:t>工程等，以上工序将产生噪声、扬尘、固废、施工废水等，</w:t>
            </w:r>
            <w:r>
              <w:rPr>
                <w:rFonts w:hint="default" w:ascii="Times New Roman" w:hAnsi="Times New Roman" w:eastAsia="宋体" w:cs="Times New Roman"/>
                <w:color w:val="000000"/>
                <w:kern w:val="0"/>
                <w:sz w:val="22"/>
                <w:szCs w:val="22"/>
                <w:highlight w:val="none"/>
              </w:rPr>
              <w:t>其排放量随工期和施工强度不同而有所变化。</w:t>
            </w:r>
            <w:r>
              <w:rPr>
                <w:rFonts w:hint="default" w:ascii="Times New Roman" w:hAnsi="Times New Roman" w:eastAsia="宋体" w:cs="Times New Roman"/>
                <w:color w:val="000000"/>
                <w:kern w:val="0"/>
                <w:sz w:val="22"/>
                <w:szCs w:val="22"/>
                <w:highlight w:val="none"/>
                <w:lang w:eastAsia="zh-CN"/>
              </w:rPr>
              <w:t>项目施工期的工艺流程及产污情况如下：</w:t>
            </w:r>
          </w:p>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outlineLvl w:val="9"/>
              <w:rPr>
                <w:rFonts w:hint="default" w:ascii="Times New Roman" w:hAnsi="Times New Roman" w:cs="Times New Roman"/>
                <w:bCs/>
                <w:color w:val="000000"/>
                <w:sz w:val="22"/>
                <w:szCs w:val="22"/>
                <w:highlight w:val="none"/>
                <w:lang w:val="en-US" w:eastAsia="zh-CN"/>
              </w:rPr>
            </w:pPr>
            <w:r>
              <w:rPr>
                <w:rFonts w:hint="default" w:ascii="Times New Roman" w:hAnsi="Times New Roman" w:cs="Times New Roman"/>
                <w:color w:val="000000"/>
                <w:szCs w:val="21"/>
              </w:rPr>
              <w:drawing>
                <wp:inline distT="0" distB="0" distL="114300" distR="114300">
                  <wp:extent cx="5020945" cy="2015490"/>
                  <wp:effectExtent l="0" t="0" r="8255" b="3810"/>
                  <wp:docPr id="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3"/>
                          <pic:cNvPicPr>
                            <a:picLocks noChangeAspect="1"/>
                          </pic:cNvPicPr>
                        </pic:nvPicPr>
                        <pic:blipFill>
                          <a:blip r:embed="rId14"/>
                          <a:stretch>
                            <a:fillRect/>
                          </a:stretch>
                        </pic:blipFill>
                        <pic:spPr>
                          <a:xfrm>
                            <a:off x="0" y="0"/>
                            <a:ext cx="5020945" cy="201549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outlineLvl w:val="9"/>
              <w:rPr>
                <w:rFonts w:hint="default" w:ascii="Times New Roman" w:hAnsi="Times New Roman" w:eastAsia="宋体" w:cs="Times New Roman"/>
                <w:bCs/>
                <w:color w:val="000000"/>
                <w:sz w:val="22"/>
                <w:szCs w:val="22"/>
                <w:highlight w:val="none"/>
                <w:lang w:val="en-US" w:eastAsia="zh-CN"/>
              </w:rPr>
            </w:pPr>
            <w:r>
              <w:rPr>
                <w:rFonts w:hint="default" w:ascii="Times New Roman" w:hAnsi="Times New Roman" w:eastAsia="宋体" w:cs="Times New Roman"/>
                <w:b/>
                <w:color w:val="000000"/>
                <w:szCs w:val="21"/>
                <w:highlight w:val="none"/>
              </w:rPr>
              <w:t>图2-</w:t>
            </w:r>
            <w:r>
              <w:rPr>
                <w:rFonts w:hint="default" w:ascii="Times New Roman" w:hAnsi="Times New Roman" w:eastAsia="宋体" w:cs="Times New Roman"/>
                <w:b/>
                <w:color w:val="000000"/>
                <w:szCs w:val="21"/>
                <w:highlight w:val="none"/>
                <w:lang w:val="en-US" w:eastAsia="zh-CN"/>
              </w:rPr>
              <w:t>2</w:t>
            </w:r>
            <w:r>
              <w:rPr>
                <w:rFonts w:hint="default" w:ascii="Times New Roman" w:hAnsi="Times New Roman" w:eastAsia="宋体" w:cs="Times New Roman"/>
                <w:b/>
                <w:color w:val="000000"/>
                <w:szCs w:val="21"/>
                <w:highlight w:val="none"/>
              </w:rPr>
              <w:t xml:space="preserve">  </w:t>
            </w:r>
            <w:r>
              <w:rPr>
                <w:rFonts w:hint="default" w:ascii="Times New Roman" w:hAnsi="Times New Roman" w:eastAsia="宋体" w:cs="Times New Roman"/>
                <w:b/>
                <w:color w:val="000000"/>
                <w:szCs w:val="21"/>
                <w:highlight w:val="none"/>
                <w:lang w:val="en-US" w:eastAsia="zh-CN"/>
              </w:rPr>
              <w:t>项目</w:t>
            </w:r>
            <w:r>
              <w:rPr>
                <w:rFonts w:hint="default" w:ascii="Times New Roman" w:hAnsi="Times New Roman" w:eastAsia="宋体" w:cs="Times New Roman"/>
                <w:b/>
                <w:color w:val="000000"/>
                <w:szCs w:val="21"/>
                <w:highlight w:val="none"/>
              </w:rPr>
              <w:t>施工期流程及产污环节</w:t>
            </w:r>
            <w:r>
              <w:rPr>
                <w:rFonts w:hint="default" w:ascii="Times New Roman" w:hAnsi="Times New Roman" w:eastAsia="宋体" w:cs="Times New Roman"/>
                <w:b/>
                <w:color w:val="000000"/>
                <w:szCs w:val="21"/>
                <w:highlight w:val="none"/>
                <w:lang w:val="en-US" w:eastAsia="zh-CN"/>
              </w:rPr>
              <w:t>图</w:t>
            </w:r>
          </w:p>
          <w:p>
            <w:pPr>
              <w:adjustRightInd w:val="0"/>
              <w:spacing w:line="360" w:lineRule="auto"/>
              <w:ind w:firstLine="442" w:firstLineChars="200"/>
              <w:textAlignment w:val="baseline"/>
              <w:outlineLvl w:val="2"/>
              <w:rPr>
                <w:rFonts w:hint="default" w:ascii="Times New Roman" w:hAnsi="Times New Roman" w:eastAsia="宋体" w:cs="Times New Roman"/>
                <w:b/>
                <w:bCs/>
                <w:color w:val="000000"/>
                <w:sz w:val="22"/>
                <w:szCs w:val="18"/>
                <w:highlight w:val="none"/>
              </w:rPr>
            </w:pPr>
            <w:bookmarkStart w:id="2" w:name="_Toc25417"/>
            <w:bookmarkStart w:id="3" w:name="_Toc29551"/>
            <w:bookmarkStart w:id="4" w:name="_Toc12602"/>
            <w:bookmarkStart w:id="5" w:name="_Toc30700"/>
            <w:r>
              <w:rPr>
                <w:rFonts w:hint="default" w:ascii="Times New Roman" w:hAnsi="Times New Roman" w:eastAsia="宋体" w:cs="Times New Roman"/>
                <w:b/>
                <w:bCs/>
                <w:color w:val="000000"/>
                <w:sz w:val="22"/>
                <w:szCs w:val="18"/>
                <w:highlight w:val="none"/>
                <w:lang w:val="en-US" w:eastAsia="zh-CN"/>
              </w:rPr>
              <w:t>1.2</w:t>
            </w:r>
            <w:r>
              <w:rPr>
                <w:rFonts w:hint="default" w:ascii="Times New Roman" w:hAnsi="Times New Roman" w:eastAsia="宋体" w:cs="Times New Roman"/>
                <w:b/>
                <w:bCs/>
                <w:color w:val="000000"/>
                <w:sz w:val="22"/>
                <w:szCs w:val="18"/>
                <w:highlight w:val="none"/>
              </w:rPr>
              <w:t>主要污染物</w:t>
            </w:r>
            <w:bookmarkEnd w:id="2"/>
            <w:bookmarkEnd w:id="3"/>
            <w:bookmarkEnd w:id="4"/>
            <w:bookmarkEnd w:id="5"/>
          </w:p>
          <w:p>
            <w:pPr>
              <w:spacing w:line="360" w:lineRule="auto"/>
              <w:ind w:firstLine="440" w:firstLineChars="200"/>
              <w:rPr>
                <w:rFonts w:hint="default" w:ascii="Times New Roman" w:hAnsi="Times New Roman" w:eastAsia="宋体" w:cs="Times New Roman"/>
                <w:color w:val="000000"/>
                <w:sz w:val="22"/>
                <w:szCs w:val="22"/>
                <w:highlight w:val="none"/>
              </w:rPr>
            </w:pPr>
            <w:r>
              <w:rPr>
                <w:rFonts w:hint="default" w:ascii="Times New Roman" w:hAnsi="Times New Roman" w:eastAsia="宋体" w:cs="Times New Roman"/>
                <w:color w:val="000000"/>
                <w:sz w:val="22"/>
                <w:szCs w:val="22"/>
                <w:highlight w:val="none"/>
              </w:rPr>
              <w:t>（1）废气：主要为施工扬尘、运输起尘和机械汽车尾气等；</w:t>
            </w:r>
          </w:p>
          <w:p>
            <w:pPr>
              <w:spacing w:line="360" w:lineRule="auto"/>
              <w:ind w:firstLine="440" w:firstLineChars="200"/>
              <w:rPr>
                <w:rFonts w:hint="default" w:ascii="Times New Roman" w:hAnsi="Times New Roman" w:eastAsia="宋体" w:cs="Times New Roman"/>
                <w:color w:val="000000"/>
                <w:sz w:val="22"/>
                <w:szCs w:val="22"/>
                <w:highlight w:val="none"/>
              </w:rPr>
            </w:pPr>
            <w:r>
              <w:rPr>
                <w:rFonts w:hint="default" w:ascii="Times New Roman" w:hAnsi="Times New Roman" w:eastAsia="宋体" w:cs="Times New Roman"/>
                <w:color w:val="000000"/>
                <w:sz w:val="22"/>
                <w:szCs w:val="22"/>
                <w:highlight w:val="none"/>
              </w:rPr>
              <w:t>（2）废水：主要来自施工人员生活废水、施工废水和各种运输车辆冲洗水等；</w:t>
            </w:r>
          </w:p>
          <w:p>
            <w:pPr>
              <w:spacing w:line="360" w:lineRule="auto"/>
              <w:ind w:firstLine="440" w:firstLineChars="200"/>
              <w:rPr>
                <w:rFonts w:hint="default" w:ascii="Times New Roman" w:hAnsi="Times New Roman" w:eastAsia="宋体" w:cs="Times New Roman"/>
                <w:color w:val="000000"/>
                <w:sz w:val="22"/>
                <w:szCs w:val="22"/>
                <w:highlight w:val="none"/>
              </w:rPr>
            </w:pPr>
            <w:r>
              <w:rPr>
                <w:rFonts w:hint="default" w:ascii="Times New Roman" w:hAnsi="Times New Roman" w:eastAsia="宋体" w:cs="Times New Roman"/>
                <w:color w:val="000000"/>
                <w:sz w:val="22"/>
                <w:szCs w:val="22"/>
                <w:highlight w:val="none"/>
              </w:rPr>
              <w:t>（3）噪声：主要为设备噪声，物料运输车辆产生的交通噪声，设备安装噪声；</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40" w:firstLineChars="200"/>
              <w:jc w:val="left"/>
              <w:textAlignment w:val="auto"/>
              <w:outlineLvl w:val="9"/>
              <w:rPr>
                <w:rFonts w:hint="eastAsia" w:ascii="Times New Roman" w:hAnsi="Times New Roman" w:cs="Times New Roman"/>
                <w:bCs/>
                <w:color w:val="auto"/>
                <w:sz w:val="22"/>
                <w:szCs w:val="22"/>
                <w:highlight w:val="none"/>
                <w:lang w:val="en-US" w:eastAsia="zh-CN"/>
              </w:rPr>
            </w:pPr>
            <w:r>
              <w:rPr>
                <w:rFonts w:hint="default" w:ascii="Times New Roman" w:hAnsi="Times New Roman" w:eastAsia="宋体" w:cs="Times New Roman"/>
                <w:color w:val="000000"/>
                <w:sz w:val="22"/>
                <w:szCs w:val="22"/>
                <w:highlight w:val="none"/>
              </w:rPr>
              <w:t>（4）固废：主要是施工弃土</w:t>
            </w:r>
            <w:r>
              <w:rPr>
                <w:rFonts w:hint="default" w:ascii="Times New Roman" w:hAnsi="Times New Roman" w:eastAsia="宋体" w:cs="Times New Roman"/>
                <w:color w:val="000000"/>
                <w:sz w:val="22"/>
                <w:szCs w:val="22"/>
                <w:highlight w:val="none"/>
                <w:lang w:eastAsia="zh-CN"/>
              </w:rPr>
              <w:t>、</w:t>
            </w:r>
            <w:r>
              <w:rPr>
                <w:rFonts w:hint="default" w:ascii="Times New Roman" w:hAnsi="Times New Roman" w:eastAsia="宋体" w:cs="Times New Roman"/>
                <w:color w:val="000000"/>
                <w:sz w:val="22"/>
                <w:szCs w:val="22"/>
                <w:highlight w:val="none"/>
              </w:rPr>
              <w:t>施工人员的生活垃圾</w:t>
            </w:r>
            <w:r>
              <w:rPr>
                <w:rFonts w:hint="default" w:ascii="Times New Roman" w:hAnsi="Times New Roman" w:eastAsia="宋体" w:cs="Times New Roman"/>
                <w:color w:val="000000"/>
                <w:sz w:val="22"/>
                <w:szCs w:val="22"/>
                <w:highlight w:val="none"/>
                <w:lang w:eastAsia="zh-CN"/>
              </w:rPr>
              <w:t>、</w:t>
            </w:r>
            <w:r>
              <w:rPr>
                <w:rFonts w:hint="default" w:ascii="Times New Roman" w:hAnsi="Times New Roman" w:eastAsia="宋体" w:cs="Times New Roman"/>
                <w:color w:val="000000"/>
                <w:sz w:val="22"/>
                <w:szCs w:val="22"/>
                <w:highlight w:val="none"/>
              </w:rPr>
              <w:t>建筑垃圾。</w:t>
            </w:r>
          </w:p>
          <w:p>
            <w:pPr>
              <w:autoSpaceDE w:val="0"/>
              <w:autoSpaceDN w:val="0"/>
              <w:adjustRightInd w:val="0"/>
              <w:snapToGrid w:val="0"/>
              <w:spacing w:line="360" w:lineRule="auto"/>
              <w:ind w:firstLine="442" w:firstLineChars="200"/>
              <w:jc w:val="left"/>
              <w:rPr>
                <w:rFonts w:hint="eastAsia" w:ascii="Times New Roman" w:hAnsi="Times New Roman" w:cs="Times New Roman"/>
                <w:b/>
                <w:bCs/>
                <w:color w:val="auto"/>
                <w:kern w:val="0"/>
                <w:sz w:val="22"/>
                <w:szCs w:val="22"/>
                <w:highlight w:val="none"/>
                <w:lang w:val="en-US" w:eastAsia="zh-CN"/>
              </w:rPr>
            </w:pPr>
          </w:p>
          <w:p>
            <w:pPr>
              <w:autoSpaceDE w:val="0"/>
              <w:autoSpaceDN w:val="0"/>
              <w:adjustRightInd w:val="0"/>
              <w:snapToGrid w:val="0"/>
              <w:spacing w:line="360" w:lineRule="auto"/>
              <w:ind w:firstLine="442" w:firstLineChars="200"/>
              <w:jc w:val="left"/>
              <w:rPr>
                <w:rFonts w:hint="eastAsia" w:ascii="Times New Roman" w:hAnsi="Times New Roman" w:cs="Times New Roman"/>
                <w:b/>
                <w:bCs/>
                <w:color w:val="auto"/>
                <w:kern w:val="0"/>
                <w:sz w:val="22"/>
                <w:szCs w:val="22"/>
                <w:highlight w:val="none"/>
                <w:lang w:val="en-US" w:eastAsia="zh-CN"/>
              </w:rPr>
            </w:pPr>
          </w:p>
          <w:p>
            <w:pPr>
              <w:autoSpaceDE w:val="0"/>
              <w:autoSpaceDN w:val="0"/>
              <w:adjustRightInd w:val="0"/>
              <w:snapToGrid w:val="0"/>
              <w:spacing w:line="360" w:lineRule="auto"/>
              <w:ind w:firstLine="442" w:firstLineChars="200"/>
              <w:jc w:val="left"/>
              <w:rPr>
                <w:rFonts w:hint="eastAsia" w:ascii="Times New Roman" w:hAnsi="Times New Roman" w:cs="Times New Roman"/>
                <w:b/>
                <w:bCs/>
                <w:color w:val="auto"/>
                <w:kern w:val="0"/>
                <w:sz w:val="22"/>
                <w:szCs w:val="22"/>
                <w:highlight w:val="none"/>
                <w:lang w:val="en-US" w:eastAsia="zh-CN"/>
              </w:rPr>
            </w:pPr>
          </w:p>
          <w:p>
            <w:pPr>
              <w:autoSpaceDE w:val="0"/>
              <w:autoSpaceDN w:val="0"/>
              <w:adjustRightInd w:val="0"/>
              <w:snapToGrid w:val="0"/>
              <w:spacing w:line="360" w:lineRule="auto"/>
              <w:ind w:firstLine="442" w:firstLineChars="200"/>
              <w:jc w:val="left"/>
              <w:rPr>
                <w:rFonts w:hint="eastAsia" w:ascii="Times New Roman" w:hAnsi="Times New Roman" w:eastAsia="宋体" w:cs="Times New Roman"/>
                <w:b/>
                <w:bCs/>
                <w:color w:val="auto"/>
                <w:kern w:val="0"/>
                <w:sz w:val="22"/>
                <w:szCs w:val="22"/>
                <w:highlight w:val="none"/>
                <w:lang w:val="en-US" w:eastAsia="zh-CN"/>
              </w:rPr>
            </w:pPr>
            <w:r>
              <w:rPr>
                <w:rFonts w:hint="eastAsia" w:ascii="Times New Roman" w:hAnsi="Times New Roman" w:cs="Times New Roman"/>
                <w:b/>
                <w:bCs/>
                <w:color w:val="auto"/>
                <w:kern w:val="0"/>
                <w:sz w:val="22"/>
                <w:szCs w:val="22"/>
                <w:highlight w:val="none"/>
                <w:lang w:val="en-US" w:eastAsia="zh-CN"/>
              </w:rPr>
              <w:t>2、运营期</w:t>
            </w:r>
          </w:p>
          <w:p>
            <w:pPr>
              <w:autoSpaceDE w:val="0"/>
              <w:autoSpaceDN w:val="0"/>
              <w:adjustRightInd w:val="0"/>
              <w:snapToGrid w:val="0"/>
              <w:spacing w:line="360" w:lineRule="auto"/>
              <w:ind w:firstLine="442" w:firstLineChars="200"/>
              <w:jc w:val="left"/>
              <w:rPr>
                <w:rFonts w:hint="eastAsia" w:ascii="Times New Roman" w:hAnsi="Times New Roman" w:eastAsia="宋体" w:cs="Times New Roman"/>
                <w:b/>
                <w:bCs/>
                <w:color w:val="auto"/>
                <w:kern w:val="0"/>
                <w:sz w:val="22"/>
                <w:szCs w:val="22"/>
                <w:highlight w:val="none"/>
                <w:lang w:eastAsia="zh-CN"/>
              </w:rPr>
            </w:pPr>
            <w:r>
              <w:rPr>
                <w:rFonts w:hint="eastAsia" w:ascii="Times New Roman" w:hAnsi="Times New Roman" w:cs="Times New Roman"/>
                <w:b/>
                <w:bCs/>
                <w:color w:val="auto"/>
                <w:kern w:val="0"/>
                <w:sz w:val="22"/>
                <w:szCs w:val="22"/>
                <w:highlight w:val="none"/>
                <w:lang w:val="en-US" w:eastAsia="zh-CN"/>
              </w:rPr>
              <w:t>2.1</w:t>
            </w:r>
            <w:r>
              <w:rPr>
                <w:rFonts w:hint="eastAsia" w:ascii="Times New Roman" w:hAnsi="Times New Roman" w:cs="Times New Roman"/>
                <w:b/>
                <w:bCs/>
                <w:color w:val="auto"/>
                <w:kern w:val="0"/>
                <w:sz w:val="22"/>
                <w:szCs w:val="22"/>
                <w:highlight w:val="none"/>
                <w:lang w:eastAsia="zh-CN"/>
              </w:rPr>
              <w:t>运营期工艺流程</w:t>
            </w:r>
          </w:p>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outlineLvl w:val="9"/>
              <w:rPr>
                <w:rFonts w:hint="eastAsia" w:eastAsia="宋体"/>
                <w:highlight w:val="none"/>
                <w:lang w:eastAsia="zh-CN"/>
              </w:rPr>
            </w:pPr>
            <w:r>
              <w:rPr>
                <w:rFonts w:hint="eastAsia" w:eastAsia="宋体"/>
                <w:highlight w:val="none"/>
                <w:lang w:eastAsia="zh-CN"/>
              </w:rPr>
              <w:drawing>
                <wp:inline distT="0" distB="0" distL="114300" distR="114300">
                  <wp:extent cx="5040630" cy="6869430"/>
                  <wp:effectExtent l="0" t="0" r="0" b="0"/>
                  <wp:docPr id="7" name="图片 14"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4" descr="wps"/>
                          <pic:cNvPicPr>
                            <a:picLocks noChangeAspect="1"/>
                          </pic:cNvPicPr>
                        </pic:nvPicPr>
                        <pic:blipFill>
                          <a:blip r:embed="rId15"/>
                          <a:srcRect t="3821" b="2019"/>
                          <a:stretch>
                            <a:fillRect/>
                          </a:stretch>
                        </pic:blipFill>
                        <pic:spPr>
                          <a:xfrm>
                            <a:off x="0" y="0"/>
                            <a:ext cx="5040630" cy="6869430"/>
                          </a:xfrm>
                          <a:prstGeom prst="rect">
                            <a:avLst/>
                          </a:prstGeom>
                          <a:noFill/>
                          <a:ln>
                            <a:noFill/>
                          </a:ln>
                        </pic:spPr>
                      </pic:pic>
                    </a:graphicData>
                  </a:graphic>
                </wp:inline>
              </w:drawing>
            </w:r>
          </w:p>
          <w:p>
            <w:pPr>
              <w:spacing w:line="360" w:lineRule="auto"/>
              <w:jc w:val="center"/>
              <w:rPr>
                <w:b/>
                <w:color w:val="auto"/>
                <w:szCs w:val="21"/>
                <w:highlight w:val="none"/>
              </w:rPr>
            </w:pPr>
            <w:r>
              <w:rPr>
                <w:b/>
                <w:color w:val="auto"/>
                <w:szCs w:val="21"/>
                <w:highlight w:val="none"/>
              </w:rPr>
              <w:t>图</w:t>
            </w:r>
            <w:r>
              <w:rPr>
                <w:rFonts w:hint="eastAsia"/>
                <w:b/>
                <w:color w:val="auto"/>
                <w:szCs w:val="21"/>
                <w:highlight w:val="none"/>
                <w:lang w:val="en-US" w:eastAsia="zh-CN"/>
              </w:rPr>
              <w:t>2-3</w:t>
            </w:r>
            <w:r>
              <w:rPr>
                <w:b/>
                <w:color w:val="auto"/>
                <w:szCs w:val="21"/>
                <w:highlight w:val="none"/>
              </w:rPr>
              <w:t xml:space="preserve"> </w:t>
            </w:r>
            <w:r>
              <w:rPr>
                <w:rFonts w:hint="eastAsia"/>
                <w:b/>
                <w:color w:val="auto"/>
                <w:szCs w:val="21"/>
                <w:highlight w:val="none"/>
                <w:lang w:eastAsia="zh-CN"/>
              </w:rPr>
              <w:t>运营期</w:t>
            </w:r>
            <w:r>
              <w:rPr>
                <w:b/>
                <w:color w:val="auto"/>
                <w:szCs w:val="21"/>
                <w:highlight w:val="none"/>
              </w:rPr>
              <w:t>工艺流程及产污环节</w:t>
            </w:r>
          </w:p>
          <w:p>
            <w:pPr>
              <w:autoSpaceDE w:val="0"/>
              <w:autoSpaceDN w:val="0"/>
              <w:adjustRightInd w:val="0"/>
              <w:snapToGrid w:val="0"/>
              <w:spacing w:line="360" w:lineRule="auto"/>
              <w:ind w:firstLine="442" w:firstLineChars="200"/>
              <w:jc w:val="left"/>
              <w:rPr>
                <w:rFonts w:hint="default" w:ascii="Times New Roman" w:hAnsi="Times New Roman" w:cs="Times New Roman"/>
                <w:b/>
                <w:bCs/>
                <w:color w:val="auto"/>
                <w:kern w:val="0"/>
                <w:sz w:val="22"/>
                <w:szCs w:val="22"/>
                <w:highlight w:val="none"/>
              </w:rPr>
            </w:pPr>
            <w:r>
              <w:rPr>
                <w:rFonts w:hint="eastAsia" w:ascii="Times New Roman" w:hAnsi="Times New Roman" w:cs="Times New Roman"/>
                <w:b/>
                <w:bCs/>
                <w:color w:val="auto"/>
                <w:kern w:val="0"/>
                <w:sz w:val="22"/>
                <w:szCs w:val="22"/>
                <w:highlight w:val="none"/>
                <w:lang w:val="en-US" w:eastAsia="zh-CN"/>
              </w:rPr>
              <w:t>2.2运营期</w:t>
            </w:r>
            <w:r>
              <w:rPr>
                <w:rFonts w:hint="default" w:ascii="Times New Roman" w:hAnsi="Times New Roman" w:cs="Times New Roman"/>
                <w:b/>
                <w:bCs/>
                <w:color w:val="auto"/>
                <w:kern w:val="0"/>
                <w:sz w:val="22"/>
                <w:szCs w:val="22"/>
                <w:highlight w:val="none"/>
              </w:rPr>
              <w:t>主要工序简述</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40" w:firstLineChars="200"/>
              <w:jc w:val="left"/>
              <w:textAlignment w:val="auto"/>
              <w:outlineLvl w:val="9"/>
              <w:rPr>
                <w:rFonts w:hint="default" w:ascii="Times New Roman" w:hAnsi="Times New Roman" w:cs="Times New Roman"/>
                <w:bCs/>
                <w:color w:val="auto"/>
                <w:sz w:val="22"/>
                <w:szCs w:val="22"/>
                <w:highlight w:val="none"/>
                <w:lang w:val="en-US" w:eastAsia="zh-CN"/>
              </w:rPr>
            </w:pPr>
            <w:r>
              <w:rPr>
                <w:rFonts w:hint="eastAsia" w:ascii="Times New Roman" w:hAnsi="Times New Roman" w:cs="Times New Roman"/>
                <w:bCs/>
                <w:color w:val="auto"/>
                <w:sz w:val="22"/>
                <w:szCs w:val="22"/>
                <w:highlight w:val="none"/>
                <w:lang w:val="en-US" w:eastAsia="zh-CN"/>
              </w:rPr>
              <w:t>（1）玻璃原片切割成型</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40" w:firstLineChars="200"/>
              <w:jc w:val="left"/>
              <w:textAlignment w:val="auto"/>
              <w:outlineLvl w:val="9"/>
              <w:rPr>
                <w:rFonts w:hint="default" w:ascii="Times New Roman" w:hAnsi="Times New Roman" w:cs="Times New Roman"/>
                <w:bCs/>
                <w:color w:val="auto"/>
                <w:sz w:val="22"/>
                <w:szCs w:val="22"/>
                <w:highlight w:val="none"/>
                <w:lang w:val="en-US" w:eastAsia="zh-CN"/>
              </w:rPr>
            </w:pPr>
            <w:r>
              <w:rPr>
                <w:rFonts w:hint="eastAsia" w:ascii="Times New Roman" w:hAnsi="Times New Roman" w:cs="Times New Roman"/>
                <w:bCs/>
                <w:color w:val="auto"/>
                <w:sz w:val="22"/>
                <w:szCs w:val="22"/>
                <w:highlight w:val="none"/>
                <w:lang w:val="en-US" w:eastAsia="zh-CN"/>
              </w:rPr>
              <w:t>玻璃原片均为外购。采用切割机将玻璃原片切割成各种尺寸，以满足不同客户的需求。该工序会有玻璃边角料及噪声产生。</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40" w:firstLineChars="200"/>
              <w:jc w:val="left"/>
              <w:textAlignment w:val="auto"/>
              <w:outlineLvl w:val="9"/>
              <w:rPr>
                <w:rFonts w:hint="default" w:ascii="Times New Roman" w:hAnsi="Times New Roman" w:cs="Times New Roman"/>
                <w:bCs/>
                <w:color w:val="auto"/>
                <w:sz w:val="22"/>
                <w:szCs w:val="22"/>
                <w:highlight w:val="none"/>
                <w:lang w:val="en-US" w:eastAsia="zh-CN"/>
              </w:rPr>
            </w:pPr>
            <w:r>
              <w:rPr>
                <w:rFonts w:hint="eastAsia" w:ascii="Times New Roman" w:hAnsi="Times New Roman" w:cs="Times New Roman"/>
                <w:bCs/>
                <w:color w:val="auto"/>
                <w:sz w:val="22"/>
                <w:szCs w:val="22"/>
                <w:highlight w:val="none"/>
                <w:lang w:val="en-US" w:eastAsia="zh-CN"/>
              </w:rPr>
              <w:t>（2）清洗</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40" w:firstLineChars="200"/>
              <w:jc w:val="left"/>
              <w:textAlignment w:val="auto"/>
              <w:outlineLvl w:val="9"/>
              <w:rPr>
                <w:rFonts w:hint="eastAsia" w:ascii="Times New Roman" w:hAnsi="Times New Roman" w:cs="Times New Roman"/>
                <w:bCs/>
                <w:color w:val="auto"/>
                <w:sz w:val="22"/>
                <w:szCs w:val="22"/>
                <w:highlight w:val="yellow"/>
                <w:lang w:val="en-US" w:eastAsia="zh-CN"/>
              </w:rPr>
            </w:pPr>
            <w:r>
              <w:rPr>
                <w:rFonts w:hint="eastAsia" w:ascii="Times New Roman" w:hAnsi="Times New Roman" w:cs="Times New Roman"/>
                <w:bCs/>
                <w:color w:val="auto"/>
                <w:sz w:val="22"/>
                <w:szCs w:val="22"/>
                <w:highlight w:val="none"/>
                <w:lang w:val="en-US" w:eastAsia="zh-CN"/>
              </w:rPr>
              <w:t>在夹胶之前，需清洗掉玻璃表面灰层等杂质，清洗过程中不添加任何化学添加剂，清洗废水进入循环水池，废水经过循环水池沉淀后循环使用，不外排。定期清掏循环水池，水池沉渣交由环卫部门处理。</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40" w:firstLineChars="200"/>
              <w:jc w:val="left"/>
              <w:textAlignment w:val="auto"/>
              <w:outlineLvl w:val="9"/>
              <w:rPr>
                <w:rFonts w:hint="eastAsia" w:ascii="Times New Roman" w:hAnsi="Times New Roman" w:cs="Times New Roman"/>
                <w:bCs/>
                <w:color w:val="auto"/>
                <w:sz w:val="22"/>
                <w:szCs w:val="22"/>
                <w:highlight w:val="none"/>
                <w:lang w:val="en-US" w:eastAsia="zh-CN"/>
              </w:rPr>
            </w:pPr>
            <w:r>
              <w:rPr>
                <w:rFonts w:hint="eastAsia" w:ascii="Times New Roman" w:hAnsi="Times New Roman" w:cs="Times New Roman"/>
                <w:bCs/>
                <w:color w:val="auto"/>
                <w:sz w:val="22"/>
                <w:szCs w:val="22"/>
                <w:highlight w:val="none"/>
                <w:lang w:val="en-US" w:eastAsia="zh-CN"/>
              </w:rPr>
              <w:t>（3）夹胶合片</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40" w:firstLineChars="200"/>
              <w:jc w:val="left"/>
              <w:textAlignment w:val="auto"/>
              <w:outlineLvl w:val="9"/>
              <w:rPr>
                <w:rFonts w:hint="default" w:ascii="Times New Roman" w:hAnsi="Times New Roman" w:cs="Times New Roman"/>
                <w:bCs/>
                <w:color w:val="auto"/>
                <w:sz w:val="22"/>
                <w:szCs w:val="22"/>
                <w:highlight w:val="none"/>
                <w:lang w:val="en-US" w:eastAsia="zh-CN"/>
              </w:rPr>
            </w:pPr>
            <w:r>
              <w:rPr>
                <w:rFonts w:hint="eastAsia" w:ascii="Times New Roman" w:hAnsi="Times New Roman" w:cs="Times New Roman"/>
                <w:bCs/>
                <w:color w:val="auto"/>
                <w:sz w:val="22"/>
                <w:szCs w:val="22"/>
                <w:highlight w:val="none"/>
                <w:lang w:val="en-US" w:eastAsia="zh-CN"/>
              </w:rPr>
              <w:t>将清洗后的玻璃原片和PVB胶片进行夹胶处理，即将PVB胶片夹在两片玻璃之间，裁去多余部分，该过程在常温下进行。将夹胶好的玻璃压胶加压（工作温度60-75℃，电加热），使PVB达到软化温度，将两块玻璃紧密粘合在一起。该工序会有胶片边角料及噪声产生。</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40" w:firstLineChars="200"/>
              <w:jc w:val="left"/>
              <w:textAlignment w:val="auto"/>
              <w:outlineLvl w:val="9"/>
              <w:rPr>
                <w:rFonts w:hint="default" w:ascii="Times New Roman" w:hAnsi="Times New Roman" w:cs="Times New Roman"/>
                <w:bCs/>
                <w:color w:val="auto"/>
                <w:sz w:val="22"/>
                <w:szCs w:val="22"/>
                <w:highlight w:val="none"/>
                <w:lang w:val="en-US" w:eastAsia="zh-CN"/>
              </w:rPr>
            </w:pPr>
            <w:r>
              <w:rPr>
                <w:rFonts w:hint="eastAsia" w:ascii="Times New Roman" w:hAnsi="Times New Roman" w:cs="Times New Roman"/>
                <w:bCs/>
                <w:color w:val="auto"/>
                <w:sz w:val="22"/>
                <w:szCs w:val="22"/>
                <w:highlight w:val="none"/>
                <w:lang w:val="en-US" w:eastAsia="zh-CN"/>
              </w:rPr>
              <w:t>（4）高压釜成型</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40" w:firstLineChars="200"/>
              <w:jc w:val="left"/>
              <w:textAlignment w:val="auto"/>
              <w:outlineLvl w:val="9"/>
              <w:rPr>
                <w:rFonts w:hint="default" w:ascii="Times New Roman" w:hAnsi="Times New Roman" w:cs="Times New Roman"/>
                <w:bCs/>
                <w:color w:val="auto"/>
                <w:sz w:val="22"/>
                <w:szCs w:val="22"/>
                <w:highlight w:val="none"/>
                <w:lang w:val="en-US" w:eastAsia="zh-CN"/>
              </w:rPr>
            </w:pPr>
            <w:r>
              <w:rPr>
                <w:rFonts w:hint="eastAsia" w:ascii="Times New Roman" w:hAnsi="Times New Roman" w:cs="Times New Roman"/>
                <w:bCs/>
                <w:color w:val="auto"/>
                <w:sz w:val="22"/>
                <w:szCs w:val="22"/>
                <w:highlight w:val="none"/>
                <w:lang w:val="en-US" w:eastAsia="zh-CN"/>
              </w:rPr>
              <w:t>由于玻璃合片后虽基本胶合，但仍有一部分气体在其温度下还有残余，胶合的牢固度不强。将合片好的夹胶玻璃送入高压釜内进行加温加压（工作温度120-130℃℃，电加热）以挤出夹层玻璃中残留的空气后即得成品，高压釜使用时设备密闭。</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40" w:firstLineChars="200"/>
              <w:jc w:val="left"/>
              <w:textAlignment w:val="auto"/>
              <w:outlineLvl w:val="9"/>
              <w:rPr>
                <w:rFonts w:hint="eastAsia" w:ascii="Times New Roman" w:hAnsi="Times New Roman" w:cs="Times New Roman"/>
                <w:bCs/>
                <w:color w:val="auto"/>
                <w:sz w:val="22"/>
                <w:szCs w:val="22"/>
                <w:highlight w:val="none"/>
                <w:lang w:val="en-US" w:eastAsia="zh-CN"/>
              </w:rPr>
            </w:pPr>
            <w:r>
              <w:rPr>
                <w:rFonts w:hint="eastAsia" w:ascii="Times New Roman" w:hAnsi="Times New Roman" w:cs="Times New Roman"/>
                <w:bCs/>
                <w:color w:val="auto"/>
                <w:sz w:val="22"/>
                <w:szCs w:val="22"/>
                <w:highlight w:val="none"/>
                <w:lang w:val="en-US" w:eastAsia="zh-CN"/>
              </w:rPr>
              <w:t>PVB胶片是半透明的膜片，由聚乙烯醇丁醛经增塑剂塑化挤压成型的一种高分子材料，性能稳定。PVB胶片软化温度为60-65℃，200℃时发生分解。本项目工作温度控制在120-130℃左右，PVB胶片不会分解，本次不考虑挥发性气体的产生。</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40" w:firstLineChars="200"/>
              <w:jc w:val="left"/>
              <w:textAlignment w:val="auto"/>
              <w:outlineLvl w:val="9"/>
              <w:rPr>
                <w:rFonts w:hint="default" w:ascii="Times New Roman" w:hAnsi="Times New Roman" w:cs="Times New Roman"/>
                <w:bCs/>
                <w:color w:val="auto"/>
                <w:sz w:val="22"/>
                <w:szCs w:val="22"/>
                <w:highlight w:val="none"/>
                <w:lang w:val="en-US" w:eastAsia="zh-CN"/>
              </w:rPr>
            </w:pPr>
            <w:r>
              <w:rPr>
                <w:rFonts w:hint="eastAsia" w:ascii="Times New Roman" w:hAnsi="Times New Roman" w:cs="Times New Roman"/>
                <w:bCs/>
                <w:color w:val="auto"/>
                <w:sz w:val="22"/>
                <w:szCs w:val="22"/>
                <w:highlight w:val="none"/>
                <w:lang w:val="en-US" w:eastAsia="zh-CN"/>
              </w:rPr>
              <w:t>（5）磨边</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40" w:firstLineChars="200"/>
              <w:jc w:val="left"/>
              <w:textAlignment w:val="auto"/>
              <w:outlineLvl w:val="9"/>
              <w:rPr>
                <w:rFonts w:hint="default" w:ascii="Times New Roman" w:hAnsi="Times New Roman" w:cs="Times New Roman"/>
                <w:bCs/>
                <w:color w:val="auto"/>
                <w:sz w:val="22"/>
                <w:szCs w:val="22"/>
                <w:highlight w:val="none"/>
                <w:lang w:val="en-US" w:eastAsia="zh-CN"/>
              </w:rPr>
            </w:pPr>
            <w:r>
              <w:rPr>
                <w:rFonts w:hint="eastAsia" w:ascii="Times New Roman" w:hAnsi="Times New Roman" w:cs="Times New Roman"/>
                <w:bCs/>
                <w:color w:val="auto"/>
                <w:sz w:val="22"/>
                <w:szCs w:val="22"/>
                <w:highlight w:val="none"/>
                <w:lang w:val="en-US" w:eastAsia="zh-CN"/>
              </w:rPr>
              <w:t>对玻璃进行边角的打磨加工，在磨边的同时，在砂轮与玻璃接触部位冲水，以免产生玻璃粉尘，磨边冲洗水进入循环水池，废水经过循环水池沉淀后循环使用，不外排。定期清掏循环水池，水池沉渣交由环卫部门处理。</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40" w:firstLineChars="200"/>
              <w:jc w:val="left"/>
              <w:textAlignment w:val="auto"/>
              <w:outlineLvl w:val="9"/>
              <w:rPr>
                <w:rFonts w:hint="default" w:ascii="Times New Roman" w:hAnsi="Times New Roman" w:cs="Times New Roman"/>
                <w:bCs/>
                <w:color w:val="auto"/>
                <w:sz w:val="22"/>
                <w:szCs w:val="22"/>
                <w:highlight w:val="none"/>
                <w:lang w:val="en-US" w:eastAsia="zh-CN"/>
              </w:rPr>
            </w:pPr>
            <w:r>
              <w:rPr>
                <w:rFonts w:hint="eastAsia" w:ascii="Times New Roman" w:hAnsi="Times New Roman" w:cs="Times New Roman"/>
                <w:bCs/>
                <w:color w:val="auto"/>
                <w:sz w:val="22"/>
                <w:szCs w:val="22"/>
                <w:highlight w:val="none"/>
                <w:lang w:val="en-US" w:eastAsia="zh-CN"/>
              </w:rPr>
              <w:t>（6）调漆、喷漆</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40" w:firstLineChars="200"/>
              <w:jc w:val="left"/>
              <w:textAlignment w:val="auto"/>
              <w:outlineLvl w:val="9"/>
              <w:rPr>
                <w:rFonts w:hint="eastAsia" w:ascii="Times New Roman" w:hAnsi="Times New Roman" w:eastAsia="宋体" w:cs="Times New Roman"/>
                <w:bCs/>
                <w:color w:val="auto"/>
                <w:sz w:val="22"/>
                <w:szCs w:val="22"/>
                <w:highlight w:val="none"/>
                <w:lang w:val="en-US" w:eastAsia="zh-CN"/>
              </w:rPr>
            </w:pPr>
            <w:r>
              <w:rPr>
                <w:rFonts w:hint="eastAsia" w:ascii="Times New Roman" w:hAnsi="Times New Roman" w:eastAsia="宋体" w:cs="Times New Roman"/>
                <w:bCs/>
                <w:color w:val="auto"/>
                <w:sz w:val="22"/>
                <w:szCs w:val="22"/>
                <w:highlight w:val="none"/>
                <w:lang w:val="en-US" w:eastAsia="zh-CN"/>
              </w:rPr>
              <w:t>调漆在密闭喷漆房内现场调制，即调即用，根据每天实际需要的喷涂数量确定调漆量。喷漆作业前，将KT漆、KT固化剂、KT稀释剂按3:1:1.5比例在喷漆房内进行人工调漆，稀释过程中会产生有机废气。本项目含VOCs原辅材料均放入密闭容器、容器存放于封闭漆库房，非取用状态容器保持密闭。</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40" w:firstLineChars="200"/>
              <w:jc w:val="left"/>
              <w:textAlignment w:val="auto"/>
              <w:outlineLvl w:val="9"/>
              <w:rPr>
                <w:rFonts w:hint="eastAsia" w:ascii="Times New Roman" w:hAnsi="Times New Roman" w:cs="Times New Roman"/>
                <w:bCs/>
                <w:color w:val="auto"/>
                <w:sz w:val="22"/>
                <w:szCs w:val="22"/>
                <w:highlight w:val="yellow"/>
                <w:lang w:val="en-US" w:eastAsia="zh-CN"/>
              </w:rPr>
            </w:pPr>
            <w:r>
              <w:rPr>
                <w:rFonts w:hint="eastAsia" w:ascii="Times New Roman" w:hAnsi="Times New Roman" w:eastAsia="宋体" w:cs="Times New Roman"/>
                <w:bCs/>
                <w:color w:val="auto"/>
                <w:sz w:val="22"/>
                <w:szCs w:val="22"/>
                <w:highlight w:val="none"/>
                <w:lang w:val="en-US" w:eastAsia="zh-CN"/>
              </w:rPr>
              <w:t>将需要喷漆的夹层玻璃通过行车送入喷漆房中进行喷涂。</w:t>
            </w:r>
            <w:r>
              <w:rPr>
                <w:rFonts w:hint="eastAsia" w:ascii="Times New Roman" w:hAnsi="Times New Roman" w:cs="Times New Roman"/>
                <w:bCs/>
                <w:color w:val="auto"/>
                <w:sz w:val="22"/>
                <w:szCs w:val="22"/>
                <w:highlight w:val="none"/>
                <w:lang w:val="en-US" w:eastAsia="zh-CN"/>
              </w:rPr>
              <w:t>该工序会</w:t>
            </w:r>
            <w:r>
              <w:rPr>
                <w:rFonts w:hint="eastAsia" w:ascii="Times New Roman" w:hAnsi="Times New Roman" w:eastAsia="宋体" w:cs="Times New Roman"/>
                <w:bCs/>
                <w:color w:val="auto"/>
                <w:sz w:val="22"/>
                <w:szCs w:val="22"/>
                <w:highlight w:val="none"/>
                <w:lang w:val="en-US" w:eastAsia="zh-CN"/>
              </w:rPr>
              <w:t>会产生有机废气、漆雾和噪声。</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40" w:firstLineChars="200"/>
              <w:jc w:val="left"/>
              <w:textAlignment w:val="auto"/>
              <w:outlineLvl w:val="9"/>
              <w:rPr>
                <w:rFonts w:hint="default" w:ascii="Times New Roman" w:hAnsi="Times New Roman" w:cs="Times New Roman"/>
                <w:bCs/>
                <w:color w:val="auto"/>
                <w:sz w:val="22"/>
                <w:szCs w:val="22"/>
                <w:highlight w:val="none"/>
                <w:lang w:val="en-US" w:eastAsia="zh-CN"/>
              </w:rPr>
            </w:pPr>
            <w:r>
              <w:rPr>
                <w:rFonts w:hint="eastAsia" w:ascii="Times New Roman" w:hAnsi="Times New Roman" w:cs="Times New Roman"/>
                <w:bCs/>
                <w:color w:val="auto"/>
                <w:sz w:val="22"/>
                <w:szCs w:val="22"/>
                <w:highlight w:val="none"/>
                <w:lang w:val="en-US" w:eastAsia="zh-CN"/>
              </w:rPr>
              <w:t>（7）自然晾干</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40" w:firstLineChars="200"/>
              <w:jc w:val="left"/>
              <w:textAlignment w:val="auto"/>
              <w:outlineLvl w:val="9"/>
              <w:rPr>
                <w:rFonts w:hint="eastAsia" w:ascii="Times New Roman" w:hAnsi="Times New Roman" w:cs="Times New Roman"/>
                <w:bCs/>
                <w:color w:val="auto"/>
                <w:sz w:val="22"/>
                <w:szCs w:val="22"/>
                <w:highlight w:val="yellow"/>
                <w:lang w:val="en-US" w:eastAsia="zh-CN"/>
              </w:rPr>
            </w:pPr>
            <w:r>
              <w:rPr>
                <w:rFonts w:hint="eastAsia" w:ascii="Times New Roman" w:hAnsi="Times New Roman" w:eastAsia="宋体" w:cs="Times New Roman"/>
                <w:bCs/>
                <w:color w:val="auto"/>
                <w:sz w:val="22"/>
                <w:szCs w:val="22"/>
                <w:highlight w:val="none"/>
                <w:lang w:val="en-US" w:eastAsia="zh-CN"/>
              </w:rPr>
              <w:t>玻璃喷漆之后放在晾干区自然晾干。该过程中会产生有机废气。</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40" w:firstLineChars="200"/>
              <w:jc w:val="left"/>
              <w:textAlignment w:val="auto"/>
              <w:outlineLvl w:val="9"/>
              <w:rPr>
                <w:rFonts w:hint="default" w:ascii="Times New Roman" w:hAnsi="Times New Roman" w:cs="Times New Roman"/>
                <w:bCs/>
                <w:color w:val="auto"/>
                <w:sz w:val="22"/>
                <w:szCs w:val="22"/>
                <w:highlight w:val="none"/>
                <w:lang w:val="en-US" w:eastAsia="zh-CN"/>
              </w:rPr>
            </w:pPr>
            <w:r>
              <w:rPr>
                <w:rFonts w:hint="eastAsia" w:ascii="Times New Roman" w:hAnsi="Times New Roman" w:cs="Times New Roman"/>
                <w:bCs/>
                <w:color w:val="auto"/>
                <w:sz w:val="22"/>
                <w:szCs w:val="22"/>
                <w:highlight w:val="none"/>
                <w:lang w:val="en-US" w:eastAsia="zh-CN"/>
              </w:rPr>
              <w:t>（8）检验出厂</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40" w:firstLineChars="200"/>
              <w:jc w:val="left"/>
              <w:textAlignment w:val="auto"/>
              <w:outlineLvl w:val="9"/>
              <w:rPr>
                <w:rFonts w:hint="default" w:ascii="Times New Roman" w:hAnsi="Times New Roman" w:cs="Times New Roman"/>
                <w:bCs/>
                <w:color w:val="auto"/>
                <w:sz w:val="22"/>
                <w:szCs w:val="22"/>
                <w:highlight w:val="none"/>
                <w:lang w:val="en-US" w:eastAsia="zh-CN"/>
              </w:rPr>
            </w:pPr>
            <w:r>
              <w:rPr>
                <w:rFonts w:hint="eastAsia" w:ascii="Times New Roman" w:hAnsi="Times New Roman" w:cs="Times New Roman"/>
                <w:bCs/>
                <w:color w:val="auto"/>
                <w:sz w:val="22"/>
                <w:szCs w:val="22"/>
                <w:highlight w:val="none"/>
                <w:lang w:val="en-US" w:eastAsia="zh-CN"/>
              </w:rPr>
              <w:t>检验加工完成的产品，合格后出厂，不合格产品收集外售或厂家回收。</w:t>
            </w:r>
          </w:p>
          <w:p>
            <w:pPr>
              <w:autoSpaceDE w:val="0"/>
              <w:autoSpaceDN w:val="0"/>
              <w:adjustRightInd w:val="0"/>
              <w:snapToGrid w:val="0"/>
              <w:spacing w:line="360" w:lineRule="auto"/>
              <w:ind w:firstLine="442" w:firstLineChars="200"/>
              <w:jc w:val="left"/>
              <w:rPr>
                <w:rFonts w:hint="eastAsia" w:ascii="Times New Roman" w:hAnsi="Times New Roman" w:eastAsia="宋体" w:cs="Times New Roman"/>
                <w:b/>
                <w:bCs/>
                <w:color w:val="auto"/>
                <w:kern w:val="0"/>
                <w:sz w:val="22"/>
                <w:szCs w:val="22"/>
                <w:highlight w:val="none"/>
                <w:lang w:eastAsia="zh-CN"/>
              </w:rPr>
            </w:pPr>
            <w:r>
              <w:rPr>
                <w:rFonts w:hint="eastAsia" w:ascii="Times New Roman" w:hAnsi="Times New Roman" w:cs="Times New Roman"/>
                <w:b/>
                <w:bCs/>
                <w:color w:val="auto"/>
                <w:kern w:val="0"/>
                <w:sz w:val="22"/>
                <w:szCs w:val="22"/>
                <w:highlight w:val="none"/>
                <w:lang w:val="en-US" w:eastAsia="zh-CN"/>
              </w:rPr>
              <w:t>2.3运营期</w:t>
            </w:r>
            <w:r>
              <w:rPr>
                <w:rFonts w:hint="default" w:ascii="Times New Roman" w:hAnsi="Times New Roman" w:cs="Times New Roman"/>
                <w:b/>
                <w:bCs/>
                <w:color w:val="auto"/>
                <w:kern w:val="0"/>
                <w:sz w:val="22"/>
                <w:szCs w:val="22"/>
                <w:highlight w:val="none"/>
              </w:rPr>
              <w:t>主要</w:t>
            </w:r>
            <w:r>
              <w:rPr>
                <w:rFonts w:hint="eastAsia" w:ascii="Times New Roman" w:hAnsi="Times New Roman" w:cs="Times New Roman"/>
                <w:b/>
                <w:bCs/>
                <w:color w:val="auto"/>
                <w:kern w:val="0"/>
                <w:sz w:val="22"/>
                <w:szCs w:val="22"/>
                <w:highlight w:val="none"/>
                <w:lang w:eastAsia="zh-CN"/>
              </w:rPr>
              <w:t>污染物</w:t>
            </w:r>
          </w:p>
          <w:p>
            <w:pPr>
              <w:pStyle w:val="14"/>
              <w:spacing w:before="0" w:after="0" w:line="360" w:lineRule="auto"/>
              <w:ind w:right="0" w:firstLine="440" w:firstLineChars="200"/>
              <w:jc w:val="left"/>
              <w:rPr>
                <w:rFonts w:hint="default" w:ascii="Times New Roman" w:hAnsi="Times New Roman" w:cs="Times New Roman"/>
                <w:bCs/>
                <w:color w:val="auto"/>
                <w:sz w:val="22"/>
                <w:szCs w:val="22"/>
                <w:highlight w:val="none"/>
              </w:rPr>
            </w:pPr>
            <w:r>
              <w:rPr>
                <w:rFonts w:hint="default" w:ascii="Times New Roman" w:hAnsi="Times New Roman" w:cs="Times New Roman"/>
                <w:bCs/>
                <w:color w:val="auto"/>
                <w:sz w:val="22"/>
                <w:szCs w:val="22"/>
                <w:highlight w:val="none"/>
              </w:rPr>
              <w:t>通过对本项目运营期工程分析，结合本项目生产特点，确定本项目运营期主要污染物如下：</w:t>
            </w:r>
          </w:p>
          <w:p>
            <w:pPr>
              <w:jc w:val="center"/>
              <w:rPr>
                <w:rFonts w:hint="default" w:ascii="Times New Roman" w:hAnsi="Times New Roman" w:eastAsia="宋体" w:cs="Times New Roman"/>
                <w:b/>
                <w:bCs/>
                <w:color w:val="auto"/>
                <w:szCs w:val="21"/>
                <w:highlight w:val="none"/>
              </w:rPr>
            </w:pPr>
            <w:r>
              <w:rPr>
                <w:rFonts w:hint="eastAsia" w:ascii="Times New Roman" w:hAnsi="Times New Roman" w:eastAsia="宋体" w:cs="Times New Roman"/>
                <w:b/>
                <w:bCs/>
                <w:color w:val="auto"/>
                <w:szCs w:val="21"/>
                <w:highlight w:val="none"/>
                <w:lang w:eastAsia="zh-CN"/>
              </w:rPr>
              <w:t>表</w:t>
            </w:r>
            <w:r>
              <w:rPr>
                <w:rFonts w:hint="eastAsia" w:ascii="Times New Roman" w:hAnsi="Times New Roman" w:eastAsia="宋体" w:cs="Times New Roman"/>
                <w:b/>
                <w:bCs/>
                <w:color w:val="auto"/>
                <w:szCs w:val="21"/>
                <w:highlight w:val="none"/>
                <w:lang w:val="en-US" w:eastAsia="zh-CN"/>
              </w:rPr>
              <w:t>2-9</w:t>
            </w:r>
            <w:r>
              <w:rPr>
                <w:rFonts w:hint="default" w:ascii="Times New Roman" w:hAnsi="Times New Roman" w:eastAsia="宋体" w:cs="Times New Roman"/>
                <w:b/>
                <w:bCs/>
                <w:color w:val="auto"/>
                <w:szCs w:val="21"/>
                <w:highlight w:val="none"/>
              </w:rPr>
              <w:t xml:space="preserve"> </w:t>
            </w:r>
            <w:r>
              <w:rPr>
                <w:rFonts w:hint="eastAsia" w:ascii="Times New Roman" w:hAnsi="Times New Roman" w:eastAsia="宋体" w:cs="Times New Roman"/>
                <w:b/>
                <w:bCs/>
                <w:color w:val="auto"/>
                <w:szCs w:val="21"/>
                <w:highlight w:val="none"/>
                <w:lang w:eastAsia="zh-CN"/>
              </w:rPr>
              <w:t>主要污染物分析一览表</w:t>
            </w:r>
          </w:p>
          <w:tbl>
            <w:tblPr>
              <w:tblStyle w:val="43"/>
              <w:tblW w:w="8026" w:type="dxa"/>
              <w:tblInd w:w="-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9"/>
              <w:gridCol w:w="1281"/>
              <w:gridCol w:w="2552"/>
              <w:gridCol w:w="33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 w:type="dxa"/>
                  <w:noWrap w:val="0"/>
                  <w:vAlign w:val="center"/>
                </w:tcPr>
                <w:p>
                  <w:pPr>
                    <w:jc w:val="center"/>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eastAsia="zh-CN"/>
                    </w:rPr>
                    <w:t>污染类别</w:t>
                  </w:r>
                </w:p>
              </w:tc>
              <w:tc>
                <w:tcPr>
                  <w:tcW w:w="1281" w:type="dxa"/>
                  <w:noWrap w:val="0"/>
                  <w:vAlign w:val="center"/>
                </w:tcPr>
                <w:p>
                  <w:pPr>
                    <w:jc w:val="center"/>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eastAsia="zh-CN"/>
                    </w:rPr>
                    <w:t>产生工序</w:t>
                  </w:r>
                </w:p>
              </w:tc>
              <w:tc>
                <w:tcPr>
                  <w:tcW w:w="2552" w:type="dxa"/>
                  <w:noWrap w:val="0"/>
                  <w:vAlign w:val="center"/>
                </w:tcPr>
                <w:p>
                  <w:pPr>
                    <w:jc w:val="center"/>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eastAsia="zh-CN"/>
                    </w:rPr>
                    <w:t>主要污染物</w:t>
                  </w:r>
                </w:p>
              </w:tc>
              <w:tc>
                <w:tcPr>
                  <w:tcW w:w="3374" w:type="dxa"/>
                  <w:noWrap w:val="0"/>
                  <w:vAlign w:val="center"/>
                </w:tcPr>
                <w:p>
                  <w:pPr>
                    <w:jc w:val="center"/>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eastAsia="zh-CN"/>
                    </w:rPr>
                    <w:t>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 w:type="dxa"/>
                  <w:vMerge w:val="restart"/>
                  <w:noWrap w:val="0"/>
                  <w:vAlign w:val="center"/>
                </w:tcPr>
                <w:p>
                  <w:pPr>
                    <w:jc w:val="center"/>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eastAsia="zh-CN"/>
                    </w:rPr>
                    <w:t>废气</w:t>
                  </w:r>
                </w:p>
              </w:tc>
              <w:tc>
                <w:tcPr>
                  <w:tcW w:w="1281"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高压釜</w:t>
                  </w:r>
                </w:p>
              </w:tc>
              <w:tc>
                <w:tcPr>
                  <w:tcW w:w="2552" w:type="dxa"/>
                  <w:noWrap w:val="0"/>
                  <w:vAlign w:val="center"/>
                </w:tcPr>
                <w:p>
                  <w:pPr>
                    <w:jc w:val="center"/>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val="en-US" w:eastAsia="zh-CN"/>
                    </w:rPr>
                    <w:t>热空气</w:t>
                  </w:r>
                </w:p>
              </w:tc>
              <w:tc>
                <w:tcPr>
                  <w:tcW w:w="3374"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自带集气罩，直接排出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 w:type="dxa"/>
                  <w:vMerge w:val="continue"/>
                  <w:noWrap w:val="0"/>
                  <w:vAlign w:val="center"/>
                </w:tcPr>
                <w:p>
                  <w:pPr>
                    <w:jc w:val="center"/>
                    <w:rPr>
                      <w:rFonts w:hint="eastAsia" w:ascii="Times New Roman" w:hAnsi="Times New Roman" w:eastAsia="宋体" w:cs="Times New Roman"/>
                      <w:color w:val="auto"/>
                      <w:szCs w:val="21"/>
                      <w:highlight w:val="none"/>
                      <w:lang w:eastAsia="zh-CN"/>
                    </w:rPr>
                  </w:pPr>
                </w:p>
              </w:tc>
              <w:tc>
                <w:tcPr>
                  <w:tcW w:w="1281"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调漆、喷漆</w:t>
                  </w:r>
                </w:p>
              </w:tc>
              <w:tc>
                <w:tcPr>
                  <w:tcW w:w="2552"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VOCs（以非甲烷总烃计）</w:t>
                  </w:r>
                </w:p>
              </w:tc>
              <w:tc>
                <w:tcPr>
                  <w:tcW w:w="3374" w:type="dxa"/>
                  <w:vMerge w:val="restart"/>
                  <w:noWrap w:val="0"/>
                  <w:vAlign w:val="center"/>
                </w:tcPr>
                <w:p>
                  <w:pPr>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密闭</w:t>
                  </w:r>
                  <w:r>
                    <w:rPr>
                      <w:rFonts w:hint="eastAsia" w:ascii="Times New Roman" w:hAnsi="Times New Roman" w:eastAsia="宋体" w:cs="Times New Roman"/>
                      <w:color w:val="auto"/>
                      <w:szCs w:val="21"/>
                      <w:highlight w:val="none"/>
                      <w:lang w:eastAsia="zh-CN"/>
                    </w:rPr>
                    <w:t>收集</w:t>
                  </w:r>
                  <w:r>
                    <w:rPr>
                      <w:rFonts w:hint="eastAsia" w:ascii="Times New Roman" w:hAnsi="Times New Roman" w:eastAsia="宋体" w:cs="Times New Roman"/>
                      <w:color w:val="auto"/>
                      <w:szCs w:val="21"/>
                      <w:highlight w:val="none"/>
                      <w:lang w:val="en-US" w:eastAsia="zh-CN"/>
                    </w:rPr>
                    <w:t>+水帘柜+干式过滤+两级活性炭+15m排气筒（DA001）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 w:type="dxa"/>
                  <w:vMerge w:val="continue"/>
                  <w:noWrap w:val="0"/>
                  <w:vAlign w:val="center"/>
                </w:tcPr>
                <w:p>
                  <w:pPr>
                    <w:jc w:val="center"/>
                    <w:rPr>
                      <w:rFonts w:hint="eastAsia" w:ascii="Times New Roman" w:hAnsi="Times New Roman" w:eastAsia="宋体" w:cs="Times New Roman"/>
                      <w:color w:val="auto"/>
                      <w:szCs w:val="21"/>
                      <w:highlight w:val="none"/>
                      <w:lang w:eastAsia="zh-CN"/>
                    </w:rPr>
                  </w:pPr>
                </w:p>
              </w:tc>
              <w:tc>
                <w:tcPr>
                  <w:tcW w:w="1281"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晾干</w:t>
                  </w:r>
                </w:p>
              </w:tc>
              <w:tc>
                <w:tcPr>
                  <w:tcW w:w="2552" w:type="dxa"/>
                  <w:noWrap w:val="0"/>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VOCs（以非甲烷总烃计）</w:t>
                  </w:r>
                </w:p>
              </w:tc>
              <w:tc>
                <w:tcPr>
                  <w:tcW w:w="3374" w:type="dxa"/>
                  <w:vMerge w:val="continue"/>
                  <w:noWrap w:val="0"/>
                  <w:vAlign w:val="center"/>
                </w:tcPr>
                <w:p>
                  <w:pPr>
                    <w:jc w:val="center"/>
                    <w:rPr>
                      <w:rFonts w:hint="eastAsia" w:ascii="Times New Roman" w:hAnsi="Times New Roman" w:eastAsia="宋体" w:cs="Times New Roman"/>
                      <w:color w:val="auto"/>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 w:type="dxa"/>
                  <w:vMerge w:val="continue"/>
                  <w:noWrap w:val="0"/>
                  <w:vAlign w:val="center"/>
                </w:tcPr>
                <w:p>
                  <w:pPr>
                    <w:jc w:val="center"/>
                    <w:rPr>
                      <w:rFonts w:hint="default" w:ascii="Times New Roman" w:hAnsi="Times New Roman" w:eastAsia="宋体" w:cs="Times New Roman"/>
                      <w:color w:val="auto"/>
                      <w:szCs w:val="21"/>
                      <w:highlight w:val="none"/>
                    </w:rPr>
                  </w:pPr>
                </w:p>
              </w:tc>
              <w:tc>
                <w:tcPr>
                  <w:tcW w:w="1281"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危废暂存间</w:t>
                  </w:r>
                </w:p>
              </w:tc>
              <w:tc>
                <w:tcPr>
                  <w:tcW w:w="2552" w:type="dxa"/>
                  <w:noWrap w:val="0"/>
                  <w:vAlign w:val="center"/>
                </w:tcPr>
                <w:p>
                  <w:pPr>
                    <w:jc w:val="center"/>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val="en-US" w:eastAsia="zh-CN"/>
                    </w:rPr>
                    <w:t>VOCs（以非甲烷总烃计）</w:t>
                  </w:r>
                </w:p>
              </w:tc>
              <w:tc>
                <w:tcPr>
                  <w:tcW w:w="3374" w:type="dxa"/>
                  <w:vMerge w:val="continue"/>
                  <w:noWrap w:val="0"/>
                  <w:vAlign w:val="center"/>
                </w:tcPr>
                <w:p>
                  <w:pPr>
                    <w:jc w:val="center"/>
                    <w:rPr>
                      <w:rFonts w:hint="default" w:ascii="Times New Roman" w:hAnsi="Times New Roman" w:eastAsia="宋体"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 w:type="dxa"/>
                  <w:vMerge w:val="restart"/>
                  <w:noWrap w:val="0"/>
                  <w:vAlign w:val="center"/>
                </w:tcPr>
                <w:p>
                  <w:pPr>
                    <w:jc w:val="center"/>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eastAsia="zh-CN"/>
                    </w:rPr>
                    <w:t>废水</w:t>
                  </w:r>
                </w:p>
              </w:tc>
              <w:tc>
                <w:tcPr>
                  <w:tcW w:w="1281" w:type="dxa"/>
                  <w:noWrap w:val="0"/>
                  <w:vAlign w:val="center"/>
                </w:tcPr>
                <w:p>
                  <w:pPr>
                    <w:jc w:val="center"/>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eastAsia="zh-CN"/>
                    </w:rPr>
                    <w:t>生活</w:t>
                  </w:r>
                </w:p>
              </w:tc>
              <w:tc>
                <w:tcPr>
                  <w:tcW w:w="2552" w:type="dxa"/>
                  <w:vMerge w:val="restart"/>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COD、BOD</w:t>
                  </w:r>
                  <w:r>
                    <w:rPr>
                      <w:rFonts w:hint="eastAsia" w:ascii="Times New Roman" w:hAnsi="Times New Roman" w:eastAsia="宋体" w:cs="Times New Roman"/>
                      <w:color w:val="auto"/>
                      <w:szCs w:val="21"/>
                      <w:highlight w:val="none"/>
                      <w:vertAlign w:val="subscript"/>
                      <w:lang w:val="en-US" w:eastAsia="zh-CN"/>
                    </w:rPr>
                    <w:t>5</w:t>
                  </w:r>
                  <w:r>
                    <w:rPr>
                      <w:rFonts w:hint="eastAsia" w:ascii="Times New Roman" w:hAnsi="Times New Roman" w:eastAsia="宋体" w:cs="Times New Roman"/>
                      <w:color w:val="auto"/>
                      <w:szCs w:val="21"/>
                      <w:highlight w:val="none"/>
                      <w:lang w:val="en-US" w:eastAsia="zh-CN"/>
                    </w:rPr>
                    <w:t>、NH</w:t>
                  </w:r>
                  <w:r>
                    <w:rPr>
                      <w:rFonts w:hint="eastAsia" w:ascii="Times New Roman" w:hAnsi="Times New Roman" w:eastAsia="宋体" w:cs="Times New Roman"/>
                      <w:color w:val="auto"/>
                      <w:szCs w:val="21"/>
                      <w:highlight w:val="none"/>
                      <w:vertAlign w:val="subscript"/>
                      <w:lang w:val="en-US" w:eastAsia="zh-CN"/>
                    </w:rPr>
                    <w:t>3</w:t>
                  </w:r>
                  <w:r>
                    <w:rPr>
                      <w:rFonts w:hint="eastAsia" w:ascii="Times New Roman" w:hAnsi="Times New Roman" w:eastAsia="宋体" w:cs="Times New Roman"/>
                      <w:color w:val="auto"/>
                      <w:szCs w:val="21"/>
                      <w:highlight w:val="none"/>
                      <w:lang w:val="en-US" w:eastAsia="zh-CN"/>
                    </w:rPr>
                    <w:t>-N、SS等</w:t>
                  </w:r>
                </w:p>
              </w:tc>
              <w:tc>
                <w:tcPr>
                  <w:tcW w:w="3374" w:type="dxa"/>
                  <w:noWrap w:val="0"/>
                  <w:vAlign w:val="center"/>
                </w:tcPr>
                <w:p>
                  <w:pPr>
                    <w:jc w:val="center"/>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eastAsia="zh-CN"/>
                    </w:rPr>
                    <w:t>经化粪池处理后</w:t>
                  </w:r>
                  <w:r>
                    <w:rPr>
                      <w:rFonts w:hint="eastAsia" w:ascii="Times New Roman" w:hAnsi="Times New Roman" w:cs="Times New Roman"/>
                      <w:color w:val="auto"/>
                      <w:szCs w:val="21"/>
                      <w:highlight w:val="none"/>
                      <w:lang w:val="en-US" w:eastAsia="zh-CN"/>
                    </w:rPr>
                    <w:t>排</w:t>
                  </w:r>
                  <w:r>
                    <w:rPr>
                      <w:rFonts w:hint="eastAsia" w:ascii="Times New Roman" w:hAnsi="Times New Roman" w:cs="Times New Roman"/>
                      <w:color w:val="auto"/>
                      <w:szCs w:val="21"/>
                      <w:highlight w:val="none"/>
                      <w:lang w:eastAsia="zh-CN"/>
                    </w:rPr>
                    <w:t>入乐山市工业集中区污水处理厂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 w:type="dxa"/>
                  <w:vMerge w:val="continue"/>
                  <w:noWrap w:val="0"/>
                  <w:vAlign w:val="center"/>
                </w:tcPr>
                <w:p>
                  <w:pPr>
                    <w:jc w:val="center"/>
                    <w:rPr>
                      <w:rFonts w:hint="default" w:ascii="Times New Roman" w:hAnsi="Times New Roman" w:eastAsia="宋体" w:cs="Times New Roman"/>
                      <w:color w:val="auto"/>
                      <w:szCs w:val="21"/>
                      <w:highlight w:val="none"/>
                    </w:rPr>
                  </w:pPr>
                </w:p>
              </w:tc>
              <w:tc>
                <w:tcPr>
                  <w:tcW w:w="1281" w:type="dxa"/>
                  <w:noWrap w:val="0"/>
                  <w:vAlign w:val="center"/>
                </w:tcPr>
                <w:p>
                  <w:pPr>
                    <w:jc w:val="center"/>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eastAsia="zh-CN"/>
                    </w:rPr>
                    <w:t>磨边、清洗</w:t>
                  </w:r>
                </w:p>
              </w:tc>
              <w:tc>
                <w:tcPr>
                  <w:tcW w:w="2552" w:type="dxa"/>
                  <w:vMerge w:val="continue"/>
                  <w:noWrap w:val="0"/>
                  <w:vAlign w:val="center"/>
                </w:tcPr>
                <w:p>
                  <w:pPr>
                    <w:jc w:val="center"/>
                    <w:rPr>
                      <w:rFonts w:hint="default" w:ascii="Times New Roman" w:hAnsi="Times New Roman" w:eastAsia="宋体" w:cs="Times New Roman"/>
                      <w:color w:val="auto"/>
                      <w:szCs w:val="21"/>
                      <w:highlight w:val="none"/>
                      <w:lang w:val="en-US" w:eastAsia="zh-CN"/>
                    </w:rPr>
                  </w:pPr>
                </w:p>
              </w:tc>
              <w:tc>
                <w:tcPr>
                  <w:tcW w:w="3374" w:type="dxa"/>
                  <w:noWrap w:val="0"/>
                  <w:vAlign w:val="center"/>
                </w:tcPr>
                <w:p>
                  <w:pPr>
                    <w:jc w:val="center"/>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eastAsia="zh-CN"/>
                    </w:rPr>
                    <w:t>经循环水池沉淀后循环使用，不外排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 w:type="dxa"/>
                  <w:vMerge w:val="continue"/>
                  <w:noWrap w:val="0"/>
                  <w:vAlign w:val="center"/>
                </w:tcPr>
                <w:p>
                  <w:pPr>
                    <w:jc w:val="center"/>
                    <w:rPr>
                      <w:rFonts w:hint="default" w:ascii="Times New Roman" w:hAnsi="Times New Roman" w:eastAsia="宋体" w:cs="Times New Roman"/>
                      <w:color w:val="auto"/>
                      <w:szCs w:val="21"/>
                      <w:highlight w:val="none"/>
                    </w:rPr>
                  </w:pPr>
                </w:p>
              </w:tc>
              <w:tc>
                <w:tcPr>
                  <w:tcW w:w="1281"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冷却</w:t>
                  </w:r>
                </w:p>
              </w:tc>
              <w:tc>
                <w:tcPr>
                  <w:tcW w:w="2552" w:type="dxa"/>
                  <w:vMerge w:val="continue"/>
                  <w:noWrap w:val="0"/>
                  <w:vAlign w:val="center"/>
                </w:tcPr>
                <w:p>
                  <w:pPr>
                    <w:jc w:val="center"/>
                    <w:rPr>
                      <w:rFonts w:hint="eastAsia" w:ascii="Times New Roman" w:hAnsi="Times New Roman" w:eastAsia="宋体" w:cs="Times New Roman"/>
                      <w:color w:val="auto"/>
                      <w:szCs w:val="21"/>
                      <w:highlight w:val="none"/>
                      <w:lang w:val="en-US" w:eastAsia="zh-CN"/>
                    </w:rPr>
                  </w:pPr>
                </w:p>
              </w:tc>
              <w:tc>
                <w:tcPr>
                  <w:tcW w:w="3374"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经沉淀水处理，</w:t>
                  </w:r>
                  <w:r>
                    <w:rPr>
                      <w:rFonts w:hint="eastAsia" w:ascii="Times New Roman" w:hAnsi="Times New Roman" w:eastAsia="宋体" w:cs="Times New Roman"/>
                      <w:color w:val="auto"/>
                      <w:szCs w:val="21"/>
                      <w:highlight w:val="none"/>
                      <w:lang w:eastAsia="zh-CN"/>
                    </w:rPr>
                    <w:t>循环使用，不外排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 w:type="dxa"/>
                  <w:vMerge w:val="continue"/>
                  <w:noWrap w:val="0"/>
                  <w:vAlign w:val="center"/>
                </w:tcPr>
                <w:p>
                  <w:pPr>
                    <w:jc w:val="center"/>
                    <w:rPr>
                      <w:rFonts w:hint="default" w:ascii="Times New Roman" w:hAnsi="Times New Roman" w:eastAsia="宋体" w:cs="Times New Roman"/>
                      <w:color w:val="auto"/>
                      <w:szCs w:val="21"/>
                      <w:highlight w:val="none"/>
                    </w:rPr>
                  </w:pPr>
                </w:p>
              </w:tc>
              <w:tc>
                <w:tcPr>
                  <w:tcW w:w="1281"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水帘柜</w:t>
                  </w:r>
                </w:p>
              </w:tc>
              <w:tc>
                <w:tcPr>
                  <w:tcW w:w="2552" w:type="dxa"/>
                  <w:vMerge w:val="continue"/>
                  <w:noWrap w:val="0"/>
                  <w:vAlign w:val="center"/>
                </w:tcPr>
                <w:p>
                  <w:pPr>
                    <w:jc w:val="center"/>
                    <w:rPr>
                      <w:rFonts w:hint="eastAsia" w:ascii="Times New Roman" w:hAnsi="Times New Roman" w:eastAsia="宋体" w:cs="Times New Roman"/>
                      <w:color w:val="auto"/>
                      <w:szCs w:val="21"/>
                      <w:highlight w:val="none"/>
                      <w:lang w:val="en-US" w:eastAsia="zh-CN"/>
                    </w:rPr>
                  </w:pPr>
                </w:p>
              </w:tc>
              <w:tc>
                <w:tcPr>
                  <w:tcW w:w="3374"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循环使用，一年更换一次，作为危废处置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 w:type="dxa"/>
                  <w:noWrap w:val="0"/>
                  <w:vAlign w:val="center"/>
                </w:tcPr>
                <w:p>
                  <w:pPr>
                    <w:jc w:val="center"/>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eastAsia="zh-CN"/>
                    </w:rPr>
                    <w:t>噪声</w:t>
                  </w:r>
                </w:p>
              </w:tc>
              <w:tc>
                <w:tcPr>
                  <w:tcW w:w="1281" w:type="dxa"/>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生产设备机械噪声</w:t>
                  </w:r>
                </w:p>
              </w:tc>
              <w:tc>
                <w:tcPr>
                  <w:tcW w:w="2552"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LeqA</w:t>
                  </w:r>
                </w:p>
              </w:tc>
              <w:tc>
                <w:tcPr>
                  <w:tcW w:w="3374" w:type="dxa"/>
                  <w:noWrap w:val="0"/>
                  <w:vAlign w:val="center"/>
                </w:tcPr>
                <w:p>
                  <w:pPr>
                    <w:jc w:val="center"/>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eastAsia="zh-CN"/>
                    </w:rPr>
                    <w:t>低噪声设备，隔声降噪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 w:type="dxa"/>
                  <w:vMerge w:val="restart"/>
                  <w:noWrap w:val="0"/>
                  <w:vAlign w:val="center"/>
                </w:tcPr>
                <w:p>
                  <w:pPr>
                    <w:jc w:val="center"/>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eastAsia="zh-CN"/>
                    </w:rPr>
                    <w:t>固废</w:t>
                  </w:r>
                </w:p>
              </w:tc>
              <w:tc>
                <w:tcPr>
                  <w:tcW w:w="1281" w:type="dxa"/>
                  <w:noWrap w:val="0"/>
                  <w:vAlign w:val="center"/>
                </w:tcPr>
                <w:p>
                  <w:pPr>
                    <w:jc w:val="center"/>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eastAsia="zh-CN"/>
                    </w:rPr>
                    <w:t>生活办公</w:t>
                  </w:r>
                </w:p>
              </w:tc>
              <w:tc>
                <w:tcPr>
                  <w:tcW w:w="2552" w:type="dxa"/>
                  <w:noWrap w:val="0"/>
                  <w:vAlign w:val="center"/>
                </w:tcPr>
                <w:p>
                  <w:pPr>
                    <w:jc w:val="center"/>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eastAsia="zh-CN"/>
                    </w:rPr>
                    <w:t>生活垃圾</w:t>
                  </w:r>
                </w:p>
              </w:tc>
              <w:tc>
                <w:tcPr>
                  <w:tcW w:w="3374" w:type="dxa"/>
                  <w:noWrap w:val="0"/>
                  <w:vAlign w:val="center"/>
                </w:tcPr>
                <w:p>
                  <w:pPr>
                    <w:jc w:val="center"/>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eastAsia="zh-CN"/>
                    </w:rPr>
                    <w:t>环卫部门统一清运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 w:type="dxa"/>
                  <w:vMerge w:val="continue"/>
                  <w:noWrap w:val="0"/>
                  <w:vAlign w:val="center"/>
                </w:tcPr>
                <w:p>
                  <w:pPr>
                    <w:jc w:val="center"/>
                    <w:rPr>
                      <w:rFonts w:hint="default" w:ascii="Times New Roman" w:hAnsi="Times New Roman" w:eastAsia="宋体" w:cs="Times New Roman"/>
                      <w:color w:val="auto"/>
                      <w:szCs w:val="21"/>
                      <w:highlight w:val="none"/>
                    </w:rPr>
                  </w:pPr>
                </w:p>
              </w:tc>
              <w:tc>
                <w:tcPr>
                  <w:tcW w:w="1281" w:type="dxa"/>
                  <w:noWrap w:val="0"/>
                  <w:vAlign w:val="center"/>
                </w:tcPr>
                <w:p>
                  <w:pPr>
                    <w:jc w:val="center"/>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eastAsia="zh-CN"/>
                    </w:rPr>
                    <w:t>切割、检验</w:t>
                  </w:r>
                </w:p>
              </w:tc>
              <w:tc>
                <w:tcPr>
                  <w:tcW w:w="2552" w:type="dxa"/>
                  <w:noWrap w:val="0"/>
                  <w:vAlign w:val="center"/>
                </w:tcPr>
                <w:p>
                  <w:pPr>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eastAsia="zh-CN"/>
                    </w:rPr>
                    <w:t>玻璃</w:t>
                  </w:r>
                  <w:r>
                    <w:rPr>
                      <w:rFonts w:hint="eastAsia" w:ascii="Times New Roman" w:hAnsi="Times New Roman" w:eastAsia="宋体" w:cs="Times New Roman"/>
                      <w:color w:val="auto"/>
                      <w:szCs w:val="21"/>
                      <w:highlight w:val="none"/>
                      <w:lang w:val="en-US" w:eastAsia="zh-CN"/>
                    </w:rPr>
                    <w:t>边角料</w:t>
                  </w:r>
                  <w:r>
                    <w:rPr>
                      <w:rFonts w:hint="eastAsia" w:ascii="Times New Roman" w:hAnsi="Times New Roman" w:eastAsia="宋体" w:cs="Times New Roman"/>
                      <w:color w:val="auto"/>
                      <w:szCs w:val="21"/>
                      <w:highlight w:val="none"/>
                      <w:lang w:eastAsia="zh-CN"/>
                    </w:rPr>
                    <w:t>、胶片边角料、不合格品</w:t>
                  </w:r>
                </w:p>
              </w:tc>
              <w:tc>
                <w:tcPr>
                  <w:tcW w:w="3374" w:type="dxa"/>
                  <w:noWrap w:val="0"/>
                  <w:vAlign w:val="center"/>
                </w:tcPr>
                <w:p>
                  <w:pPr>
                    <w:jc w:val="center"/>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eastAsia="zh-CN"/>
                    </w:rPr>
                    <w:t>收集外售或厂家回收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819" w:type="dxa"/>
                  <w:vMerge w:val="continue"/>
                  <w:noWrap w:val="0"/>
                  <w:vAlign w:val="center"/>
                </w:tcPr>
                <w:p>
                  <w:pPr>
                    <w:jc w:val="center"/>
                    <w:rPr>
                      <w:rFonts w:hint="default" w:ascii="Times New Roman" w:hAnsi="Times New Roman" w:eastAsia="宋体" w:cs="Times New Roman"/>
                      <w:color w:val="auto"/>
                      <w:szCs w:val="21"/>
                      <w:highlight w:val="none"/>
                    </w:rPr>
                  </w:pPr>
                </w:p>
              </w:tc>
              <w:tc>
                <w:tcPr>
                  <w:tcW w:w="1281" w:type="dxa"/>
                  <w:noWrap w:val="0"/>
                  <w:vAlign w:val="center"/>
                </w:tcPr>
                <w:p>
                  <w:pPr>
                    <w:jc w:val="center"/>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eastAsia="zh-CN"/>
                    </w:rPr>
                    <w:t>水池沉淀</w:t>
                  </w:r>
                </w:p>
              </w:tc>
              <w:tc>
                <w:tcPr>
                  <w:tcW w:w="2552" w:type="dxa"/>
                  <w:noWrap w:val="0"/>
                  <w:vAlign w:val="center"/>
                </w:tcPr>
                <w:p>
                  <w:pPr>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eastAsia="zh-CN"/>
                    </w:rPr>
                    <w:t>水池沉渣</w:t>
                  </w:r>
                </w:p>
              </w:tc>
              <w:tc>
                <w:tcPr>
                  <w:tcW w:w="3374" w:type="dxa"/>
                  <w:noWrap w:val="0"/>
                  <w:vAlign w:val="center"/>
                </w:tcPr>
                <w:p>
                  <w:pPr>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eastAsia="zh-CN"/>
                    </w:rPr>
                    <w:t>环卫部门统一清运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 w:type="dxa"/>
                  <w:vMerge w:val="continue"/>
                  <w:noWrap w:val="0"/>
                  <w:vAlign w:val="center"/>
                </w:tcPr>
                <w:p>
                  <w:pPr>
                    <w:jc w:val="center"/>
                    <w:rPr>
                      <w:rFonts w:hint="default" w:ascii="Times New Roman" w:hAnsi="Times New Roman" w:eastAsia="宋体" w:cs="Times New Roman"/>
                      <w:color w:val="auto"/>
                      <w:szCs w:val="21"/>
                      <w:highlight w:val="none"/>
                    </w:rPr>
                  </w:pPr>
                </w:p>
              </w:tc>
              <w:tc>
                <w:tcPr>
                  <w:tcW w:w="1281" w:type="dxa"/>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eastAsia="zh-CN"/>
                    </w:rPr>
                    <w:t>原料外包装</w:t>
                  </w:r>
                </w:p>
              </w:tc>
              <w:tc>
                <w:tcPr>
                  <w:tcW w:w="2552" w:type="dxa"/>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eastAsia="zh-CN"/>
                    </w:rPr>
                    <w:t>废包装材料</w:t>
                  </w:r>
                </w:p>
              </w:tc>
              <w:tc>
                <w:tcPr>
                  <w:tcW w:w="3374" w:type="dxa"/>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eastAsia="zh-CN"/>
                    </w:rPr>
                    <w:t>收集外售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 w:type="dxa"/>
                  <w:vMerge w:val="continue"/>
                  <w:noWrap w:val="0"/>
                  <w:vAlign w:val="center"/>
                </w:tcPr>
                <w:p>
                  <w:pPr>
                    <w:jc w:val="center"/>
                    <w:rPr>
                      <w:rFonts w:hint="default" w:ascii="Times New Roman" w:hAnsi="Times New Roman" w:eastAsia="宋体" w:cs="Times New Roman"/>
                      <w:color w:val="auto"/>
                      <w:szCs w:val="21"/>
                      <w:highlight w:val="none"/>
                    </w:rPr>
                  </w:pPr>
                </w:p>
              </w:tc>
              <w:tc>
                <w:tcPr>
                  <w:tcW w:w="1281" w:type="dxa"/>
                  <w:noWrap w:val="0"/>
                  <w:vAlign w:val="center"/>
                </w:tcPr>
                <w:p>
                  <w:pPr>
                    <w:jc w:val="center"/>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val="en-US" w:eastAsia="zh-CN"/>
                    </w:rPr>
                    <w:t>油漆喷漆</w:t>
                  </w:r>
                </w:p>
              </w:tc>
              <w:tc>
                <w:tcPr>
                  <w:tcW w:w="2552"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eastAsia="zh-CN"/>
                    </w:rPr>
                    <w:t>废</w:t>
                  </w:r>
                  <w:r>
                    <w:rPr>
                      <w:rFonts w:hint="eastAsia" w:ascii="Times New Roman" w:hAnsi="Times New Roman" w:cs="Times New Roman"/>
                      <w:color w:val="auto"/>
                      <w:szCs w:val="21"/>
                      <w:highlight w:val="none"/>
                      <w:lang w:val="en-US" w:eastAsia="zh-CN"/>
                    </w:rPr>
                    <w:t>漆料桶（油漆、稀释剂、固化剂）</w:t>
                  </w:r>
                </w:p>
              </w:tc>
              <w:tc>
                <w:tcPr>
                  <w:tcW w:w="3374" w:type="dxa"/>
                  <w:noWrap w:val="0"/>
                  <w:vAlign w:val="center"/>
                </w:tcPr>
                <w:p>
                  <w:pPr>
                    <w:jc w:val="center"/>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eastAsia="zh-CN"/>
                    </w:rPr>
                    <w:t>危废间暂存，交由有资质单位处置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 w:type="dxa"/>
                  <w:vMerge w:val="continue"/>
                  <w:noWrap w:val="0"/>
                  <w:vAlign w:val="center"/>
                </w:tcPr>
                <w:p>
                  <w:pPr>
                    <w:jc w:val="center"/>
                    <w:rPr>
                      <w:rFonts w:hint="default" w:ascii="Times New Roman" w:hAnsi="Times New Roman" w:eastAsia="宋体" w:cs="Times New Roman"/>
                      <w:color w:val="auto"/>
                      <w:szCs w:val="21"/>
                      <w:highlight w:val="none"/>
                    </w:rPr>
                  </w:pPr>
                </w:p>
              </w:tc>
              <w:tc>
                <w:tcPr>
                  <w:tcW w:w="1281" w:type="dxa"/>
                  <w:noWrap w:val="0"/>
                  <w:vAlign w:val="center"/>
                </w:tcPr>
                <w:p>
                  <w:pPr>
                    <w:jc w:val="center"/>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eastAsia="zh-CN"/>
                    </w:rPr>
                    <w:t>废气处理</w:t>
                  </w:r>
                </w:p>
              </w:tc>
              <w:tc>
                <w:tcPr>
                  <w:tcW w:w="2552" w:type="dxa"/>
                  <w:noWrap w:val="0"/>
                  <w:vAlign w:val="center"/>
                </w:tcPr>
                <w:p>
                  <w:pPr>
                    <w:jc w:val="center"/>
                    <w:rPr>
                      <w:rFonts w:hint="eastAsia" w:ascii="Times New Roman" w:hAnsi="Times New Roman" w:eastAsia="宋体" w:cs="Times New Roman"/>
                      <w:color w:val="auto"/>
                      <w:szCs w:val="21"/>
                      <w:highlight w:val="none"/>
                      <w:lang w:eastAsia="zh-CN"/>
                    </w:rPr>
                  </w:pPr>
                  <w:r>
                    <w:rPr>
                      <w:rFonts w:hint="eastAsia" w:ascii="Times New Roman" w:hAnsi="Times New Roman" w:cs="Times New Roman"/>
                      <w:color w:val="auto"/>
                      <w:szCs w:val="21"/>
                      <w:highlight w:val="none"/>
                      <w:lang w:eastAsia="zh-CN"/>
                    </w:rPr>
                    <w:t>废活性炭、废滤料、漆渣、</w:t>
                  </w:r>
                  <w:r>
                    <w:rPr>
                      <w:rFonts w:hint="eastAsia" w:ascii="Times New Roman" w:hAnsi="Times New Roman" w:cs="Times New Roman"/>
                      <w:color w:val="auto"/>
                      <w:szCs w:val="21"/>
                      <w:highlight w:val="none"/>
                      <w:lang w:val="en-US" w:eastAsia="zh-CN"/>
                    </w:rPr>
                    <w:t>水帘废水</w:t>
                  </w:r>
                </w:p>
              </w:tc>
              <w:tc>
                <w:tcPr>
                  <w:tcW w:w="3374" w:type="dxa"/>
                  <w:noWrap w:val="0"/>
                  <w:vAlign w:val="center"/>
                </w:tcPr>
                <w:p>
                  <w:pPr>
                    <w:jc w:val="center"/>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eastAsia="zh-CN"/>
                    </w:rPr>
                    <w:t>危废间暂存，交由有资质单位处置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 w:type="dxa"/>
                  <w:vMerge w:val="continue"/>
                  <w:noWrap w:val="0"/>
                  <w:vAlign w:val="center"/>
                </w:tcPr>
                <w:p>
                  <w:pPr>
                    <w:jc w:val="center"/>
                    <w:rPr>
                      <w:rFonts w:hint="default" w:ascii="Times New Roman" w:hAnsi="Times New Roman" w:eastAsia="宋体" w:cs="Times New Roman"/>
                      <w:color w:val="auto"/>
                      <w:szCs w:val="21"/>
                      <w:highlight w:val="none"/>
                    </w:rPr>
                  </w:pPr>
                </w:p>
              </w:tc>
              <w:tc>
                <w:tcPr>
                  <w:tcW w:w="1281" w:type="dxa"/>
                  <w:noWrap w:val="0"/>
                  <w:vAlign w:val="center"/>
                </w:tcPr>
                <w:p>
                  <w:pPr>
                    <w:jc w:val="center"/>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eastAsia="zh-CN"/>
                    </w:rPr>
                    <w:t>设备检修维护</w:t>
                  </w:r>
                </w:p>
              </w:tc>
              <w:tc>
                <w:tcPr>
                  <w:tcW w:w="2552" w:type="dxa"/>
                  <w:noWrap w:val="0"/>
                  <w:vAlign w:val="center"/>
                </w:tcPr>
                <w:p>
                  <w:pPr>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eastAsia="zh-CN"/>
                    </w:rPr>
                    <w:t>废机油</w:t>
                  </w:r>
                </w:p>
              </w:tc>
              <w:tc>
                <w:tcPr>
                  <w:tcW w:w="3374" w:type="dxa"/>
                  <w:noWrap w:val="0"/>
                  <w:vAlign w:val="center"/>
                </w:tcPr>
                <w:p>
                  <w:pPr>
                    <w:jc w:val="center"/>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eastAsia="zh-CN"/>
                    </w:rPr>
                    <w:t>危废间暂存，交由有资质单位处置</w:t>
                  </w:r>
                </w:p>
              </w:tc>
            </w:tr>
          </w:tbl>
          <w:p>
            <w:pPr>
              <w:pStyle w:val="14"/>
              <w:spacing w:before="0" w:after="0" w:line="360" w:lineRule="auto"/>
              <w:ind w:right="0" w:firstLine="442" w:firstLineChars="200"/>
              <w:jc w:val="left"/>
              <w:rPr>
                <w:rFonts w:hint="eastAsia" w:ascii="Times New Roman" w:hAnsi="Times New Roman" w:cs="Times New Roman"/>
                <w:b/>
                <w:bCs w:val="0"/>
                <w:color w:val="auto"/>
                <w:sz w:val="22"/>
                <w:szCs w:val="22"/>
                <w:highlight w:val="none"/>
                <w:lang w:val="en-US" w:eastAsia="zh-CN"/>
              </w:rPr>
            </w:pPr>
            <w:r>
              <w:rPr>
                <w:rFonts w:hint="eastAsia" w:ascii="Times New Roman" w:hAnsi="Times New Roman" w:cs="Times New Roman"/>
                <w:b/>
                <w:bCs w:val="0"/>
                <w:color w:val="auto"/>
                <w:sz w:val="22"/>
                <w:szCs w:val="22"/>
                <w:highlight w:val="none"/>
                <w:lang w:val="en-US" w:eastAsia="zh-CN"/>
              </w:rPr>
              <w:t>2.4能耗分析</w:t>
            </w:r>
          </w:p>
          <w:p>
            <w:pPr>
              <w:pStyle w:val="14"/>
              <w:spacing w:before="0" w:after="0" w:line="360" w:lineRule="auto"/>
              <w:ind w:right="0" w:firstLine="440" w:firstLineChars="200"/>
              <w:jc w:val="left"/>
              <w:rPr>
                <w:rFonts w:hint="eastAsia" w:ascii="Times New Roman" w:hAnsi="Times New Roman" w:cs="Times New Roman"/>
                <w:b w:val="0"/>
                <w:bCs w:val="0"/>
                <w:color w:val="auto"/>
                <w:sz w:val="22"/>
                <w:szCs w:val="22"/>
                <w:highlight w:val="none"/>
                <w:lang w:val="en-US" w:eastAsia="zh-CN"/>
              </w:rPr>
            </w:pPr>
            <w:r>
              <w:rPr>
                <w:rFonts w:hint="eastAsia" w:ascii="Times New Roman" w:hAnsi="Times New Roman" w:cs="Times New Roman"/>
                <w:b w:val="0"/>
                <w:bCs w:val="0"/>
                <w:color w:val="auto"/>
                <w:sz w:val="22"/>
                <w:szCs w:val="22"/>
                <w:highlight w:val="none"/>
                <w:lang w:val="en-US" w:eastAsia="zh-CN"/>
              </w:rPr>
              <w:t>根据《综合能耗计算通则》（GB/T 2589-2020），综合能耗计算公式为：</w:t>
            </w:r>
          </w:p>
          <w:p>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outlineLvl w:val="9"/>
              <w:rPr>
                <w:rFonts w:hint="eastAsia" w:ascii="Times New Roman" w:hAnsi="Times New Roman" w:cs="Times New Roman"/>
                <w:b w:val="0"/>
                <w:bCs w:val="0"/>
                <w:color w:val="auto"/>
                <w:sz w:val="22"/>
                <w:szCs w:val="22"/>
                <w:highlight w:val="none"/>
                <w:lang w:val="en-US" w:eastAsia="zh-CN"/>
              </w:rPr>
            </w:pPr>
            <w:r>
              <w:rPr>
                <w:rFonts w:hint="default" w:ascii="Times New Roman" w:hAnsi="Times New Roman" w:cs="Times New Roman"/>
                <w:bCs/>
                <w:color w:val="auto"/>
                <w:position w:val="-16"/>
                <w:sz w:val="22"/>
                <w:szCs w:val="22"/>
                <w:highlight w:val="none"/>
                <w:lang w:val="en-US" w:eastAsia="zh-CN"/>
              </w:rPr>
              <w:object>
                <v:shape id="_x0000_i1025" o:spt="75" type="#_x0000_t75" style="height:28.4pt;width:92.6pt;" o:ole="t" filled="f" o:preferrelative="t" stroked="f" coordsize="21600,21600">
                  <v:path/>
                  <v:fill on="f" focussize="0,0"/>
                  <v:stroke on="f"/>
                  <v:imagedata r:id="rId17" o:title=""/>
                  <o:lock v:ext="edit" aspectratio="t"/>
                  <w10:wrap type="none"/>
                  <w10:anchorlock/>
                </v:shape>
                <o:OLEObject Type="Embed" ProgID="Equation.KSEE3" ShapeID="_x0000_i1025" DrawAspect="Content" ObjectID="_1468075725" r:id="rId16">
                  <o:LockedField>false</o:LockedField>
                </o:OLEObject>
              </w:object>
            </w:r>
          </w:p>
          <w:p>
            <w:pPr>
              <w:pStyle w:val="14"/>
              <w:spacing w:before="0" w:after="0" w:line="360" w:lineRule="auto"/>
              <w:ind w:right="0" w:firstLine="440" w:firstLineChars="200"/>
              <w:jc w:val="left"/>
              <w:rPr>
                <w:rFonts w:hint="eastAsia" w:ascii="Times New Roman" w:hAnsi="Times New Roman" w:cs="Times New Roman"/>
                <w:b w:val="0"/>
                <w:bCs w:val="0"/>
                <w:color w:val="auto"/>
                <w:sz w:val="22"/>
                <w:szCs w:val="22"/>
                <w:highlight w:val="none"/>
                <w:lang w:val="en-US" w:eastAsia="zh-CN"/>
              </w:rPr>
            </w:pPr>
            <w:r>
              <w:rPr>
                <w:rFonts w:hint="eastAsia" w:ascii="Times New Roman" w:hAnsi="Times New Roman" w:cs="Times New Roman"/>
                <w:b w:val="0"/>
                <w:bCs w:val="0"/>
                <w:color w:val="auto"/>
                <w:sz w:val="22"/>
                <w:szCs w:val="22"/>
                <w:highlight w:val="none"/>
                <w:lang w:val="en-US" w:eastAsia="zh-CN"/>
              </w:rPr>
              <w:t>式中：</w:t>
            </w:r>
          </w:p>
          <w:p>
            <w:pPr>
              <w:pStyle w:val="14"/>
              <w:spacing w:before="0" w:after="0" w:line="360" w:lineRule="auto"/>
              <w:ind w:right="0" w:firstLine="440" w:firstLineChars="200"/>
              <w:jc w:val="left"/>
              <w:rPr>
                <w:rFonts w:hint="eastAsia" w:ascii="Times New Roman" w:hAnsi="Times New Roman" w:cs="Times New Roman"/>
                <w:b w:val="0"/>
                <w:bCs w:val="0"/>
                <w:color w:val="auto"/>
                <w:sz w:val="22"/>
                <w:szCs w:val="22"/>
                <w:highlight w:val="none"/>
                <w:lang w:val="en-US" w:eastAsia="zh-CN"/>
              </w:rPr>
            </w:pPr>
            <w:r>
              <w:rPr>
                <w:rFonts w:hint="eastAsia" w:ascii="Times New Roman" w:hAnsi="Times New Roman" w:cs="Times New Roman"/>
                <w:b w:val="0"/>
                <w:bCs w:val="0"/>
                <w:color w:val="auto"/>
                <w:sz w:val="22"/>
                <w:szCs w:val="22"/>
                <w:highlight w:val="none"/>
                <w:lang w:val="en-US" w:eastAsia="zh-CN"/>
              </w:rPr>
              <w:t>E—综合能耗；</w:t>
            </w:r>
          </w:p>
          <w:p>
            <w:pPr>
              <w:pStyle w:val="14"/>
              <w:spacing w:before="0" w:after="0" w:line="360" w:lineRule="auto"/>
              <w:ind w:right="0" w:firstLine="440" w:firstLineChars="200"/>
              <w:jc w:val="left"/>
              <w:rPr>
                <w:rFonts w:hint="eastAsia" w:ascii="Times New Roman" w:hAnsi="Times New Roman" w:cs="Times New Roman"/>
                <w:b w:val="0"/>
                <w:bCs w:val="0"/>
                <w:color w:val="auto"/>
                <w:sz w:val="22"/>
                <w:szCs w:val="22"/>
                <w:highlight w:val="none"/>
                <w:lang w:val="en-US" w:eastAsia="zh-CN"/>
              </w:rPr>
            </w:pPr>
            <w:r>
              <w:rPr>
                <w:rFonts w:hint="eastAsia" w:ascii="Times New Roman" w:hAnsi="Times New Roman" w:cs="Times New Roman"/>
                <w:b w:val="0"/>
                <w:bCs w:val="0"/>
                <w:color w:val="auto"/>
                <w:sz w:val="22"/>
                <w:szCs w:val="22"/>
                <w:highlight w:val="none"/>
                <w:lang w:val="en-US" w:eastAsia="zh-CN"/>
              </w:rPr>
              <w:t>n—消耗的能源种类数；</w:t>
            </w:r>
          </w:p>
          <w:p>
            <w:pPr>
              <w:pStyle w:val="14"/>
              <w:spacing w:before="0" w:after="0" w:line="360" w:lineRule="auto"/>
              <w:ind w:right="0" w:firstLine="440" w:firstLineChars="200"/>
              <w:jc w:val="left"/>
              <w:rPr>
                <w:rFonts w:hint="eastAsia" w:ascii="Times New Roman" w:hAnsi="Times New Roman" w:cs="Times New Roman"/>
                <w:b w:val="0"/>
                <w:bCs w:val="0"/>
                <w:color w:val="auto"/>
                <w:sz w:val="22"/>
                <w:szCs w:val="22"/>
                <w:highlight w:val="none"/>
                <w:lang w:val="en-US" w:eastAsia="zh-CN"/>
              </w:rPr>
            </w:pPr>
            <w:r>
              <w:rPr>
                <w:rFonts w:hint="eastAsia" w:ascii="Times New Roman" w:hAnsi="Times New Roman" w:cs="Times New Roman"/>
                <w:b w:val="0"/>
                <w:bCs w:val="0"/>
                <w:color w:val="auto"/>
                <w:sz w:val="22"/>
                <w:szCs w:val="22"/>
                <w:highlight w:val="none"/>
                <w:lang w:val="en-US" w:eastAsia="zh-CN"/>
              </w:rPr>
              <w:t>E</w:t>
            </w:r>
            <w:r>
              <w:rPr>
                <w:rFonts w:hint="eastAsia" w:ascii="Times New Roman" w:hAnsi="Times New Roman" w:cs="Times New Roman"/>
                <w:b w:val="0"/>
                <w:bCs w:val="0"/>
                <w:color w:val="auto"/>
                <w:sz w:val="22"/>
                <w:szCs w:val="22"/>
                <w:highlight w:val="none"/>
                <w:vertAlign w:val="subscript"/>
                <w:lang w:val="en-US" w:eastAsia="zh-CN"/>
              </w:rPr>
              <w:t>i</w:t>
            </w:r>
            <w:r>
              <w:rPr>
                <w:rFonts w:hint="eastAsia" w:ascii="Times New Roman" w:hAnsi="Times New Roman" w:cs="Times New Roman"/>
                <w:b w:val="0"/>
                <w:bCs w:val="0"/>
                <w:color w:val="auto"/>
                <w:sz w:val="22"/>
                <w:szCs w:val="22"/>
                <w:highlight w:val="none"/>
                <w:lang w:val="en-US" w:eastAsia="zh-CN"/>
              </w:rPr>
              <w:t>—生产和/或服务活动中实际消耗的第i种能源量（含耗能工质消耗的能源量）；</w:t>
            </w:r>
          </w:p>
          <w:p>
            <w:pPr>
              <w:pStyle w:val="14"/>
              <w:spacing w:before="0" w:after="0" w:line="360" w:lineRule="auto"/>
              <w:ind w:right="0" w:firstLine="440" w:firstLineChars="200"/>
              <w:jc w:val="left"/>
              <w:rPr>
                <w:rFonts w:hint="eastAsia" w:ascii="Times New Roman" w:hAnsi="Times New Roman" w:cs="Times New Roman"/>
                <w:b w:val="0"/>
                <w:bCs w:val="0"/>
                <w:color w:val="auto"/>
                <w:sz w:val="22"/>
                <w:szCs w:val="22"/>
                <w:highlight w:val="none"/>
                <w:lang w:val="en-US" w:eastAsia="zh-CN"/>
              </w:rPr>
            </w:pPr>
            <w:r>
              <w:rPr>
                <w:rFonts w:hint="eastAsia" w:ascii="Times New Roman" w:hAnsi="Times New Roman" w:cs="Times New Roman"/>
                <w:b w:val="0"/>
                <w:bCs w:val="0"/>
                <w:color w:val="auto"/>
                <w:sz w:val="22"/>
                <w:szCs w:val="22"/>
                <w:highlight w:val="none"/>
                <w:lang w:val="en-US" w:eastAsia="zh-CN"/>
              </w:rPr>
              <w:t>k</w:t>
            </w:r>
            <w:r>
              <w:rPr>
                <w:rFonts w:hint="eastAsia" w:ascii="Times New Roman" w:hAnsi="Times New Roman" w:cs="Times New Roman"/>
                <w:b w:val="0"/>
                <w:bCs w:val="0"/>
                <w:color w:val="auto"/>
                <w:sz w:val="22"/>
                <w:szCs w:val="22"/>
                <w:highlight w:val="none"/>
                <w:vertAlign w:val="subscript"/>
                <w:lang w:val="en-US" w:eastAsia="zh-CN"/>
              </w:rPr>
              <w:t>i</w:t>
            </w:r>
            <w:r>
              <w:rPr>
                <w:rFonts w:hint="eastAsia" w:ascii="Times New Roman" w:hAnsi="Times New Roman" w:cs="Times New Roman"/>
                <w:b w:val="0"/>
                <w:bCs w:val="0"/>
                <w:color w:val="auto"/>
                <w:sz w:val="22"/>
                <w:szCs w:val="22"/>
                <w:highlight w:val="none"/>
                <w:lang w:val="en-US" w:eastAsia="zh-CN"/>
              </w:rPr>
              <w:t>—第i种能源的折标准煤系数。</w:t>
            </w:r>
          </w:p>
          <w:p>
            <w:pPr>
              <w:pStyle w:val="14"/>
              <w:spacing w:before="0" w:after="0" w:line="360" w:lineRule="auto"/>
              <w:ind w:right="0" w:firstLine="442" w:firstLineChars="200"/>
              <w:jc w:val="left"/>
              <w:rPr>
                <w:rFonts w:hint="eastAsia" w:ascii="Times New Roman" w:hAnsi="Times New Roman" w:cs="Times New Roman"/>
                <w:b/>
                <w:bCs/>
                <w:color w:val="auto"/>
                <w:sz w:val="22"/>
                <w:szCs w:val="22"/>
                <w:highlight w:val="none"/>
                <w:lang w:val="en-US" w:eastAsia="zh-CN"/>
              </w:rPr>
            </w:pPr>
          </w:p>
          <w:p>
            <w:pPr>
              <w:pStyle w:val="14"/>
              <w:spacing w:before="0" w:after="0" w:line="360" w:lineRule="auto"/>
              <w:ind w:right="0" w:firstLine="442" w:firstLineChars="200"/>
              <w:jc w:val="left"/>
              <w:rPr>
                <w:rFonts w:hint="eastAsia" w:ascii="Times New Roman" w:hAnsi="Times New Roman" w:cs="Times New Roman"/>
                <w:b/>
                <w:bCs/>
                <w:color w:val="auto"/>
                <w:sz w:val="22"/>
                <w:szCs w:val="22"/>
                <w:highlight w:val="none"/>
                <w:lang w:val="en-US" w:eastAsia="zh-CN"/>
              </w:rPr>
            </w:pPr>
            <w:r>
              <w:rPr>
                <w:rFonts w:hint="eastAsia" w:ascii="Times New Roman" w:hAnsi="Times New Roman" w:cs="Times New Roman"/>
                <w:b/>
                <w:bCs/>
                <w:color w:val="auto"/>
                <w:sz w:val="22"/>
                <w:szCs w:val="22"/>
                <w:highlight w:val="none"/>
                <w:lang w:val="en-US" w:eastAsia="zh-CN"/>
              </w:rPr>
              <w:t>单位产品综合能耗计算公式为：</w:t>
            </w:r>
          </w:p>
          <w:p>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outlineLvl w:val="9"/>
              <w:rPr>
                <w:rFonts w:hint="eastAsia" w:ascii="Times New Roman" w:hAnsi="Times New Roman" w:cs="Times New Roman"/>
                <w:b w:val="0"/>
                <w:bCs w:val="0"/>
                <w:color w:val="auto"/>
                <w:sz w:val="22"/>
                <w:szCs w:val="22"/>
                <w:highlight w:val="none"/>
                <w:lang w:val="en-US" w:eastAsia="zh-CN"/>
              </w:rPr>
            </w:pPr>
            <w:r>
              <w:rPr>
                <w:rFonts w:hint="default" w:ascii="Times New Roman" w:hAnsi="Times New Roman" w:cs="Times New Roman"/>
                <w:bCs/>
                <w:color w:val="auto"/>
                <w:position w:val="-32"/>
                <w:sz w:val="22"/>
                <w:szCs w:val="22"/>
                <w:highlight w:val="none"/>
                <w:lang w:val="en-US" w:eastAsia="zh-CN"/>
              </w:rPr>
              <w:object>
                <v:shape id="_x0000_i1026" o:spt="75" type="#_x0000_t75" style="height:43.8pt;width:70.3pt;" o:ole="t" filled="f" o:preferrelative="t" stroked="f" coordsize="21600,21600">
                  <v:path/>
                  <v:fill on="f" focussize="0,0"/>
                  <v:stroke on="f"/>
                  <v:imagedata r:id="rId19" o:title=""/>
                  <o:lock v:ext="edit" aspectratio="t"/>
                  <w10:wrap type="none"/>
                  <w10:anchorlock/>
                </v:shape>
                <o:OLEObject Type="Embed" ProgID="Equation.KSEE3" ShapeID="_x0000_i1026" DrawAspect="Content" ObjectID="_1468075726" r:id="rId18">
                  <o:LockedField>false</o:LockedField>
                </o:OLEObject>
              </w:object>
            </w:r>
          </w:p>
          <w:p>
            <w:pPr>
              <w:pStyle w:val="14"/>
              <w:spacing w:before="0" w:after="0" w:line="360" w:lineRule="auto"/>
              <w:ind w:right="0" w:firstLine="440" w:firstLineChars="200"/>
              <w:jc w:val="left"/>
              <w:rPr>
                <w:rFonts w:hint="eastAsia" w:ascii="Times New Roman" w:hAnsi="Times New Roman" w:cs="Times New Roman"/>
                <w:b w:val="0"/>
                <w:bCs w:val="0"/>
                <w:color w:val="auto"/>
                <w:sz w:val="22"/>
                <w:szCs w:val="22"/>
                <w:highlight w:val="none"/>
                <w:lang w:val="en-US" w:eastAsia="zh-CN"/>
              </w:rPr>
            </w:pPr>
            <w:r>
              <w:rPr>
                <w:rFonts w:hint="eastAsia" w:ascii="Times New Roman" w:hAnsi="Times New Roman" w:cs="Times New Roman"/>
                <w:b w:val="0"/>
                <w:bCs w:val="0"/>
                <w:color w:val="auto"/>
                <w:sz w:val="22"/>
                <w:szCs w:val="22"/>
                <w:highlight w:val="none"/>
                <w:lang w:val="en-US" w:eastAsia="zh-CN"/>
              </w:rPr>
              <w:t>式中：</w:t>
            </w:r>
          </w:p>
          <w:p>
            <w:pPr>
              <w:pStyle w:val="14"/>
              <w:spacing w:before="0" w:after="0" w:line="360" w:lineRule="auto"/>
              <w:ind w:right="0" w:firstLine="440" w:firstLineChars="200"/>
              <w:jc w:val="left"/>
              <w:rPr>
                <w:rFonts w:hint="eastAsia" w:ascii="Times New Roman" w:hAnsi="Times New Roman" w:cs="Times New Roman"/>
                <w:b w:val="0"/>
                <w:bCs w:val="0"/>
                <w:color w:val="auto"/>
                <w:sz w:val="22"/>
                <w:szCs w:val="22"/>
                <w:highlight w:val="none"/>
                <w:lang w:val="en-US" w:eastAsia="zh-CN"/>
              </w:rPr>
            </w:pPr>
            <w:r>
              <w:rPr>
                <w:rFonts w:hint="eastAsia" w:ascii="Times New Roman" w:hAnsi="Times New Roman" w:cs="Times New Roman"/>
                <w:b w:val="0"/>
                <w:bCs w:val="0"/>
                <w:color w:val="auto"/>
                <w:sz w:val="22"/>
                <w:szCs w:val="22"/>
                <w:highlight w:val="none"/>
                <w:lang w:val="en-US" w:eastAsia="zh-CN"/>
              </w:rPr>
              <w:t>e</w:t>
            </w:r>
            <w:r>
              <w:rPr>
                <w:rFonts w:hint="eastAsia" w:ascii="Times New Roman" w:hAnsi="Times New Roman" w:cs="Times New Roman"/>
                <w:b w:val="0"/>
                <w:bCs w:val="0"/>
                <w:color w:val="auto"/>
                <w:sz w:val="22"/>
                <w:szCs w:val="22"/>
                <w:highlight w:val="none"/>
                <w:vertAlign w:val="subscript"/>
                <w:lang w:val="en-US" w:eastAsia="zh-CN"/>
              </w:rPr>
              <w:t>j</w:t>
            </w:r>
            <w:r>
              <w:rPr>
                <w:rFonts w:hint="eastAsia" w:ascii="Times New Roman" w:hAnsi="Times New Roman" w:cs="Times New Roman"/>
                <w:b w:val="0"/>
                <w:bCs w:val="0"/>
                <w:color w:val="auto"/>
                <w:sz w:val="22"/>
                <w:szCs w:val="22"/>
                <w:highlight w:val="none"/>
                <w:lang w:val="en-US" w:eastAsia="zh-CN"/>
              </w:rPr>
              <w:t>—第j种产品的单位产品综合能耗；</w:t>
            </w:r>
          </w:p>
          <w:p>
            <w:pPr>
              <w:pStyle w:val="14"/>
              <w:spacing w:before="0" w:after="0" w:line="360" w:lineRule="auto"/>
              <w:ind w:right="0" w:firstLine="440" w:firstLineChars="200"/>
              <w:jc w:val="left"/>
              <w:rPr>
                <w:rFonts w:hint="eastAsia" w:ascii="Times New Roman" w:hAnsi="Times New Roman" w:cs="Times New Roman"/>
                <w:b w:val="0"/>
                <w:bCs w:val="0"/>
                <w:color w:val="auto"/>
                <w:sz w:val="22"/>
                <w:szCs w:val="22"/>
                <w:highlight w:val="none"/>
                <w:lang w:val="en-US" w:eastAsia="zh-CN"/>
              </w:rPr>
            </w:pPr>
            <w:r>
              <w:rPr>
                <w:rFonts w:hint="eastAsia" w:ascii="Times New Roman" w:hAnsi="Times New Roman" w:cs="Times New Roman"/>
                <w:b w:val="0"/>
                <w:bCs w:val="0"/>
                <w:color w:val="auto"/>
                <w:sz w:val="22"/>
                <w:szCs w:val="22"/>
                <w:highlight w:val="none"/>
                <w:lang w:val="en-US" w:eastAsia="zh-CN"/>
              </w:rPr>
              <w:t>E</w:t>
            </w:r>
            <w:r>
              <w:rPr>
                <w:rFonts w:hint="eastAsia" w:ascii="Times New Roman" w:hAnsi="Times New Roman" w:cs="Times New Roman"/>
                <w:b w:val="0"/>
                <w:bCs w:val="0"/>
                <w:color w:val="auto"/>
                <w:sz w:val="22"/>
                <w:szCs w:val="22"/>
                <w:highlight w:val="none"/>
                <w:vertAlign w:val="subscript"/>
                <w:lang w:val="en-US" w:eastAsia="zh-CN"/>
              </w:rPr>
              <w:t>j</w:t>
            </w:r>
            <w:r>
              <w:rPr>
                <w:rFonts w:hint="eastAsia" w:ascii="Times New Roman" w:hAnsi="Times New Roman" w:cs="Times New Roman"/>
                <w:b w:val="0"/>
                <w:bCs w:val="0"/>
                <w:color w:val="auto"/>
                <w:sz w:val="22"/>
                <w:szCs w:val="22"/>
                <w:highlight w:val="none"/>
                <w:lang w:val="en-US" w:eastAsia="zh-CN"/>
              </w:rPr>
              <w:t>—第j种产品的综合能耗；</w:t>
            </w:r>
          </w:p>
          <w:p>
            <w:pPr>
              <w:pStyle w:val="14"/>
              <w:spacing w:before="0" w:after="0" w:line="360" w:lineRule="auto"/>
              <w:ind w:right="0" w:firstLine="440" w:firstLineChars="200"/>
              <w:jc w:val="left"/>
              <w:rPr>
                <w:rFonts w:hint="eastAsia" w:ascii="Times New Roman" w:hAnsi="Times New Roman" w:cs="Times New Roman"/>
                <w:b w:val="0"/>
                <w:bCs w:val="0"/>
                <w:color w:val="auto"/>
                <w:sz w:val="22"/>
                <w:szCs w:val="22"/>
                <w:highlight w:val="none"/>
                <w:lang w:val="en-US" w:eastAsia="zh-CN"/>
              </w:rPr>
            </w:pPr>
            <w:r>
              <w:rPr>
                <w:rFonts w:hint="eastAsia" w:ascii="Times New Roman" w:hAnsi="Times New Roman" w:cs="Times New Roman"/>
                <w:b w:val="0"/>
                <w:bCs w:val="0"/>
                <w:color w:val="auto"/>
                <w:sz w:val="22"/>
                <w:szCs w:val="22"/>
                <w:highlight w:val="none"/>
                <w:lang w:val="en-US" w:eastAsia="zh-CN"/>
              </w:rPr>
              <w:t>M</w:t>
            </w:r>
            <w:r>
              <w:rPr>
                <w:rFonts w:hint="eastAsia" w:ascii="Times New Roman" w:hAnsi="Times New Roman" w:cs="Times New Roman"/>
                <w:b w:val="0"/>
                <w:bCs w:val="0"/>
                <w:color w:val="auto"/>
                <w:sz w:val="22"/>
                <w:szCs w:val="22"/>
                <w:highlight w:val="none"/>
                <w:vertAlign w:val="subscript"/>
                <w:lang w:val="en-US" w:eastAsia="zh-CN"/>
              </w:rPr>
              <w:t>j</w:t>
            </w:r>
            <w:r>
              <w:rPr>
                <w:rFonts w:hint="eastAsia" w:ascii="Times New Roman" w:hAnsi="Times New Roman" w:cs="Times New Roman"/>
                <w:b w:val="0"/>
                <w:bCs w:val="0"/>
                <w:color w:val="auto"/>
                <w:sz w:val="22"/>
                <w:szCs w:val="22"/>
                <w:highlight w:val="none"/>
                <w:lang w:val="en-US" w:eastAsia="zh-CN"/>
              </w:rPr>
              <w:t>—第j种产品的合格产品产量。</w:t>
            </w:r>
          </w:p>
          <w:p>
            <w:pPr>
              <w:pStyle w:val="14"/>
              <w:spacing w:before="0" w:after="0" w:line="360" w:lineRule="auto"/>
              <w:ind w:right="0" w:firstLine="440" w:firstLineChars="200"/>
              <w:jc w:val="left"/>
              <w:rPr>
                <w:rFonts w:hint="eastAsia" w:ascii="Times New Roman" w:hAnsi="Times New Roman" w:cs="Times New Roman"/>
                <w:b w:val="0"/>
                <w:bCs w:val="0"/>
                <w:color w:val="auto"/>
                <w:sz w:val="22"/>
                <w:szCs w:val="22"/>
                <w:highlight w:val="none"/>
                <w:lang w:val="en-US" w:eastAsia="zh-CN"/>
              </w:rPr>
            </w:pPr>
            <w:r>
              <w:rPr>
                <w:rFonts w:hint="eastAsia" w:ascii="Times New Roman" w:hAnsi="Times New Roman" w:cs="Times New Roman"/>
                <w:b w:val="0"/>
                <w:bCs w:val="0"/>
                <w:color w:val="auto"/>
                <w:sz w:val="22"/>
                <w:szCs w:val="22"/>
                <w:highlight w:val="none"/>
                <w:lang w:val="en-US" w:eastAsia="zh-CN"/>
              </w:rPr>
              <w:t>注：单位产品综合能耗主要用于考察用能单位的能源效率或能源强度。</w:t>
            </w:r>
          </w:p>
          <w:p>
            <w:pPr>
              <w:pStyle w:val="14"/>
              <w:spacing w:before="0" w:after="0" w:line="360" w:lineRule="auto"/>
              <w:ind w:right="0" w:firstLine="442" w:firstLineChars="200"/>
              <w:jc w:val="left"/>
              <w:rPr>
                <w:rFonts w:hint="eastAsia" w:ascii="Times New Roman" w:hAnsi="Times New Roman" w:cs="Times New Roman"/>
                <w:b/>
                <w:bCs/>
                <w:color w:val="auto"/>
                <w:sz w:val="22"/>
                <w:szCs w:val="22"/>
                <w:highlight w:val="none"/>
                <w:lang w:val="en-US" w:eastAsia="zh-CN"/>
              </w:rPr>
            </w:pPr>
            <w:r>
              <w:rPr>
                <w:rFonts w:hint="eastAsia" w:ascii="Times New Roman" w:hAnsi="Times New Roman" w:cs="Times New Roman"/>
                <w:b/>
                <w:bCs/>
                <w:color w:val="auto"/>
                <w:sz w:val="22"/>
                <w:szCs w:val="22"/>
                <w:highlight w:val="none"/>
                <w:lang w:val="en-US" w:eastAsia="zh-CN"/>
              </w:rPr>
              <w:t>2.4.1能源种类</w:t>
            </w:r>
          </w:p>
          <w:p>
            <w:pPr>
              <w:pStyle w:val="14"/>
              <w:spacing w:before="0" w:after="0" w:line="360" w:lineRule="auto"/>
              <w:ind w:right="0" w:firstLine="440" w:firstLineChars="200"/>
              <w:jc w:val="left"/>
              <w:rPr>
                <w:rFonts w:hint="eastAsia" w:ascii="Times New Roman" w:hAnsi="Times New Roman" w:cs="Times New Roman"/>
                <w:b w:val="0"/>
                <w:bCs w:val="0"/>
                <w:color w:val="auto"/>
                <w:sz w:val="22"/>
                <w:szCs w:val="22"/>
                <w:highlight w:val="none"/>
                <w:lang w:val="en-US" w:eastAsia="zh-CN"/>
              </w:rPr>
            </w:pPr>
            <w:r>
              <w:rPr>
                <w:rFonts w:hint="eastAsia" w:ascii="Times New Roman" w:hAnsi="Times New Roman" w:cs="Times New Roman"/>
                <w:b w:val="0"/>
                <w:bCs w:val="0"/>
                <w:color w:val="auto"/>
                <w:sz w:val="22"/>
                <w:szCs w:val="22"/>
                <w:highlight w:val="none"/>
                <w:lang w:val="en-US" w:eastAsia="zh-CN"/>
              </w:rPr>
              <w:t>本项目年产夹层玻璃8万m</w:t>
            </w:r>
            <w:r>
              <w:rPr>
                <w:rFonts w:hint="eastAsia" w:ascii="Times New Roman" w:hAnsi="Times New Roman" w:cs="Times New Roman"/>
                <w:b w:val="0"/>
                <w:bCs w:val="0"/>
                <w:color w:val="auto"/>
                <w:sz w:val="22"/>
                <w:szCs w:val="22"/>
                <w:highlight w:val="none"/>
                <w:vertAlign w:val="superscript"/>
                <w:lang w:val="en-US" w:eastAsia="zh-CN"/>
              </w:rPr>
              <w:t>2</w:t>
            </w:r>
            <w:r>
              <w:rPr>
                <w:rFonts w:hint="eastAsia" w:ascii="Times New Roman" w:hAnsi="Times New Roman" w:cs="Times New Roman"/>
                <w:b w:val="0"/>
                <w:bCs w:val="0"/>
                <w:color w:val="auto"/>
                <w:sz w:val="22"/>
                <w:szCs w:val="22"/>
                <w:highlight w:val="none"/>
                <w:lang w:val="en-US" w:eastAsia="zh-CN"/>
              </w:rPr>
              <w:t>（约2080t），使用能源为电和水，具体情况如下：</w:t>
            </w:r>
          </w:p>
          <w:p>
            <w:pPr>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表2-</w:t>
            </w:r>
            <w:r>
              <w:rPr>
                <w:rFonts w:hint="eastAsia" w:ascii="Times New Roman" w:hAnsi="Times New Roman" w:cs="Times New Roman"/>
                <w:b/>
                <w:bCs/>
                <w:color w:val="auto"/>
                <w:szCs w:val="21"/>
                <w:highlight w:val="none"/>
                <w:lang w:val="en-US" w:eastAsia="zh-CN"/>
              </w:rPr>
              <w:t>10项目</w:t>
            </w:r>
            <w:r>
              <w:rPr>
                <w:rFonts w:hint="default" w:ascii="Times New Roman" w:hAnsi="Times New Roman" w:cs="Times New Roman"/>
                <w:b/>
                <w:bCs/>
                <w:color w:val="auto"/>
                <w:szCs w:val="21"/>
                <w:highlight w:val="none"/>
              </w:rPr>
              <w:t>能耗情况表</w:t>
            </w:r>
          </w:p>
          <w:tbl>
            <w:tblPr>
              <w:tblStyle w:val="42"/>
              <w:tblW w:w="806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93"/>
              <w:gridCol w:w="991"/>
              <w:gridCol w:w="1278"/>
              <w:gridCol w:w="1309"/>
              <w:gridCol w:w="1474"/>
              <w:gridCol w:w="211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3" w:hRule="atLeast"/>
                <w:jc w:val="center"/>
              </w:trPr>
              <w:tc>
                <w:tcPr>
                  <w:tcW w:w="1884" w:type="dxa"/>
                  <w:gridSpan w:val="2"/>
                  <w:noWrap w:val="0"/>
                  <w:vAlign w:val="center"/>
                </w:tcPr>
                <w:p>
                  <w:pPr>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名称</w:t>
                  </w:r>
                </w:p>
              </w:tc>
              <w:tc>
                <w:tcPr>
                  <w:tcW w:w="1278" w:type="dxa"/>
                  <w:noWrap w:val="0"/>
                  <w:vAlign w:val="center"/>
                </w:tcPr>
                <w:p>
                  <w:pPr>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年消耗量</w:t>
                  </w:r>
                </w:p>
              </w:tc>
              <w:tc>
                <w:tcPr>
                  <w:tcW w:w="1309" w:type="dxa"/>
                  <w:noWrap w:val="0"/>
                  <w:vAlign w:val="center"/>
                </w:tcPr>
                <w:p>
                  <w:pPr>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存放位置</w:t>
                  </w:r>
                </w:p>
              </w:tc>
              <w:tc>
                <w:tcPr>
                  <w:tcW w:w="1474" w:type="dxa"/>
                  <w:noWrap w:val="0"/>
                  <w:vAlign w:val="center"/>
                </w:tcPr>
                <w:p>
                  <w:pPr>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主要来源</w:t>
                  </w:r>
                </w:p>
              </w:tc>
              <w:tc>
                <w:tcPr>
                  <w:tcW w:w="2115" w:type="dxa"/>
                  <w:noWrap w:val="0"/>
                  <w:vAlign w:val="center"/>
                </w:tcPr>
                <w:p>
                  <w:pPr>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备注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93" w:type="dxa"/>
                  <w:vMerge w:val="restart"/>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能源</w:t>
                  </w:r>
                </w:p>
              </w:tc>
              <w:tc>
                <w:tcPr>
                  <w:tcW w:w="991"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自来水</w:t>
                  </w:r>
                </w:p>
              </w:tc>
              <w:tc>
                <w:tcPr>
                  <w:tcW w:w="1278" w:type="dxa"/>
                  <w:noWrap w:val="0"/>
                  <w:vAlign w:val="center"/>
                </w:tcPr>
                <w:p>
                  <w:pPr>
                    <w:jc w:val="center"/>
                    <w:rPr>
                      <w:rFonts w:hint="default" w:ascii="Times New Roman" w:hAnsi="Times New Roman" w:cs="Times New Roman"/>
                      <w:color w:val="auto"/>
                      <w:szCs w:val="21"/>
                      <w:highlight w:val="none"/>
                      <w:vertAlign w:val="superscript"/>
                    </w:rPr>
                  </w:pPr>
                  <w:r>
                    <w:rPr>
                      <w:rFonts w:hint="eastAsia" w:ascii="Times New Roman" w:hAnsi="Times New Roman" w:cs="Times New Roman"/>
                      <w:color w:val="auto"/>
                      <w:szCs w:val="21"/>
                      <w:highlight w:val="none"/>
                      <w:lang w:val="en-US" w:eastAsia="zh-CN"/>
                    </w:rPr>
                    <w:t>2115</w:t>
                  </w: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1309"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474" w:type="dxa"/>
                  <w:noWrap w:val="0"/>
                  <w:vAlign w:val="center"/>
                </w:tcPr>
                <w:p>
                  <w:pPr>
                    <w:jc w:val="center"/>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园区</w:t>
                  </w:r>
                  <w:r>
                    <w:rPr>
                      <w:rFonts w:hint="default" w:ascii="Times New Roman" w:hAnsi="Times New Roman" w:cs="Times New Roman"/>
                      <w:color w:val="auto"/>
                      <w:szCs w:val="21"/>
                      <w:highlight w:val="none"/>
                    </w:rPr>
                    <w:t>供水</w:t>
                  </w:r>
                </w:p>
              </w:tc>
              <w:tc>
                <w:tcPr>
                  <w:tcW w:w="2115"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93" w:type="dxa"/>
                  <w:vMerge w:val="continue"/>
                  <w:noWrap w:val="0"/>
                  <w:vAlign w:val="center"/>
                </w:tcPr>
                <w:p>
                  <w:pPr>
                    <w:jc w:val="center"/>
                    <w:rPr>
                      <w:rFonts w:hint="default" w:ascii="Times New Roman" w:hAnsi="Times New Roman" w:cs="Times New Roman"/>
                      <w:color w:val="auto"/>
                      <w:szCs w:val="21"/>
                      <w:highlight w:val="none"/>
                    </w:rPr>
                  </w:pPr>
                </w:p>
              </w:tc>
              <w:tc>
                <w:tcPr>
                  <w:tcW w:w="991"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电</w:t>
                  </w:r>
                </w:p>
              </w:tc>
              <w:tc>
                <w:tcPr>
                  <w:tcW w:w="1278" w:type="dxa"/>
                  <w:noWrap w:val="0"/>
                  <w:vAlign w:val="center"/>
                </w:tcPr>
                <w:p>
                  <w:pPr>
                    <w:jc w:val="center"/>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140</w:t>
                  </w:r>
                  <w:r>
                    <w:rPr>
                      <w:rFonts w:hint="default" w:ascii="Times New Roman" w:hAnsi="Times New Roman" w:cs="Times New Roman"/>
                      <w:color w:val="auto"/>
                      <w:szCs w:val="21"/>
                      <w:highlight w:val="none"/>
                    </w:rPr>
                    <w:t>万kw·h</w:t>
                  </w:r>
                </w:p>
              </w:tc>
              <w:tc>
                <w:tcPr>
                  <w:tcW w:w="1309"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474"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园区供电</w:t>
                  </w:r>
                </w:p>
              </w:tc>
              <w:tc>
                <w:tcPr>
                  <w:tcW w:w="2115"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r>
          </w:tbl>
          <w:p>
            <w:pPr>
              <w:pStyle w:val="14"/>
              <w:spacing w:before="0" w:after="0" w:line="360" w:lineRule="auto"/>
              <w:ind w:right="0" w:firstLine="442" w:firstLineChars="200"/>
              <w:jc w:val="left"/>
              <w:rPr>
                <w:rFonts w:hint="eastAsia" w:ascii="Times New Roman" w:hAnsi="Times New Roman" w:cs="Times New Roman"/>
                <w:b/>
                <w:bCs/>
                <w:color w:val="auto"/>
                <w:sz w:val="22"/>
                <w:szCs w:val="22"/>
                <w:highlight w:val="none"/>
                <w:lang w:val="en-US" w:eastAsia="zh-CN"/>
              </w:rPr>
            </w:pPr>
            <w:r>
              <w:rPr>
                <w:rFonts w:hint="eastAsia" w:ascii="Times New Roman" w:hAnsi="Times New Roman" w:cs="Times New Roman"/>
                <w:b/>
                <w:bCs/>
                <w:color w:val="auto"/>
                <w:sz w:val="22"/>
                <w:szCs w:val="22"/>
                <w:highlight w:val="none"/>
                <w:lang w:val="en-US" w:eastAsia="zh-CN"/>
              </w:rPr>
              <w:t>2.4.2能耗计算</w:t>
            </w:r>
          </w:p>
          <w:p>
            <w:pPr>
              <w:pStyle w:val="14"/>
              <w:spacing w:before="0" w:after="0" w:line="360" w:lineRule="auto"/>
              <w:ind w:right="0" w:firstLine="440" w:firstLineChars="200"/>
              <w:jc w:val="left"/>
              <w:rPr>
                <w:rFonts w:hint="default" w:ascii="Times New Roman" w:hAnsi="Times New Roman" w:cs="Times New Roman"/>
                <w:b w:val="0"/>
                <w:bCs w:val="0"/>
                <w:color w:val="auto"/>
                <w:sz w:val="22"/>
                <w:szCs w:val="22"/>
                <w:highlight w:val="none"/>
                <w:lang w:val="en-US" w:eastAsia="zh-CN"/>
              </w:rPr>
            </w:pPr>
            <w:r>
              <w:rPr>
                <w:rFonts w:hint="eastAsia" w:ascii="Times New Roman" w:hAnsi="Times New Roman" w:cs="Times New Roman"/>
                <w:b w:val="0"/>
                <w:bCs w:val="0"/>
                <w:color w:val="auto"/>
                <w:sz w:val="22"/>
                <w:szCs w:val="22"/>
                <w:highlight w:val="none"/>
                <w:lang w:val="en-US" w:eastAsia="zh-CN"/>
              </w:rPr>
              <w:t>（1）电力能耗</w:t>
            </w:r>
          </w:p>
          <w:p>
            <w:pPr>
              <w:pStyle w:val="14"/>
              <w:spacing w:before="0" w:after="0" w:line="360" w:lineRule="auto"/>
              <w:ind w:right="0" w:firstLine="440" w:firstLineChars="200"/>
              <w:jc w:val="left"/>
              <w:rPr>
                <w:rFonts w:hint="default" w:ascii="Times New Roman" w:hAnsi="Times New Roman" w:cs="Times New Roman"/>
                <w:b w:val="0"/>
                <w:bCs w:val="0"/>
                <w:color w:val="auto"/>
                <w:sz w:val="22"/>
                <w:szCs w:val="22"/>
                <w:highlight w:val="none"/>
                <w:lang w:val="en-US" w:eastAsia="zh-CN"/>
              </w:rPr>
            </w:pPr>
            <w:r>
              <w:rPr>
                <w:rFonts w:hint="default" w:ascii="Times New Roman" w:hAnsi="Times New Roman" w:cs="Times New Roman"/>
                <w:b w:val="0"/>
                <w:bCs w:val="0"/>
                <w:color w:val="auto"/>
                <w:sz w:val="22"/>
                <w:szCs w:val="22"/>
                <w:highlight w:val="none"/>
                <w:lang w:val="en-US" w:eastAsia="zh-CN"/>
              </w:rPr>
              <w:t>根据《综合能耗计算通则》（GB/T 2589-2020）附录A表A.2电力和热力折标准煤系数（参考值）：电力（当量值）折标准煤系数为0.1229kgce/kW·h。</w:t>
            </w:r>
          </w:p>
          <w:p>
            <w:pPr>
              <w:pStyle w:val="14"/>
              <w:spacing w:before="0" w:after="0" w:line="360" w:lineRule="auto"/>
              <w:ind w:right="0" w:firstLine="440" w:firstLineChars="200"/>
              <w:jc w:val="left"/>
              <w:rPr>
                <w:rFonts w:hint="eastAsia" w:ascii="Times New Roman" w:hAnsi="Times New Roman" w:cs="Times New Roman"/>
                <w:b w:val="0"/>
                <w:bCs w:val="0"/>
                <w:color w:val="auto"/>
                <w:sz w:val="22"/>
                <w:szCs w:val="22"/>
                <w:highlight w:val="none"/>
                <w:lang w:val="en-US" w:eastAsia="zh-CN"/>
              </w:rPr>
            </w:pPr>
            <w:r>
              <w:rPr>
                <w:rFonts w:hint="eastAsia" w:ascii="Times New Roman" w:hAnsi="Times New Roman" w:cs="Times New Roman"/>
                <w:b w:val="0"/>
                <w:bCs w:val="0"/>
                <w:color w:val="auto"/>
                <w:sz w:val="22"/>
                <w:szCs w:val="22"/>
                <w:highlight w:val="none"/>
                <w:lang w:val="en-US" w:eastAsia="zh-CN"/>
              </w:rPr>
              <w:t>本项目电力折标煤能耗为</w:t>
            </w:r>
            <w:r>
              <w:rPr>
                <w:rFonts w:hint="eastAsia" w:ascii="Times New Roman" w:hAnsi="Times New Roman" w:cs="Times New Roman"/>
                <w:b/>
                <w:bCs/>
                <w:color w:val="auto"/>
                <w:sz w:val="22"/>
                <w:szCs w:val="22"/>
                <w:highlight w:val="none"/>
                <w:lang w:val="en-US" w:eastAsia="zh-CN"/>
              </w:rPr>
              <w:t>172.06（tce/a）。</w:t>
            </w:r>
          </w:p>
          <w:p>
            <w:pPr>
              <w:pStyle w:val="14"/>
              <w:spacing w:before="0" w:after="0" w:line="360" w:lineRule="auto"/>
              <w:ind w:right="0" w:firstLine="440" w:firstLineChars="200"/>
              <w:jc w:val="left"/>
              <w:rPr>
                <w:rFonts w:hint="eastAsia" w:ascii="Times New Roman" w:hAnsi="Times New Roman" w:cs="Times New Roman"/>
                <w:b w:val="0"/>
                <w:bCs w:val="0"/>
                <w:color w:val="auto"/>
                <w:sz w:val="22"/>
                <w:szCs w:val="22"/>
                <w:highlight w:val="none"/>
                <w:lang w:val="en-US" w:eastAsia="zh-CN"/>
              </w:rPr>
            </w:pPr>
            <w:r>
              <w:rPr>
                <w:rFonts w:hint="eastAsia" w:ascii="Times New Roman" w:hAnsi="Times New Roman" w:cs="Times New Roman"/>
                <w:b w:val="0"/>
                <w:bCs w:val="0"/>
                <w:color w:val="auto"/>
                <w:sz w:val="22"/>
                <w:szCs w:val="22"/>
                <w:highlight w:val="none"/>
                <w:lang w:val="en-US" w:eastAsia="zh-CN"/>
              </w:rPr>
              <w:t>（2）新水能耗</w:t>
            </w:r>
          </w:p>
          <w:p>
            <w:pPr>
              <w:pStyle w:val="14"/>
              <w:spacing w:before="0" w:after="0" w:line="360" w:lineRule="auto"/>
              <w:ind w:right="0" w:firstLine="440" w:firstLineChars="200"/>
              <w:jc w:val="left"/>
              <w:rPr>
                <w:rFonts w:hint="eastAsia" w:ascii="Times New Roman" w:hAnsi="Times New Roman" w:cs="Times New Roman"/>
                <w:b w:val="0"/>
                <w:bCs w:val="0"/>
                <w:color w:val="auto"/>
                <w:sz w:val="22"/>
                <w:szCs w:val="22"/>
                <w:highlight w:val="none"/>
                <w:lang w:val="en-US" w:eastAsia="zh-CN"/>
              </w:rPr>
            </w:pPr>
            <w:r>
              <w:rPr>
                <w:rFonts w:hint="eastAsia" w:ascii="Times New Roman" w:hAnsi="Times New Roman" w:cs="Times New Roman"/>
                <w:b w:val="0"/>
                <w:bCs w:val="0"/>
                <w:color w:val="auto"/>
                <w:sz w:val="22"/>
                <w:szCs w:val="22"/>
                <w:highlight w:val="none"/>
                <w:lang w:val="en-US" w:eastAsia="zh-CN"/>
              </w:rPr>
              <w:t>根据《综合能耗计算通则》（GB/T 2589-2020）附录B表B.1主要耗能工质折标准煤系数（按能源等价值计）（参考值）：新水单位耗能工质耗能量为7.45MJ/t（1800kcal/t），折标准煤系数为0.2571kgce/t。</w:t>
            </w:r>
          </w:p>
          <w:p>
            <w:pPr>
              <w:pStyle w:val="14"/>
              <w:spacing w:before="0" w:after="0" w:line="360" w:lineRule="auto"/>
              <w:ind w:right="0" w:firstLine="440" w:firstLineChars="200"/>
              <w:jc w:val="left"/>
              <w:rPr>
                <w:rFonts w:hint="eastAsia" w:ascii="Times New Roman" w:hAnsi="Times New Roman" w:cs="Times New Roman"/>
                <w:b w:val="0"/>
                <w:bCs w:val="0"/>
                <w:color w:val="auto"/>
                <w:sz w:val="22"/>
                <w:szCs w:val="22"/>
                <w:highlight w:val="none"/>
                <w:lang w:val="en-US" w:eastAsia="zh-CN"/>
              </w:rPr>
            </w:pPr>
            <w:r>
              <w:rPr>
                <w:rFonts w:hint="eastAsia" w:ascii="Times New Roman" w:hAnsi="Times New Roman" w:cs="Times New Roman"/>
                <w:b w:val="0"/>
                <w:bCs w:val="0"/>
                <w:color w:val="auto"/>
                <w:sz w:val="22"/>
                <w:szCs w:val="22"/>
                <w:highlight w:val="none"/>
                <w:lang w:val="en-US" w:eastAsia="zh-CN"/>
              </w:rPr>
              <w:t>本项目新水折标煤能耗为</w:t>
            </w:r>
            <w:r>
              <w:rPr>
                <w:rFonts w:hint="eastAsia" w:ascii="Times New Roman" w:hAnsi="Times New Roman" w:cs="Times New Roman"/>
                <w:b/>
                <w:bCs/>
                <w:color w:val="auto"/>
                <w:sz w:val="22"/>
                <w:szCs w:val="22"/>
                <w:highlight w:val="none"/>
                <w:lang w:val="en-US" w:eastAsia="zh-CN"/>
              </w:rPr>
              <w:t>0.54（tce/a）。</w:t>
            </w:r>
          </w:p>
          <w:p>
            <w:pPr>
              <w:pStyle w:val="14"/>
              <w:spacing w:before="0" w:after="0" w:line="360" w:lineRule="auto"/>
              <w:ind w:right="0" w:firstLine="442" w:firstLineChars="200"/>
              <w:jc w:val="left"/>
              <w:rPr>
                <w:rFonts w:hint="eastAsia" w:ascii="Times New Roman" w:hAnsi="Times New Roman" w:cs="Times New Roman"/>
                <w:b/>
                <w:bCs/>
                <w:color w:val="auto"/>
                <w:sz w:val="22"/>
                <w:szCs w:val="22"/>
                <w:highlight w:val="none"/>
                <w:lang w:val="en-US" w:eastAsia="zh-CN"/>
              </w:rPr>
            </w:pPr>
            <w:r>
              <w:rPr>
                <w:rFonts w:hint="eastAsia" w:ascii="Times New Roman" w:hAnsi="Times New Roman" w:cs="Times New Roman"/>
                <w:b/>
                <w:bCs/>
                <w:color w:val="auto"/>
                <w:sz w:val="22"/>
                <w:szCs w:val="22"/>
                <w:highlight w:val="none"/>
                <w:lang w:val="en-US" w:eastAsia="zh-CN"/>
              </w:rPr>
              <w:t>综上，项目综合能耗为172.6（tce/a），单位产品综合能耗为0.083（tce/t产品）。</w:t>
            </w:r>
          </w:p>
          <w:p>
            <w:pPr>
              <w:pStyle w:val="14"/>
              <w:spacing w:before="0" w:after="0" w:line="360" w:lineRule="auto"/>
              <w:ind w:right="0" w:firstLine="442" w:firstLineChars="200"/>
              <w:jc w:val="left"/>
              <w:rPr>
                <w:rFonts w:hint="default" w:ascii="Times New Roman" w:hAnsi="Times New Roman" w:cs="Times New Roman"/>
                <w:b/>
                <w:bCs w:val="0"/>
                <w:color w:val="auto"/>
                <w:sz w:val="22"/>
                <w:szCs w:val="22"/>
                <w:highlight w:val="none"/>
                <w:lang w:val="en-US" w:eastAsia="zh-CN"/>
              </w:rPr>
            </w:pPr>
            <w:r>
              <w:rPr>
                <w:rFonts w:hint="eastAsia" w:ascii="Times New Roman" w:hAnsi="Times New Roman" w:cs="Times New Roman"/>
                <w:b/>
                <w:bCs w:val="0"/>
                <w:color w:val="auto"/>
                <w:sz w:val="22"/>
                <w:szCs w:val="22"/>
                <w:highlight w:val="none"/>
                <w:lang w:val="en-US" w:eastAsia="zh-CN"/>
              </w:rPr>
              <w:t>2.5</w:t>
            </w:r>
            <w:r>
              <w:rPr>
                <w:rFonts w:hint="default" w:ascii="Times New Roman" w:hAnsi="Times New Roman" w:cs="Times New Roman"/>
                <w:b/>
                <w:bCs w:val="0"/>
                <w:color w:val="auto"/>
                <w:sz w:val="22"/>
                <w:szCs w:val="22"/>
                <w:highlight w:val="none"/>
                <w:lang w:val="en-US" w:eastAsia="zh-CN"/>
              </w:rPr>
              <w:t>碳排放分析</w:t>
            </w:r>
          </w:p>
          <w:p>
            <w:pPr>
              <w:pStyle w:val="14"/>
              <w:spacing w:before="0" w:after="0" w:line="360" w:lineRule="auto"/>
              <w:ind w:right="0" w:firstLine="440" w:firstLineChars="200"/>
              <w:jc w:val="left"/>
              <w:rPr>
                <w:rFonts w:hint="default" w:ascii="Times New Roman" w:hAnsi="Times New Roman" w:cs="Times New Roman"/>
                <w:bCs/>
                <w:color w:val="auto"/>
                <w:sz w:val="22"/>
                <w:szCs w:val="22"/>
                <w:highlight w:val="none"/>
                <w:lang w:val="en-US" w:eastAsia="zh-CN"/>
              </w:rPr>
            </w:pPr>
            <w:r>
              <w:rPr>
                <w:rFonts w:hint="default" w:ascii="Times New Roman" w:hAnsi="Times New Roman" w:cs="Times New Roman"/>
                <w:bCs/>
                <w:color w:val="auto"/>
                <w:sz w:val="22"/>
                <w:szCs w:val="22"/>
                <w:highlight w:val="none"/>
                <w:lang w:val="en-US" w:eastAsia="zh-CN"/>
              </w:rPr>
              <w:t>二氧化碳排放总量等于核算边界内化石燃料燃烧、消耗外购电力和消耗外购热力产生的排放量之和。</w:t>
            </w:r>
          </w:p>
          <w:p>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outlineLvl w:val="9"/>
              <w:rPr>
                <w:rFonts w:hint="default" w:ascii="Times New Roman" w:hAnsi="Times New Roman" w:cs="Times New Roman"/>
                <w:bCs/>
                <w:color w:val="auto"/>
                <w:sz w:val="22"/>
                <w:szCs w:val="22"/>
                <w:highlight w:val="none"/>
                <w:lang w:val="en-US" w:eastAsia="zh-CN"/>
              </w:rPr>
            </w:pPr>
            <w:r>
              <w:rPr>
                <w:rFonts w:hint="default" w:ascii="Times New Roman" w:hAnsi="Times New Roman" w:cs="Times New Roman"/>
                <w:bCs/>
                <w:color w:val="auto"/>
                <w:position w:val="-12"/>
                <w:sz w:val="22"/>
                <w:szCs w:val="22"/>
                <w:highlight w:val="none"/>
                <w:lang w:val="en-US" w:eastAsia="zh-CN"/>
              </w:rPr>
              <w:object>
                <v:shape id="_x0000_i1027" o:spt="75" type="#_x0000_t75" style="height:18.45pt;width:131.75pt;" o:ole="t" filled="f" o:preferrelative="t" stroked="f" coordsize="21600,21600">
                  <v:path/>
                  <v:fill on="f" focussize="0,0"/>
                  <v:stroke on="f"/>
                  <v:imagedata r:id="rId21" o:title=""/>
                  <o:lock v:ext="edit" aspectratio="t"/>
                  <w10:wrap type="none"/>
                  <w10:anchorlock/>
                </v:shape>
                <o:OLEObject Type="Embed" ProgID="Equation.KSEE3" ShapeID="_x0000_i1027" DrawAspect="Content" ObjectID="_1468075727" r:id="rId20">
                  <o:LockedField>false</o:LockedField>
                </o:OLEObject>
              </w:object>
            </w:r>
          </w:p>
          <w:p>
            <w:pPr>
              <w:pStyle w:val="14"/>
              <w:spacing w:before="0" w:after="0" w:line="360" w:lineRule="auto"/>
              <w:ind w:right="0" w:firstLine="440" w:firstLineChars="200"/>
              <w:jc w:val="left"/>
              <w:rPr>
                <w:rFonts w:hint="default" w:ascii="Times New Roman" w:hAnsi="Times New Roman" w:cs="Times New Roman"/>
                <w:bCs/>
                <w:color w:val="auto"/>
                <w:sz w:val="22"/>
                <w:szCs w:val="22"/>
                <w:highlight w:val="none"/>
                <w:lang w:val="en-US" w:eastAsia="zh-CN"/>
              </w:rPr>
            </w:pPr>
            <w:r>
              <w:rPr>
                <w:rFonts w:hint="default" w:ascii="Times New Roman" w:hAnsi="Times New Roman" w:cs="Times New Roman"/>
                <w:bCs/>
                <w:color w:val="auto"/>
                <w:sz w:val="22"/>
                <w:szCs w:val="22"/>
                <w:highlight w:val="none"/>
                <w:lang w:val="en-US" w:eastAsia="zh-CN"/>
              </w:rPr>
              <w:t>式中：</w:t>
            </w:r>
          </w:p>
          <w:p>
            <w:pPr>
              <w:pStyle w:val="14"/>
              <w:spacing w:before="0" w:after="0" w:line="360" w:lineRule="auto"/>
              <w:ind w:right="0" w:firstLine="440" w:firstLineChars="200"/>
              <w:jc w:val="left"/>
              <w:rPr>
                <w:rFonts w:hint="default" w:ascii="Times New Roman" w:hAnsi="Times New Roman" w:cs="Times New Roman"/>
                <w:bCs/>
                <w:color w:val="auto"/>
                <w:sz w:val="22"/>
                <w:szCs w:val="22"/>
                <w:highlight w:val="none"/>
                <w:lang w:val="en-US" w:eastAsia="zh-CN"/>
              </w:rPr>
            </w:pPr>
            <w:r>
              <w:rPr>
                <w:rFonts w:hint="default" w:ascii="Times New Roman" w:hAnsi="Times New Roman" w:cs="Times New Roman"/>
                <w:bCs/>
                <w:color w:val="auto"/>
                <w:sz w:val="22"/>
                <w:szCs w:val="22"/>
                <w:highlight w:val="none"/>
                <w:lang w:val="en-US" w:eastAsia="zh-CN"/>
              </w:rPr>
              <w:t>E—二氧化碳排放总量，单位为吨二氧化碳（tCO</w:t>
            </w:r>
            <w:r>
              <w:rPr>
                <w:rFonts w:hint="default" w:ascii="Times New Roman" w:hAnsi="Times New Roman" w:cs="Times New Roman"/>
                <w:bCs/>
                <w:color w:val="auto"/>
                <w:sz w:val="22"/>
                <w:szCs w:val="22"/>
                <w:highlight w:val="none"/>
                <w:vertAlign w:val="subscript"/>
                <w:lang w:val="en-US" w:eastAsia="zh-CN"/>
              </w:rPr>
              <w:t>2</w:t>
            </w:r>
            <w:r>
              <w:rPr>
                <w:rFonts w:hint="default" w:ascii="Times New Roman" w:hAnsi="Times New Roman" w:cs="Times New Roman"/>
                <w:bCs/>
                <w:color w:val="auto"/>
                <w:sz w:val="22"/>
                <w:szCs w:val="22"/>
                <w:highlight w:val="none"/>
                <w:lang w:val="en-US" w:eastAsia="zh-CN"/>
              </w:rPr>
              <w:t>）；</w:t>
            </w:r>
          </w:p>
          <w:p>
            <w:pPr>
              <w:pStyle w:val="14"/>
              <w:spacing w:before="0" w:after="0" w:line="360" w:lineRule="auto"/>
              <w:ind w:right="0" w:firstLine="440" w:firstLineChars="200"/>
              <w:jc w:val="left"/>
              <w:rPr>
                <w:rFonts w:hint="default" w:ascii="Times New Roman" w:hAnsi="Times New Roman" w:cs="Times New Roman"/>
                <w:bCs/>
                <w:color w:val="auto"/>
                <w:sz w:val="22"/>
                <w:szCs w:val="22"/>
                <w:highlight w:val="none"/>
                <w:lang w:val="en-US" w:eastAsia="zh-CN"/>
              </w:rPr>
            </w:pPr>
            <w:r>
              <w:rPr>
                <w:rFonts w:hint="default" w:ascii="Times New Roman" w:hAnsi="Times New Roman" w:cs="Times New Roman"/>
                <w:bCs/>
                <w:color w:val="auto"/>
                <w:sz w:val="22"/>
                <w:szCs w:val="22"/>
                <w:highlight w:val="none"/>
                <w:lang w:val="en-US" w:eastAsia="zh-CN"/>
              </w:rPr>
              <w:t>E</w:t>
            </w:r>
            <w:r>
              <w:rPr>
                <w:rFonts w:hint="default" w:ascii="Times New Roman" w:hAnsi="Times New Roman" w:cs="Times New Roman"/>
                <w:bCs/>
                <w:color w:val="auto"/>
                <w:sz w:val="22"/>
                <w:szCs w:val="22"/>
                <w:highlight w:val="none"/>
                <w:vertAlign w:val="subscript"/>
                <w:lang w:val="en-US" w:eastAsia="zh-CN"/>
              </w:rPr>
              <w:t>燃烧</w:t>
            </w:r>
            <w:r>
              <w:rPr>
                <w:rFonts w:hint="default" w:ascii="Times New Roman" w:hAnsi="Times New Roman" w:cs="Times New Roman"/>
                <w:bCs/>
                <w:color w:val="auto"/>
                <w:sz w:val="22"/>
                <w:szCs w:val="22"/>
                <w:highlight w:val="none"/>
                <w:lang w:val="en-US" w:eastAsia="zh-CN"/>
              </w:rPr>
              <w:t>—化石燃料燃烧产生的二氧化碳排放量，单位为吨二氧化碳（tCO</w:t>
            </w:r>
            <w:r>
              <w:rPr>
                <w:rFonts w:hint="default" w:ascii="Times New Roman" w:hAnsi="Times New Roman" w:cs="Times New Roman"/>
                <w:bCs/>
                <w:color w:val="auto"/>
                <w:sz w:val="22"/>
                <w:szCs w:val="22"/>
                <w:highlight w:val="none"/>
                <w:vertAlign w:val="subscript"/>
                <w:lang w:val="en-US" w:eastAsia="zh-CN"/>
              </w:rPr>
              <w:t>2</w:t>
            </w:r>
            <w:r>
              <w:rPr>
                <w:rFonts w:hint="default" w:ascii="Times New Roman" w:hAnsi="Times New Roman" w:cs="Times New Roman"/>
                <w:bCs/>
                <w:color w:val="auto"/>
                <w:sz w:val="22"/>
                <w:szCs w:val="22"/>
                <w:highlight w:val="none"/>
                <w:lang w:val="en-US" w:eastAsia="zh-CN"/>
              </w:rPr>
              <w:t>）；</w:t>
            </w:r>
          </w:p>
          <w:p>
            <w:pPr>
              <w:pStyle w:val="14"/>
              <w:spacing w:before="0" w:after="0" w:line="360" w:lineRule="auto"/>
              <w:ind w:right="0" w:firstLine="440" w:firstLineChars="200"/>
              <w:jc w:val="left"/>
              <w:rPr>
                <w:rFonts w:hint="default" w:ascii="Times New Roman" w:hAnsi="Times New Roman" w:cs="Times New Roman"/>
                <w:bCs/>
                <w:color w:val="auto"/>
                <w:sz w:val="22"/>
                <w:szCs w:val="22"/>
                <w:highlight w:val="none"/>
                <w:lang w:val="en-US" w:eastAsia="zh-CN"/>
              </w:rPr>
            </w:pPr>
            <w:r>
              <w:rPr>
                <w:rFonts w:hint="default" w:ascii="Times New Roman" w:hAnsi="Times New Roman" w:cs="Times New Roman"/>
                <w:bCs/>
                <w:color w:val="auto"/>
                <w:sz w:val="22"/>
                <w:szCs w:val="22"/>
                <w:highlight w:val="none"/>
                <w:lang w:val="en-US" w:eastAsia="zh-CN"/>
              </w:rPr>
              <w:t>E</w:t>
            </w:r>
            <w:r>
              <w:rPr>
                <w:rFonts w:hint="default" w:ascii="Times New Roman" w:hAnsi="Times New Roman" w:cs="Times New Roman"/>
                <w:bCs/>
                <w:color w:val="auto"/>
                <w:sz w:val="22"/>
                <w:szCs w:val="22"/>
                <w:highlight w:val="none"/>
                <w:vertAlign w:val="subscript"/>
                <w:lang w:val="en-US" w:eastAsia="zh-CN"/>
              </w:rPr>
              <w:t>外购电</w:t>
            </w:r>
            <w:r>
              <w:rPr>
                <w:rFonts w:hint="default" w:ascii="Times New Roman" w:hAnsi="Times New Roman" w:cs="Times New Roman"/>
                <w:bCs/>
                <w:color w:val="auto"/>
                <w:sz w:val="22"/>
                <w:szCs w:val="22"/>
                <w:highlight w:val="none"/>
                <w:lang w:val="en-US" w:eastAsia="zh-CN"/>
              </w:rPr>
              <w:t>—消耗外购电力产生的二氧化碳排放量，单位为吨二氧化碳（tCO</w:t>
            </w:r>
            <w:r>
              <w:rPr>
                <w:rFonts w:hint="default" w:ascii="Times New Roman" w:hAnsi="Times New Roman" w:cs="Times New Roman"/>
                <w:bCs/>
                <w:color w:val="auto"/>
                <w:sz w:val="22"/>
                <w:szCs w:val="22"/>
                <w:highlight w:val="none"/>
                <w:vertAlign w:val="subscript"/>
                <w:lang w:val="en-US" w:eastAsia="zh-CN"/>
              </w:rPr>
              <w:t>2</w:t>
            </w:r>
            <w:r>
              <w:rPr>
                <w:rFonts w:hint="default" w:ascii="Times New Roman" w:hAnsi="Times New Roman" w:cs="Times New Roman"/>
                <w:bCs/>
                <w:color w:val="auto"/>
                <w:sz w:val="22"/>
                <w:szCs w:val="22"/>
                <w:highlight w:val="none"/>
                <w:lang w:val="en-US" w:eastAsia="zh-CN"/>
              </w:rPr>
              <w:t>）；</w:t>
            </w:r>
          </w:p>
          <w:p>
            <w:pPr>
              <w:pStyle w:val="14"/>
              <w:spacing w:before="0" w:after="0" w:line="360" w:lineRule="auto"/>
              <w:ind w:right="0" w:firstLine="440" w:firstLineChars="200"/>
              <w:jc w:val="left"/>
              <w:rPr>
                <w:rFonts w:hint="default" w:ascii="Times New Roman" w:hAnsi="Times New Roman" w:cs="Times New Roman"/>
                <w:bCs/>
                <w:color w:val="auto"/>
                <w:sz w:val="22"/>
                <w:szCs w:val="22"/>
                <w:highlight w:val="none"/>
                <w:lang w:val="en-US" w:eastAsia="zh-CN"/>
              </w:rPr>
            </w:pPr>
            <w:r>
              <w:rPr>
                <w:rFonts w:hint="default" w:ascii="Times New Roman" w:hAnsi="Times New Roman" w:cs="Times New Roman"/>
                <w:bCs/>
                <w:color w:val="auto"/>
                <w:sz w:val="22"/>
                <w:szCs w:val="22"/>
                <w:highlight w:val="none"/>
                <w:lang w:val="en-US" w:eastAsia="zh-CN"/>
              </w:rPr>
              <w:t>E</w:t>
            </w:r>
            <w:r>
              <w:rPr>
                <w:rFonts w:hint="default" w:ascii="Times New Roman" w:hAnsi="Times New Roman" w:cs="Times New Roman"/>
                <w:bCs/>
                <w:color w:val="auto"/>
                <w:sz w:val="22"/>
                <w:szCs w:val="22"/>
                <w:highlight w:val="none"/>
                <w:vertAlign w:val="subscript"/>
                <w:lang w:val="en-US" w:eastAsia="zh-CN"/>
              </w:rPr>
              <w:t>外购热</w:t>
            </w:r>
            <w:r>
              <w:rPr>
                <w:rFonts w:hint="default" w:ascii="Times New Roman" w:hAnsi="Times New Roman" w:cs="Times New Roman"/>
                <w:bCs/>
                <w:color w:val="auto"/>
                <w:sz w:val="22"/>
                <w:szCs w:val="22"/>
                <w:highlight w:val="none"/>
                <w:lang w:val="en-US" w:eastAsia="zh-CN"/>
              </w:rPr>
              <w:t>—消耗外购热力产生的二氧化碳排放量，单位为吨二氧化碳（tCO</w:t>
            </w:r>
            <w:r>
              <w:rPr>
                <w:rFonts w:hint="default" w:ascii="Times New Roman" w:hAnsi="Times New Roman" w:cs="Times New Roman"/>
                <w:bCs/>
                <w:color w:val="auto"/>
                <w:sz w:val="22"/>
                <w:szCs w:val="22"/>
                <w:highlight w:val="none"/>
                <w:vertAlign w:val="subscript"/>
                <w:lang w:val="en-US" w:eastAsia="zh-CN"/>
              </w:rPr>
              <w:t>2</w:t>
            </w:r>
            <w:r>
              <w:rPr>
                <w:rFonts w:hint="default" w:ascii="Times New Roman" w:hAnsi="Times New Roman" w:cs="Times New Roman"/>
                <w:bCs/>
                <w:color w:val="auto"/>
                <w:sz w:val="22"/>
                <w:szCs w:val="22"/>
                <w:highlight w:val="none"/>
                <w:lang w:val="en-US" w:eastAsia="zh-CN"/>
              </w:rPr>
              <w:t>）。</w:t>
            </w:r>
          </w:p>
          <w:p>
            <w:pPr>
              <w:pStyle w:val="14"/>
              <w:spacing w:before="0" w:after="0" w:line="360" w:lineRule="auto"/>
              <w:ind w:right="0" w:firstLine="442" w:firstLineChars="200"/>
              <w:jc w:val="left"/>
              <w:rPr>
                <w:rFonts w:hint="default" w:ascii="Times New Roman" w:hAnsi="Times New Roman" w:cs="Times New Roman"/>
                <w:b/>
                <w:bCs w:val="0"/>
                <w:color w:val="auto"/>
                <w:sz w:val="22"/>
                <w:szCs w:val="22"/>
                <w:highlight w:val="none"/>
                <w:lang w:val="en-US" w:eastAsia="zh-CN"/>
              </w:rPr>
            </w:pPr>
            <w:r>
              <w:rPr>
                <w:rFonts w:hint="default" w:ascii="Times New Roman" w:hAnsi="Times New Roman" w:cs="Times New Roman"/>
                <w:b/>
                <w:bCs w:val="0"/>
                <w:color w:val="auto"/>
                <w:sz w:val="22"/>
                <w:szCs w:val="22"/>
                <w:highlight w:val="none"/>
                <w:lang w:val="en-US" w:eastAsia="zh-CN"/>
              </w:rPr>
              <w:t>化石燃料燃烧排放：</w:t>
            </w:r>
          </w:p>
          <w:p>
            <w:pPr>
              <w:pStyle w:val="14"/>
              <w:spacing w:before="0" w:after="0" w:line="360" w:lineRule="auto"/>
              <w:ind w:right="0" w:firstLine="442" w:firstLineChars="200"/>
              <w:jc w:val="left"/>
              <w:rPr>
                <w:rFonts w:hint="default" w:ascii="Times New Roman" w:hAnsi="Times New Roman" w:cs="Times New Roman"/>
                <w:b/>
                <w:bCs w:val="0"/>
                <w:color w:val="auto"/>
                <w:sz w:val="22"/>
                <w:szCs w:val="22"/>
                <w:highlight w:val="none"/>
                <w:lang w:val="en-US" w:eastAsia="zh-CN"/>
              </w:rPr>
            </w:pPr>
            <w:r>
              <w:rPr>
                <w:rFonts w:hint="default" w:ascii="Times New Roman" w:hAnsi="Times New Roman" w:cs="Times New Roman"/>
                <w:b/>
                <w:bCs w:val="0"/>
                <w:color w:val="auto"/>
                <w:sz w:val="22"/>
                <w:szCs w:val="22"/>
                <w:highlight w:val="none"/>
                <w:lang w:val="en-US" w:eastAsia="zh-CN"/>
              </w:rPr>
              <w:t>①计算公式</w:t>
            </w:r>
          </w:p>
          <w:p>
            <w:pPr>
              <w:pStyle w:val="14"/>
              <w:spacing w:before="0" w:after="0" w:line="360" w:lineRule="auto"/>
              <w:ind w:right="0"/>
              <w:jc w:val="center"/>
              <w:rPr>
                <w:rFonts w:hint="default" w:ascii="Times New Roman" w:hAnsi="Times New Roman" w:cs="Times New Roman"/>
                <w:bCs/>
                <w:color w:val="auto"/>
                <w:sz w:val="22"/>
                <w:szCs w:val="22"/>
                <w:highlight w:val="none"/>
                <w:lang w:val="en-US" w:eastAsia="zh-CN"/>
              </w:rPr>
            </w:pPr>
            <w:r>
              <w:rPr>
                <w:rFonts w:hint="default" w:ascii="Times New Roman" w:hAnsi="Times New Roman" w:cs="Times New Roman"/>
                <w:bCs/>
                <w:color w:val="auto"/>
                <w:position w:val="-28"/>
                <w:sz w:val="22"/>
                <w:szCs w:val="22"/>
                <w:highlight w:val="none"/>
                <w:lang w:val="en-US" w:eastAsia="zh-CN"/>
              </w:rPr>
              <w:object>
                <v:shape id="_x0000_i1028" o:spt="75" type="#_x0000_t75" style="height:29.6pt;width:94.25pt;" o:ole="t" filled="f" o:preferrelative="t" stroked="f" coordsize="21600,21600">
                  <v:path/>
                  <v:fill on="f" focussize="0,0"/>
                  <v:stroke on="f"/>
                  <v:imagedata r:id="rId23" o:title=""/>
                  <o:lock v:ext="edit" aspectratio="t"/>
                  <w10:wrap type="none"/>
                  <w10:anchorlock/>
                </v:shape>
                <o:OLEObject Type="Embed" ProgID="Equation.KSEE3" ShapeID="_x0000_i1028" DrawAspect="Content" ObjectID="_1468075728" r:id="rId22">
                  <o:LockedField>false</o:LockedField>
                </o:OLEObject>
              </w:object>
            </w:r>
          </w:p>
          <w:p>
            <w:pPr>
              <w:pStyle w:val="14"/>
              <w:spacing w:before="0" w:after="0" w:line="360" w:lineRule="auto"/>
              <w:ind w:right="0" w:firstLine="440" w:firstLineChars="200"/>
              <w:jc w:val="left"/>
              <w:rPr>
                <w:rFonts w:hint="default" w:ascii="Times New Roman" w:hAnsi="Times New Roman" w:cs="Times New Roman"/>
                <w:bCs/>
                <w:color w:val="auto"/>
                <w:sz w:val="22"/>
                <w:szCs w:val="22"/>
                <w:highlight w:val="none"/>
                <w:lang w:val="en-US" w:eastAsia="zh-CN"/>
              </w:rPr>
            </w:pPr>
            <w:r>
              <w:rPr>
                <w:rFonts w:hint="default" w:ascii="Times New Roman" w:hAnsi="Times New Roman" w:cs="Times New Roman"/>
                <w:bCs/>
                <w:color w:val="auto"/>
                <w:sz w:val="22"/>
                <w:szCs w:val="22"/>
                <w:highlight w:val="none"/>
                <w:lang w:val="en-US" w:eastAsia="zh-CN"/>
              </w:rPr>
              <w:t>式中：</w:t>
            </w:r>
          </w:p>
          <w:p>
            <w:pPr>
              <w:pStyle w:val="14"/>
              <w:spacing w:before="0" w:after="0" w:line="360" w:lineRule="auto"/>
              <w:ind w:right="0" w:firstLine="440" w:firstLineChars="200"/>
              <w:jc w:val="left"/>
              <w:rPr>
                <w:rFonts w:hint="default" w:ascii="Times New Roman" w:hAnsi="Times New Roman" w:cs="Times New Roman"/>
                <w:bCs/>
                <w:color w:val="auto"/>
                <w:sz w:val="22"/>
                <w:szCs w:val="22"/>
                <w:highlight w:val="none"/>
                <w:lang w:val="en-US" w:eastAsia="zh-CN"/>
              </w:rPr>
            </w:pPr>
            <w:r>
              <w:rPr>
                <w:rFonts w:hint="default" w:ascii="Times New Roman" w:hAnsi="Times New Roman" w:cs="Times New Roman"/>
                <w:bCs/>
                <w:color w:val="auto"/>
                <w:sz w:val="22"/>
                <w:szCs w:val="22"/>
                <w:highlight w:val="none"/>
                <w:lang w:val="en-US" w:eastAsia="zh-CN"/>
              </w:rPr>
              <w:t>AD</w:t>
            </w:r>
            <w:r>
              <w:rPr>
                <w:rFonts w:hint="default" w:ascii="Times New Roman" w:hAnsi="Times New Roman" w:cs="Times New Roman"/>
                <w:bCs/>
                <w:color w:val="auto"/>
                <w:sz w:val="22"/>
                <w:szCs w:val="22"/>
                <w:highlight w:val="none"/>
                <w:vertAlign w:val="subscript"/>
                <w:lang w:val="en-US" w:eastAsia="zh-CN"/>
              </w:rPr>
              <w:t>i</w:t>
            </w:r>
            <w:r>
              <w:rPr>
                <w:rFonts w:hint="default" w:ascii="Times New Roman" w:hAnsi="Times New Roman" w:cs="Times New Roman"/>
                <w:bCs/>
                <w:color w:val="auto"/>
                <w:sz w:val="22"/>
                <w:szCs w:val="22"/>
                <w:highlight w:val="none"/>
                <w:lang w:val="en-US" w:eastAsia="zh-CN"/>
              </w:rPr>
              <w:t>—第i种化石燃料的活动数据，单位为吉焦（GJ）；</w:t>
            </w:r>
          </w:p>
          <w:p>
            <w:pPr>
              <w:pStyle w:val="14"/>
              <w:spacing w:before="0" w:after="0" w:line="360" w:lineRule="auto"/>
              <w:ind w:right="0" w:firstLine="440" w:firstLineChars="200"/>
              <w:jc w:val="left"/>
              <w:rPr>
                <w:rFonts w:hint="default" w:ascii="Times New Roman" w:hAnsi="Times New Roman" w:cs="Times New Roman"/>
                <w:bCs/>
                <w:color w:val="auto"/>
                <w:sz w:val="22"/>
                <w:szCs w:val="22"/>
                <w:highlight w:val="none"/>
                <w:lang w:val="en-US" w:eastAsia="zh-CN"/>
              </w:rPr>
            </w:pPr>
            <w:r>
              <w:rPr>
                <w:rFonts w:hint="default" w:ascii="Times New Roman" w:hAnsi="Times New Roman" w:cs="Times New Roman"/>
                <w:bCs/>
                <w:color w:val="auto"/>
                <w:sz w:val="22"/>
                <w:szCs w:val="22"/>
                <w:highlight w:val="none"/>
                <w:lang w:val="en-US" w:eastAsia="zh-CN"/>
              </w:rPr>
              <w:t>EF</w:t>
            </w:r>
            <w:r>
              <w:rPr>
                <w:rFonts w:hint="default" w:ascii="Times New Roman" w:hAnsi="Times New Roman" w:cs="Times New Roman"/>
                <w:bCs/>
                <w:color w:val="auto"/>
                <w:sz w:val="22"/>
                <w:szCs w:val="22"/>
                <w:highlight w:val="none"/>
                <w:vertAlign w:val="subscript"/>
                <w:lang w:val="en-US" w:eastAsia="zh-CN"/>
              </w:rPr>
              <w:t>i</w:t>
            </w:r>
            <w:r>
              <w:rPr>
                <w:rFonts w:hint="default" w:ascii="Times New Roman" w:hAnsi="Times New Roman" w:cs="Times New Roman"/>
                <w:bCs/>
                <w:color w:val="auto"/>
                <w:sz w:val="22"/>
                <w:szCs w:val="22"/>
                <w:highlight w:val="none"/>
                <w:lang w:val="en-US" w:eastAsia="zh-CN"/>
              </w:rPr>
              <w:t>—第i种化石燃料的二氧化碳排放因子，单位为吨二氧化碳每吉焦（tCO</w:t>
            </w:r>
            <w:r>
              <w:rPr>
                <w:rFonts w:hint="default" w:ascii="Times New Roman" w:hAnsi="Times New Roman" w:cs="Times New Roman"/>
                <w:bCs/>
                <w:color w:val="auto"/>
                <w:sz w:val="22"/>
                <w:szCs w:val="22"/>
                <w:highlight w:val="none"/>
                <w:vertAlign w:val="subscript"/>
                <w:lang w:val="en-US" w:eastAsia="zh-CN"/>
              </w:rPr>
              <w:t>2</w:t>
            </w:r>
            <w:r>
              <w:rPr>
                <w:rFonts w:hint="default" w:ascii="Times New Roman" w:hAnsi="Times New Roman" w:cs="Times New Roman"/>
                <w:bCs/>
                <w:color w:val="auto"/>
                <w:sz w:val="22"/>
                <w:szCs w:val="22"/>
                <w:highlight w:val="none"/>
                <w:lang w:val="en-US" w:eastAsia="zh-CN"/>
              </w:rPr>
              <w:t>/GJ）；</w:t>
            </w:r>
          </w:p>
          <w:p>
            <w:pPr>
              <w:pStyle w:val="14"/>
              <w:spacing w:before="0" w:after="0" w:line="360" w:lineRule="auto"/>
              <w:ind w:right="0" w:firstLine="440" w:firstLineChars="200"/>
              <w:jc w:val="left"/>
              <w:rPr>
                <w:rFonts w:hint="default" w:ascii="Times New Roman" w:hAnsi="Times New Roman" w:cs="Times New Roman"/>
                <w:bCs/>
                <w:color w:val="auto"/>
                <w:sz w:val="22"/>
                <w:szCs w:val="22"/>
                <w:highlight w:val="none"/>
                <w:lang w:val="en-US" w:eastAsia="zh-CN"/>
              </w:rPr>
            </w:pPr>
            <w:r>
              <w:rPr>
                <w:rFonts w:hint="default" w:ascii="Times New Roman" w:hAnsi="Times New Roman" w:cs="Times New Roman"/>
                <w:bCs/>
                <w:color w:val="auto"/>
                <w:sz w:val="22"/>
                <w:szCs w:val="22"/>
                <w:highlight w:val="none"/>
                <w:lang w:val="en-US" w:eastAsia="zh-CN"/>
              </w:rPr>
              <w:t>i—化石燃料类型代号。</w:t>
            </w:r>
          </w:p>
          <w:p>
            <w:pPr>
              <w:pStyle w:val="14"/>
              <w:spacing w:before="0" w:after="0" w:line="360" w:lineRule="auto"/>
              <w:ind w:right="0" w:firstLine="442" w:firstLineChars="200"/>
              <w:jc w:val="left"/>
              <w:rPr>
                <w:rFonts w:hint="default" w:ascii="Times New Roman" w:hAnsi="Times New Roman" w:cs="Times New Roman"/>
                <w:b/>
                <w:bCs w:val="0"/>
                <w:color w:val="auto"/>
                <w:sz w:val="22"/>
                <w:szCs w:val="22"/>
                <w:highlight w:val="none"/>
                <w:lang w:val="en-US" w:eastAsia="zh-CN"/>
              </w:rPr>
            </w:pPr>
            <w:r>
              <w:rPr>
                <w:rFonts w:hint="default" w:ascii="Times New Roman" w:hAnsi="Times New Roman" w:cs="Times New Roman"/>
                <w:b/>
                <w:bCs w:val="0"/>
                <w:color w:val="auto"/>
                <w:sz w:val="22"/>
                <w:szCs w:val="22"/>
                <w:highlight w:val="none"/>
                <w:lang w:val="en-US" w:eastAsia="zh-CN"/>
              </w:rPr>
              <w:t>②活动数据</w:t>
            </w:r>
          </w:p>
          <w:p>
            <w:pPr>
              <w:pStyle w:val="14"/>
              <w:spacing w:before="0" w:after="0" w:line="360" w:lineRule="auto"/>
              <w:ind w:right="0" w:firstLine="440" w:firstLineChars="200"/>
              <w:jc w:val="left"/>
              <w:rPr>
                <w:rFonts w:hint="default" w:ascii="Times New Roman" w:hAnsi="Times New Roman" w:cs="Times New Roman"/>
                <w:bCs/>
                <w:color w:val="auto"/>
                <w:sz w:val="22"/>
                <w:szCs w:val="22"/>
                <w:highlight w:val="none"/>
                <w:lang w:val="en-US" w:eastAsia="zh-CN"/>
              </w:rPr>
            </w:pPr>
            <w:r>
              <w:rPr>
                <w:rFonts w:hint="default" w:ascii="Times New Roman" w:hAnsi="Times New Roman" w:cs="Times New Roman"/>
                <w:bCs/>
                <w:color w:val="auto"/>
                <w:sz w:val="22"/>
                <w:szCs w:val="22"/>
                <w:highlight w:val="none"/>
                <w:lang w:val="en-US" w:eastAsia="zh-CN"/>
              </w:rPr>
              <w:t>化石燃料燃烧的活动数据是各种燃料的消耗量与平均低位发热量的乘积。</w:t>
            </w:r>
          </w:p>
          <w:p>
            <w:pPr>
              <w:pStyle w:val="14"/>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outlineLvl w:val="9"/>
              <w:rPr>
                <w:rFonts w:hint="default" w:ascii="Times New Roman" w:hAnsi="Times New Roman" w:cs="Times New Roman"/>
                <w:bCs/>
                <w:color w:val="auto"/>
                <w:sz w:val="22"/>
                <w:szCs w:val="22"/>
                <w:highlight w:val="none"/>
                <w:lang w:val="en-US" w:eastAsia="zh-CN"/>
              </w:rPr>
            </w:pPr>
            <w:r>
              <w:rPr>
                <w:rFonts w:hint="default" w:ascii="Times New Roman" w:hAnsi="Times New Roman" w:cs="Times New Roman"/>
                <w:bCs/>
                <w:color w:val="auto"/>
                <w:position w:val="-12"/>
                <w:sz w:val="22"/>
                <w:szCs w:val="22"/>
                <w:highlight w:val="none"/>
                <w:lang w:val="en-US" w:eastAsia="zh-CN"/>
              </w:rPr>
              <w:object>
                <v:shape id="_x0000_i1029" o:spt="75" type="#_x0000_t75" style="height:16.15pt;width:81.8pt;" o:ole="t" filled="f" o:preferrelative="t" stroked="f" coordsize="21600,21600">
                  <v:path/>
                  <v:fill on="f" focussize="0,0"/>
                  <v:stroke on="f"/>
                  <v:imagedata r:id="rId25" o:title=""/>
                  <o:lock v:ext="edit" aspectratio="t"/>
                  <w10:wrap type="none"/>
                  <w10:anchorlock/>
                </v:shape>
                <o:OLEObject Type="Embed" ProgID="Equation.KSEE3" ShapeID="_x0000_i1029" DrawAspect="Content" ObjectID="_1468075729" r:id="rId24">
                  <o:LockedField>false</o:LockedField>
                </o:OLEObject>
              </w:object>
            </w:r>
          </w:p>
          <w:p>
            <w:pPr>
              <w:pStyle w:val="14"/>
              <w:spacing w:before="0" w:after="0" w:line="360" w:lineRule="auto"/>
              <w:ind w:right="0" w:firstLine="440" w:firstLineChars="200"/>
              <w:jc w:val="left"/>
              <w:rPr>
                <w:rFonts w:hint="default" w:ascii="Times New Roman" w:hAnsi="Times New Roman" w:cs="Times New Roman"/>
                <w:bCs/>
                <w:color w:val="auto"/>
                <w:sz w:val="22"/>
                <w:szCs w:val="22"/>
                <w:highlight w:val="none"/>
                <w:lang w:val="en-US" w:eastAsia="zh-CN"/>
              </w:rPr>
            </w:pPr>
            <w:r>
              <w:rPr>
                <w:rFonts w:hint="default" w:ascii="Times New Roman" w:hAnsi="Times New Roman" w:cs="Times New Roman"/>
                <w:bCs/>
                <w:color w:val="auto"/>
                <w:sz w:val="22"/>
                <w:szCs w:val="22"/>
                <w:highlight w:val="none"/>
                <w:lang w:val="en-US" w:eastAsia="zh-CN"/>
              </w:rPr>
              <w:t>式中：</w:t>
            </w:r>
          </w:p>
          <w:p>
            <w:pPr>
              <w:pStyle w:val="14"/>
              <w:spacing w:before="0" w:after="0" w:line="360" w:lineRule="auto"/>
              <w:ind w:right="0" w:firstLine="440" w:firstLineChars="200"/>
              <w:jc w:val="left"/>
              <w:rPr>
                <w:rFonts w:hint="default" w:ascii="Times New Roman" w:hAnsi="Times New Roman" w:cs="Times New Roman"/>
                <w:bCs/>
                <w:color w:val="auto"/>
                <w:sz w:val="22"/>
                <w:szCs w:val="22"/>
                <w:highlight w:val="none"/>
                <w:lang w:val="en-US" w:eastAsia="zh-CN"/>
              </w:rPr>
            </w:pPr>
            <w:r>
              <w:rPr>
                <w:rFonts w:hint="default" w:ascii="Times New Roman" w:hAnsi="Times New Roman" w:cs="Times New Roman"/>
                <w:bCs/>
                <w:color w:val="auto"/>
                <w:sz w:val="22"/>
                <w:szCs w:val="22"/>
                <w:highlight w:val="none"/>
                <w:lang w:val="en-US" w:eastAsia="zh-CN"/>
              </w:rPr>
              <w:t>NCV</w:t>
            </w:r>
            <w:r>
              <w:rPr>
                <w:rFonts w:hint="default" w:ascii="Times New Roman" w:hAnsi="Times New Roman" w:cs="Times New Roman"/>
                <w:bCs/>
                <w:color w:val="auto"/>
                <w:sz w:val="22"/>
                <w:szCs w:val="22"/>
                <w:highlight w:val="none"/>
                <w:vertAlign w:val="subscript"/>
                <w:lang w:val="en-US" w:eastAsia="zh-CN"/>
              </w:rPr>
              <w:t>i</w:t>
            </w:r>
            <w:r>
              <w:rPr>
                <w:rFonts w:hint="default" w:ascii="Times New Roman" w:hAnsi="Times New Roman" w:cs="Times New Roman"/>
                <w:bCs/>
                <w:color w:val="auto"/>
                <w:sz w:val="22"/>
                <w:szCs w:val="22"/>
                <w:highlight w:val="none"/>
                <w:lang w:val="en-US" w:eastAsia="zh-CN"/>
              </w:rPr>
              <w:t>—第i种化石燃料的平均低位发热量，对固体或液体燃料，单位为吉焦每吨（GJ/t）；对气体燃料，单位为吉焦每万标准立方米（GJ/10</w:t>
            </w:r>
            <w:r>
              <w:rPr>
                <w:rFonts w:hint="default" w:ascii="Times New Roman" w:hAnsi="Times New Roman" w:cs="Times New Roman"/>
                <w:bCs/>
                <w:color w:val="auto"/>
                <w:sz w:val="22"/>
                <w:szCs w:val="22"/>
                <w:highlight w:val="none"/>
                <w:vertAlign w:val="superscript"/>
                <w:lang w:val="en-US" w:eastAsia="zh-CN"/>
              </w:rPr>
              <w:t>4</w:t>
            </w:r>
            <w:r>
              <w:rPr>
                <w:rFonts w:hint="default" w:ascii="Times New Roman" w:hAnsi="Times New Roman" w:cs="Times New Roman"/>
                <w:bCs/>
                <w:color w:val="auto"/>
                <w:sz w:val="22"/>
                <w:szCs w:val="22"/>
                <w:highlight w:val="none"/>
                <w:lang w:val="en-US" w:eastAsia="zh-CN"/>
              </w:rPr>
              <w:t>Nm</w:t>
            </w:r>
            <w:r>
              <w:rPr>
                <w:rFonts w:hint="default" w:ascii="Times New Roman" w:hAnsi="Times New Roman" w:cs="Times New Roman"/>
                <w:bCs/>
                <w:color w:val="auto"/>
                <w:sz w:val="22"/>
                <w:szCs w:val="22"/>
                <w:highlight w:val="none"/>
                <w:vertAlign w:val="superscript"/>
                <w:lang w:val="en-US" w:eastAsia="zh-CN"/>
              </w:rPr>
              <w:t>3</w:t>
            </w:r>
            <w:r>
              <w:rPr>
                <w:rFonts w:hint="default" w:ascii="Times New Roman" w:hAnsi="Times New Roman" w:cs="Times New Roman"/>
                <w:bCs/>
                <w:color w:val="auto"/>
                <w:sz w:val="22"/>
                <w:szCs w:val="22"/>
                <w:highlight w:val="none"/>
                <w:lang w:val="en-US" w:eastAsia="zh-CN"/>
              </w:rPr>
              <w:t>）；</w:t>
            </w:r>
          </w:p>
          <w:p>
            <w:pPr>
              <w:pStyle w:val="14"/>
              <w:spacing w:before="0" w:after="0" w:line="360" w:lineRule="auto"/>
              <w:ind w:right="0" w:firstLine="440" w:firstLineChars="200"/>
              <w:jc w:val="left"/>
              <w:rPr>
                <w:rFonts w:hint="default" w:ascii="Times New Roman" w:hAnsi="Times New Roman" w:cs="Times New Roman"/>
                <w:bCs/>
                <w:color w:val="auto"/>
                <w:sz w:val="22"/>
                <w:szCs w:val="22"/>
                <w:highlight w:val="none"/>
                <w:lang w:val="en-US" w:eastAsia="zh-CN"/>
              </w:rPr>
            </w:pPr>
            <w:r>
              <w:rPr>
                <w:rFonts w:hint="default" w:ascii="Times New Roman" w:hAnsi="Times New Roman" w:cs="Times New Roman"/>
                <w:bCs/>
                <w:color w:val="auto"/>
                <w:sz w:val="22"/>
                <w:szCs w:val="22"/>
                <w:highlight w:val="none"/>
                <w:lang w:val="en-US" w:eastAsia="zh-CN"/>
              </w:rPr>
              <w:t>FC</w:t>
            </w:r>
            <w:r>
              <w:rPr>
                <w:rFonts w:hint="default" w:ascii="Times New Roman" w:hAnsi="Times New Roman" w:cs="Times New Roman"/>
                <w:bCs/>
                <w:color w:val="auto"/>
                <w:sz w:val="22"/>
                <w:szCs w:val="22"/>
                <w:highlight w:val="none"/>
                <w:vertAlign w:val="subscript"/>
                <w:lang w:val="en-US" w:eastAsia="zh-CN"/>
              </w:rPr>
              <w:t>i</w:t>
            </w:r>
            <w:r>
              <w:rPr>
                <w:rFonts w:hint="default" w:ascii="Times New Roman" w:hAnsi="Times New Roman" w:cs="Times New Roman"/>
                <w:bCs/>
                <w:color w:val="auto"/>
                <w:sz w:val="22"/>
                <w:szCs w:val="22"/>
                <w:highlight w:val="none"/>
                <w:lang w:val="en-US" w:eastAsia="zh-CN"/>
              </w:rPr>
              <w:t>—第i种化石燃料的消耗量，对固体或液体燃料，单位为吨（t）；对气体燃料，单位为万标准立方米（10</w:t>
            </w:r>
            <w:r>
              <w:rPr>
                <w:rFonts w:hint="default" w:ascii="Times New Roman" w:hAnsi="Times New Roman" w:cs="Times New Roman"/>
                <w:bCs/>
                <w:color w:val="auto"/>
                <w:sz w:val="22"/>
                <w:szCs w:val="22"/>
                <w:highlight w:val="none"/>
                <w:vertAlign w:val="superscript"/>
                <w:lang w:val="en-US" w:eastAsia="zh-CN"/>
              </w:rPr>
              <w:t>4</w:t>
            </w:r>
            <w:r>
              <w:rPr>
                <w:rFonts w:hint="default" w:ascii="Times New Roman" w:hAnsi="Times New Roman" w:cs="Times New Roman"/>
                <w:bCs/>
                <w:color w:val="auto"/>
                <w:sz w:val="22"/>
                <w:szCs w:val="22"/>
                <w:highlight w:val="none"/>
                <w:lang w:val="en-US" w:eastAsia="zh-CN"/>
              </w:rPr>
              <w:t>Nm</w:t>
            </w:r>
            <w:r>
              <w:rPr>
                <w:rFonts w:hint="default" w:ascii="Times New Roman" w:hAnsi="Times New Roman" w:cs="Times New Roman"/>
                <w:bCs/>
                <w:color w:val="auto"/>
                <w:sz w:val="22"/>
                <w:szCs w:val="22"/>
                <w:highlight w:val="none"/>
                <w:vertAlign w:val="superscript"/>
                <w:lang w:val="en-US" w:eastAsia="zh-CN"/>
              </w:rPr>
              <w:t>3</w:t>
            </w:r>
            <w:r>
              <w:rPr>
                <w:rFonts w:hint="default" w:ascii="Times New Roman" w:hAnsi="Times New Roman" w:cs="Times New Roman"/>
                <w:bCs/>
                <w:color w:val="auto"/>
                <w:sz w:val="22"/>
                <w:szCs w:val="22"/>
                <w:highlight w:val="none"/>
                <w:lang w:val="en-US" w:eastAsia="zh-CN"/>
              </w:rPr>
              <w:t>）。</w:t>
            </w:r>
          </w:p>
          <w:p>
            <w:pPr>
              <w:pStyle w:val="14"/>
              <w:spacing w:before="0" w:after="0" w:line="360" w:lineRule="auto"/>
              <w:ind w:right="0" w:firstLine="442" w:firstLineChars="200"/>
              <w:jc w:val="left"/>
              <w:rPr>
                <w:rFonts w:hint="default" w:ascii="Times New Roman" w:hAnsi="Times New Roman" w:cs="Times New Roman"/>
                <w:b/>
                <w:bCs w:val="0"/>
                <w:color w:val="auto"/>
                <w:sz w:val="22"/>
                <w:szCs w:val="22"/>
                <w:highlight w:val="none"/>
                <w:lang w:val="en-US" w:eastAsia="zh-CN"/>
              </w:rPr>
            </w:pPr>
            <w:r>
              <w:rPr>
                <w:rFonts w:hint="default" w:ascii="Times New Roman" w:hAnsi="Times New Roman" w:cs="Times New Roman"/>
                <w:b/>
                <w:bCs w:val="0"/>
                <w:color w:val="auto"/>
                <w:sz w:val="22"/>
                <w:szCs w:val="22"/>
                <w:highlight w:val="none"/>
                <w:lang w:val="en-US" w:eastAsia="zh-CN"/>
              </w:rPr>
              <w:t>③排放因子</w:t>
            </w:r>
          </w:p>
          <w:p>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outlineLvl w:val="9"/>
              <w:rPr>
                <w:rFonts w:hint="default" w:ascii="Times New Roman" w:hAnsi="Times New Roman" w:cs="Times New Roman"/>
                <w:bCs/>
                <w:color w:val="auto"/>
                <w:sz w:val="22"/>
                <w:szCs w:val="22"/>
                <w:highlight w:val="none"/>
                <w:lang w:val="en-US" w:eastAsia="zh-CN"/>
              </w:rPr>
            </w:pPr>
            <w:r>
              <w:rPr>
                <w:rFonts w:hint="default" w:ascii="Times New Roman" w:hAnsi="Times New Roman" w:cs="Times New Roman"/>
                <w:bCs/>
                <w:color w:val="auto"/>
                <w:position w:val="-24"/>
                <w:sz w:val="22"/>
                <w:szCs w:val="22"/>
                <w:highlight w:val="none"/>
                <w:lang w:val="en-US" w:eastAsia="zh-CN"/>
              </w:rPr>
              <w:object>
                <v:shape id="_x0000_i1030" o:spt="75" type="#_x0000_t75" style="height:32.05pt;width:107.7pt;" o:ole="t" filled="f" o:preferrelative="t" stroked="f" coordsize="21600,21600">
                  <v:path/>
                  <v:fill on="f" focussize="0,0"/>
                  <v:stroke on="f"/>
                  <v:imagedata r:id="rId27" o:title=""/>
                  <o:lock v:ext="edit" aspectratio="t"/>
                  <w10:wrap type="none"/>
                  <w10:anchorlock/>
                </v:shape>
                <o:OLEObject Type="Embed" ProgID="Equation.KSEE3" ShapeID="_x0000_i1030" DrawAspect="Content" ObjectID="_1468075730" r:id="rId26">
                  <o:LockedField>false</o:LockedField>
                </o:OLEObject>
              </w:object>
            </w:r>
          </w:p>
          <w:p>
            <w:pPr>
              <w:pStyle w:val="14"/>
              <w:spacing w:before="0" w:after="0" w:line="360" w:lineRule="auto"/>
              <w:ind w:right="0" w:firstLine="440" w:firstLineChars="200"/>
              <w:jc w:val="left"/>
              <w:rPr>
                <w:rFonts w:hint="default" w:ascii="Times New Roman" w:hAnsi="Times New Roman" w:cs="Times New Roman"/>
                <w:bCs/>
                <w:color w:val="auto"/>
                <w:sz w:val="22"/>
                <w:szCs w:val="22"/>
                <w:highlight w:val="none"/>
                <w:lang w:val="en-US" w:eastAsia="zh-CN"/>
              </w:rPr>
            </w:pPr>
            <w:r>
              <w:rPr>
                <w:rFonts w:hint="default" w:ascii="Times New Roman" w:hAnsi="Times New Roman" w:cs="Times New Roman"/>
                <w:bCs/>
                <w:color w:val="auto"/>
                <w:sz w:val="22"/>
                <w:szCs w:val="22"/>
                <w:highlight w:val="none"/>
                <w:lang w:val="en-US" w:eastAsia="zh-CN"/>
              </w:rPr>
              <w:t>式中：</w:t>
            </w:r>
          </w:p>
          <w:p>
            <w:pPr>
              <w:pStyle w:val="14"/>
              <w:spacing w:before="0" w:after="0" w:line="360" w:lineRule="auto"/>
              <w:ind w:right="0" w:firstLine="440" w:firstLineChars="200"/>
              <w:jc w:val="left"/>
              <w:rPr>
                <w:rFonts w:hint="default" w:ascii="Times New Roman" w:hAnsi="Times New Roman" w:cs="Times New Roman"/>
                <w:bCs/>
                <w:color w:val="auto"/>
                <w:sz w:val="22"/>
                <w:szCs w:val="22"/>
                <w:highlight w:val="none"/>
                <w:lang w:val="en-US" w:eastAsia="zh-CN"/>
              </w:rPr>
            </w:pPr>
            <w:r>
              <w:rPr>
                <w:rFonts w:hint="default" w:ascii="Times New Roman" w:hAnsi="Times New Roman" w:cs="Times New Roman"/>
                <w:bCs/>
                <w:color w:val="auto"/>
                <w:sz w:val="22"/>
                <w:szCs w:val="22"/>
                <w:highlight w:val="none"/>
                <w:lang w:val="en-US" w:eastAsia="zh-CN"/>
              </w:rPr>
              <w:t>CC</w:t>
            </w:r>
            <w:r>
              <w:rPr>
                <w:rFonts w:hint="default" w:ascii="Times New Roman" w:hAnsi="Times New Roman" w:cs="Times New Roman"/>
                <w:bCs/>
                <w:color w:val="auto"/>
                <w:sz w:val="22"/>
                <w:szCs w:val="22"/>
                <w:highlight w:val="none"/>
                <w:vertAlign w:val="subscript"/>
                <w:lang w:val="en-US" w:eastAsia="zh-CN"/>
              </w:rPr>
              <w:t>i</w:t>
            </w:r>
            <w:r>
              <w:rPr>
                <w:rFonts w:hint="default" w:ascii="Times New Roman" w:hAnsi="Times New Roman" w:cs="Times New Roman"/>
                <w:bCs/>
                <w:color w:val="auto"/>
                <w:sz w:val="22"/>
                <w:szCs w:val="22"/>
                <w:highlight w:val="none"/>
                <w:lang w:val="en-US" w:eastAsia="zh-CN"/>
              </w:rPr>
              <w:t>—第i种化石燃料的单位热值含碳量，单位为吨碳每吉焦（tC/GJ）；</w:t>
            </w:r>
          </w:p>
          <w:p>
            <w:pPr>
              <w:pStyle w:val="14"/>
              <w:spacing w:before="0" w:after="0" w:line="360" w:lineRule="auto"/>
              <w:ind w:right="0" w:firstLine="440" w:firstLineChars="200"/>
              <w:jc w:val="left"/>
              <w:rPr>
                <w:rFonts w:hint="default" w:ascii="Times New Roman" w:hAnsi="Times New Roman" w:eastAsia="宋体" w:cs="Times New Roman"/>
                <w:bCs/>
                <w:color w:val="auto"/>
                <w:sz w:val="22"/>
                <w:szCs w:val="22"/>
                <w:highlight w:val="none"/>
                <w:lang w:val="en-US" w:eastAsia="zh-CN"/>
              </w:rPr>
            </w:pPr>
            <w:r>
              <w:rPr>
                <w:rFonts w:hint="default" w:ascii="Times New Roman" w:hAnsi="Times New Roman" w:cs="Times New Roman"/>
                <w:bCs/>
                <w:color w:val="auto"/>
                <w:sz w:val="22"/>
                <w:szCs w:val="22"/>
                <w:highlight w:val="none"/>
                <w:lang w:val="en-US" w:eastAsia="zh-CN"/>
              </w:rPr>
              <w:t>OF</w:t>
            </w:r>
            <w:r>
              <w:rPr>
                <w:rFonts w:hint="default" w:ascii="Times New Roman" w:hAnsi="Times New Roman" w:cs="Times New Roman"/>
                <w:bCs/>
                <w:color w:val="auto"/>
                <w:sz w:val="22"/>
                <w:szCs w:val="22"/>
                <w:highlight w:val="none"/>
                <w:vertAlign w:val="subscript"/>
                <w:lang w:val="en-US" w:eastAsia="zh-CN"/>
              </w:rPr>
              <w:t>i</w:t>
            </w:r>
            <w:r>
              <w:rPr>
                <w:rFonts w:hint="default" w:ascii="Times New Roman" w:hAnsi="Times New Roman" w:cs="Times New Roman"/>
                <w:bCs/>
                <w:color w:val="auto"/>
                <w:sz w:val="22"/>
                <w:szCs w:val="22"/>
                <w:highlight w:val="none"/>
                <w:lang w:val="en-US" w:eastAsia="zh-CN"/>
              </w:rPr>
              <w:t>—第i种化石燃料的碳氧化率，以%表示；</w:t>
            </w:r>
          </w:p>
          <w:p>
            <w:pPr>
              <w:pStyle w:val="14"/>
              <w:spacing w:before="0" w:after="0" w:line="360" w:lineRule="auto"/>
              <w:ind w:right="0" w:firstLine="440" w:firstLineChars="200"/>
              <w:jc w:val="left"/>
              <w:rPr>
                <w:rFonts w:hint="default" w:ascii="Times New Roman" w:hAnsi="Times New Roman" w:cs="Times New Roman"/>
                <w:bCs/>
                <w:color w:val="auto"/>
                <w:sz w:val="22"/>
                <w:szCs w:val="22"/>
                <w:highlight w:val="none"/>
                <w:lang w:val="en-US" w:eastAsia="zh-CN"/>
              </w:rPr>
            </w:pPr>
            <w:r>
              <w:rPr>
                <w:rFonts w:hint="default" w:ascii="Times New Roman" w:hAnsi="Times New Roman" w:cs="Times New Roman"/>
                <w:bCs/>
                <w:color w:val="auto"/>
                <w:sz w:val="22"/>
                <w:szCs w:val="22"/>
                <w:highlight w:val="none"/>
                <w:lang w:val="en-US" w:eastAsia="zh-CN"/>
              </w:rPr>
              <w:t>44/12—二氧化碳与碳的相对分子量之比。</w:t>
            </w:r>
          </w:p>
          <w:p>
            <w:pPr>
              <w:pStyle w:val="14"/>
              <w:spacing w:before="0" w:after="0" w:line="360" w:lineRule="auto"/>
              <w:ind w:right="0" w:firstLine="442" w:firstLineChars="200"/>
              <w:jc w:val="left"/>
              <w:rPr>
                <w:rFonts w:hint="default" w:ascii="Times New Roman" w:hAnsi="Times New Roman" w:cs="Times New Roman"/>
                <w:b/>
                <w:bCs w:val="0"/>
                <w:color w:val="auto"/>
                <w:sz w:val="22"/>
                <w:szCs w:val="22"/>
                <w:highlight w:val="none"/>
                <w:lang w:val="en-US" w:eastAsia="zh-CN"/>
              </w:rPr>
            </w:pPr>
            <w:r>
              <w:rPr>
                <w:rFonts w:hint="default" w:ascii="Times New Roman" w:hAnsi="Times New Roman" w:cs="Times New Roman"/>
                <w:b/>
                <w:bCs w:val="0"/>
                <w:color w:val="auto"/>
                <w:sz w:val="22"/>
                <w:szCs w:val="22"/>
                <w:highlight w:val="none"/>
                <w:lang w:val="en-US" w:eastAsia="zh-CN"/>
              </w:rPr>
              <w:t>消耗外购电力产生的排放：</w:t>
            </w:r>
          </w:p>
          <w:p>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outlineLvl w:val="9"/>
              <w:rPr>
                <w:rFonts w:hint="default" w:ascii="Times New Roman" w:hAnsi="Times New Roman" w:cs="Times New Roman"/>
                <w:bCs/>
                <w:color w:val="auto"/>
                <w:sz w:val="22"/>
                <w:szCs w:val="22"/>
                <w:highlight w:val="none"/>
                <w:lang w:val="en-US" w:eastAsia="zh-CN"/>
              </w:rPr>
            </w:pPr>
            <w:r>
              <w:rPr>
                <w:rFonts w:hint="default" w:ascii="Times New Roman" w:hAnsi="Times New Roman" w:cs="Times New Roman"/>
                <w:bCs/>
                <w:color w:val="auto"/>
                <w:position w:val="-12"/>
                <w:sz w:val="22"/>
                <w:szCs w:val="22"/>
                <w:highlight w:val="none"/>
                <w:lang w:val="en-US" w:eastAsia="zh-CN"/>
              </w:rPr>
              <w:object>
                <v:shape id="_x0000_i1031" o:spt="75" type="#_x0000_t75" style="height:17.55pt;width:112.45pt;" o:ole="t" filled="f" o:preferrelative="t" stroked="f" coordsize="21600,21600">
                  <v:path/>
                  <v:fill on="f" focussize="0,0"/>
                  <v:stroke on="f"/>
                  <v:imagedata r:id="rId29" o:title=""/>
                  <o:lock v:ext="edit" aspectratio="t"/>
                  <w10:wrap type="none"/>
                  <w10:anchorlock/>
                </v:shape>
                <o:OLEObject Type="Embed" ProgID="Equation.KSEE3" ShapeID="_x0000_i1031" DrawAspect="Content" ObjectID="_1468075731" r:id="rId28">
                  <o:LockedField>false</o:LockedField>
                </o:OLEObject>
              </w:object>
            </w:r>
          </w:p>
          <w:p>
            <w:pPr>
              <w:pStyle w:val="14"/>
              <w:spacing w:before="0" w:after="0" w:line="360" w:lineRule="auto"/>
              <w:ind w:right="0" w:firstLine="440" w:firstLineChars="200"/>
              <w:jc w:val="left"/>
              <w:rPr>
                <w:rFonts w:hint="default" w:ascii="Times New Roman" w:hAnsi="Times New Roman" w:cs="Times New Roman"/>
                <w:bCs/>
                <w:color w:val="auto"/>
                <w:sz w:val="22"/>
                <w:szCs w:val="22"/>
                <w:highlight w:val="none"/>
                <w:lang w:val="en-US" w:eastAsia="zh-CN"/>
              </w:rPr>
            </w:pPr>
            <w:r>
              <w:rPr>
                <w:rFonts w:hint="default" w:ascii="Times New Roman" w:hAnsi="Times New Roman" w:cs="Times New Roman"/>
                <w:bCs/>
                <w:color w:val="auto"/>
                <w:sz w:val="22"/>
                <w:szCs w:val="22"/>
                <w:highlight w:val="none"/>
                <w:lang w:val="en-US" w:eastAsia="zh-CN"/>
              </w:rPr>
              <w:t>式中：</w:t>
            </w:r>
          </w:p>
          <w:p>
            <w:pPr>
              <w:pStyle w:val="14"/>
              <w:spacing w:before="0" w:after="0" w:line="360" w:lineRule="auto"/>
              <w:ind w:right="0" w:firstLine="440" w:firstLineChars="200"/>
              <w:jc w:val="left"/>
              <w:rPr>
                <w:rFonts w:hint="default" w:ascii="Times New Roman" w:hAnsi="Times New Roman" w:cs="Times New Roman"/>
                <w:bCs/>
                <w:color w:val="auto"/>
                <w:sz w:val="22"/>
                <w:szCs w:val="22"/>
                <w:highlight w:val="none"/>
                <w:lang w:val="en-US" w:eastAsia="zh-CN"/>
              </w:rPr>
            </w:pPr>
            <w:r>
              <w:rPr>
                <w:rFonts w:hint="default" w:ascii="Times New Roman" w:hAnsi="Times New Roman" w:cs="Times New Roman"/>
                <w:bCs/>
                <w:color w:val="auto"/>
                <w:sz w:val="22"/>
                <w:szCs w:val="22"/>
                <w:highlight w:val="none"/>
                <w:lang w:val="en-US" w:eastAsia="zh-CN"/>
              </w:rPr>
              <w:t>AD</w:t>
            </w:r>
            <w:r>
              <w:rPr>
                <w:rFonts w:hint="default" w:ascii="Times New Roman" w:hAnsi="Times New Roman" w:cs="Times New Roman"/>
                <w:bCs/>
                <w:color w:val="auto"/>
                <w:sz w:val="22"/>
                <w:szCs w:val="22"/>
                <w:highlight w:val="none"/>
                <w:vertAlign w:val="subscript"/>
                <w:lang w:val="en-US" w:eastAsia="zh-CN"/>
              </w:rPr>
              <w:t>外购电</w:t>
            </w:r>
            <w:r>
              <w:rPr>
                <w:rFonts w:hint="default" w:ascii="Times New Roman" w:hAnsi="Times New Roman" w:cs="Times New Roman"/>
                <w:bCs/>
                <w:color w:val="auto"/>
                <w:sz w:val="22"/>
                <w:szCs w:val="22"/>
                <w:highlight w:val="none"/>
                <w:lang w:val="en-US" w:eastAsia="zh-CN"/>
              </w:rPr>
              <w:t>—消耗外购电力的电量，单位为兆瓦时（MWh）；</w:t>
            </w:r>
          </w:p>
          <w:p>
            <w:pPr>
              <w:pStyle w:val="14"/>
              <w:spacing w:before="0" w:after="0" w:line="360" w:lineRule="auto"/>
              <w:ind w:right="0" w:firstLine="440" w:firstLineChars="200"/>
              <w:jc w:val="left"/>
              <w:rPr>
                <w:rFonts w:hint="default" w:ascii="Times New Roman" w:hAnsi="Times New Roman" w:cs="Times New Roman"/>
                <w:bCs/>
                <w:color w:val="auto"/>
                <w:sz w:val="22"/>
                <w:szCs w:val="22"/>
                <w:highlight w:val="none"/>
                <w:lang w:val="en-US" w:eastAsia="zh-CN"/>
              </w:rPr>
            </w:pPr>
            <w:r>
              <w:rPr>
                <w:rFonts w:hint="default" w:ascii="Times New Roman" w:hAnsi="Times New Roman" w:cs="Times New Roman"/>
                <w:bCs/>
                <w:color w:val="auto"/>
                <w:sz w:val="22"/>
                <w:szCs w:val="22"/>
                <w:highlight w:val="none"/>
                <w:lang w:val="en-US" w:eastAsia="zh-CN"/>
              </w:rPr>
              <w:t>EF</w:t>
            </w:r>
            <w:r>
              <w:rPr>
                <w:rFonts w:hint="default" w:ascii="Times New Roman" w:hAnsi="Times New Roman" w:cs="Times New Roman"/>
                <w:bCs/>
                <w:color w:val="auto"/>
                <w:sz w:val="22"/>
                <w:szCs w:val="22"/>
                <w:highlight w:val="none"/>
                <w:vertAlign w:val="subscript"/>
                <w:lang w:val="en-US" w:eastAsia="zh-CN"/>
              </w:rPr>
              <w:t>电</w:t>
            </w:r>
            <w:r>
              <w:rPr>
                <w:rFonts w:hint="default" w:ascii="Times New Roman" w:hAnsi="Times New Roman" w:cs="Times New Roman"/>
                <w:bCs/>
                <w:color w:val="auto"/>
                <w:sz w:val="22"/>
                <w:szCs w:val="22"/>
                <w:highlight w:val="none"/>
                <w:lang w:val="en-US" w:eastAsia="zh-CN"/>
              </w:rPr>
              <w:t>—电网年均供电的二氧化碳排放因子，单位为吨二氧化碳每兆瓦时（tCO</w:t>
            </w:r>
            <w:r>
              <w:rPr>
                <w:rFonts w:hint="default" w:ascii="Times New Roman" w:hAnsi="Times New Roman" w:cs="Times New Roman"/>
                <w:bCs/>
                <w:color w:val="auto"/>
                <w:sz w:val="22"/>
                <w:szCs w:val="22"/>
                <w:highlight w:val="none"/>
                <w:vertAlign w:val="subscript"/>
                <w:lang w:val="en-US" w:eastAsia="zh-CN"/>
              </w:rPr>
              <w:t>2</w:t>
            </w:r>
            <w:r>
              <w:rPr>
                <w:rFonts w:hint="default" w:ascii="Times New Roman" w:hAnsi="Times New Roman" w:cs="Times New Roman"/>
                <w:bCs/>
                <w:color w:val="auto"/>
                <w:sz w:val="22"/>
                <w:szCs w:val="22"/>
                <w:highlight w:val="none"/>
                <w:lang w:val="en-US" w:eastAsia="zh-CN"/>
              </w:rPr>
              <w:t>/MWh）。</w:t>
            </w:r>
          </w:p>
          <w:p>
            <w:pPr>
              <w:pStyle w:val="14"/>
              <w:spacing w:before="0" w:after="0" w:line="360" w:lineRule="auto"/>
              <w:ind w:right="0" w:firstLine="442" w:firstLineChars="200"/>
              <w:jc w:val="left"/>
              <w:rPr>
                <w:rFonts w:hint="default" w:ascii="Times New Roman" w:hAnsi="Times New Roman" w:cs="Times New Roman"/>
                <w:b/>
                <w:bCs w:val="0"/>
                <w:color w:val="auto"/>
                <w:sz w:val="22"/>
                <w:szCs w:val="22"/>
                <w:highlight w:val="none"/>
                <w:lang w:val="en-US" w:eastAsia="zh-CN"/>
              </w:rPr>
            </w:pPr>
            <w:r>
              <w:rPr>
                <w:rFonts w:hint="default" w:ascii="Times New Roman" w:hAnsi="Times New Roman" w:cs="Times New Roman"/>
                <w:b/>
                <w:bCs w:val="0"/>
                <w:color w:val="auto"/>
                <w:sz w:val="22"/>
                <w:szCs w:val="22"/>
                <w:highlight w:val="none"/>
                <w:lang w:val="en-US" w:eastAsia="zh-CN"/>
              </w:rPr>
              <w:t>消耗外购热力产生的排放：</w:t>
            </w:r>
          </w:p>
          <w:p>
            <w:pPr>
              <w:pStyle w:val="14"/>
              <w:spacing w:before="0" w:after="0" w:line="360" w:lineRule="auto"/>
              <w:ind w:right="0" w:firstLine="440" w:firstLineChars="200"/>
              <w:jc w:val="left"/>
              <w:rPr>
                <w:rFonts w:hint="default" w:ascii="Times New Roman" w:hAnsi="Times New Roman" w:cs="Times New Roman"/>
                <w:bCs/>
                <w:color w:val="auto"/>
                <w:sz w:val="22"/>
                <w:szCs w:val="22"/>
                <w:highlight w:val="none"/>
                <w:lang w:val="en-US" w:eastAsia="zh-CN"/>
              </w:rPr>
            </w:pPr>
            <w:r>
              <w:rPr>
                <w:rFonts w:hint="default" w:ascii="Times New Roman" w:hAnsi="Times New Roman" w:cs="Times New Roman"/>
                <w:bCs/>
                <w:color w:val="auto"/>
                <w:sz w:val="22"/>
                <w:szCs w:val="22"/>
                <w:highlight w:val="none"/>
                <w:lang w:val="en-US" w:eastAsia="zh-CN"/>
              </w:rPr>
              <w:t>消耗外购热力包括外购蒸汽和热水，计算公式如下：</w:t>
            </w:r>
          </w:p>
          <w:p>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outlineLvl w:val="9"/>
              <w:rPr>
                <w:rFonts w:hint="default" w:ascii="Times New Roman" w:hAnsi="Times New Roman" w:cs="Times New Roman"/>
                <w:bCs/>
                <w:color w:val="auto"/>
                <w:sz w:val="22"/>
                <w:szCs w:val="22"/>
                <w:highlight w:val="none"/>
                <w:lang w:val="en-US" w:eastAsia="zh-CN"/>
              </w:rPr>
            </w:pPr>
            <w:r>
              <w:rPr>
                <w:rFonts w:hint="default" w:ascii="Times New Roman" w:hAnsi="Times New Roman" w:cs="Times New Roman"/>
                <w:bCs/>
                <w:color w:val="auto"/>
                <w:position w:val="-12"/>
                <w:sz w:val="22"/>
                <w:szCs w:val="22"/>
                <w:highlight w:val="none"/>
                <w:lang w:val="en-US" w:eastAsia="zh-CN"/>
              </w:rPr>
              <w:object>
                <v:shape id="_x0000_i1032" o:spt="75" type="#_x0000_t75" style="height:17.55pt;width:113.4pt;" o:ole="t" filled="f" o:preferrelative="t" stroked="f" coordsize="21600,21600">
                  <v:path/>
                  <v:fill on="f" focussize="0,0"/>
                  <v:stroke on="f"/>
                  <v:imagedata r:id="rId31" o:title=""/>
                  <o:lock v:ext="edit" aspectratio="t"/>
                  <w10:wrap type="none"/>
                  <w10:anchorlock/>
                </v:shape>
                <o:OLEObject Type="Embed" ProgID="Equation.KSEE3" ShapeID="_x0000_i1032" DrawAspect="Content" ObjectID="_1468075732" r:id="rId30">
                  <o:LockedField>false</o:LockedField>
                </o:OLEObject>
              </w:object>
            </w:r>
          </w:p>
          <w:p>
            <w:pPr>
              <w:pStyle w:val="14"/>
              <w:spacing w:before="0" w:after="0" w:line="360" w:lineRule="auto"/>
              <w:ind w:right="0" w:firstLine="440" w:firstLineChars="200"/>
              <w:jc w:val="left"/>
              <w:rPr>
                <w:rFonts w:hint="default" w:ascii="Times New Roman" w:hAnsi="Times New Roman" w:cs="Times New Roman"/>
                <w:bCs/>
                <w:color w:val="auto"/>
                <w:sz w:val="22"/>
                <w:szCs w:val="22"/>
                <w:highlight w:val="none"/>
                <w:lang w:val="en-US" w:eastAsia="zh-CN"/>
              </w:rPr>
            </w:pPr>
            <w:r>
              <w:rPr>
                <w:rFonts w:hint="default" w:ascii="Times New Roman" w:hAnsi="Times New Roman" w:cs="Times New Roman"/>
                <w:bCs/>
                <w:color w:val="auto"/>
                <w:sz w:val="22"/>
                <w:szCs w:val="22"/>
                <w:highlight w:val="none"/>
                <w:lang w:val="en-US" w:eastAsia="zh-CN"/>
              </w:rPr>
              <w:t>式中：</w:t>
            </w:r>
          </w:p>
          <w:p>
            <w:pPr>
              <w:pStyle w:val="14"/>
              <w:spacing w:before="0" w:after="0" w:line="360" w:lineRule="auto"/>
              <w:ind w:right="0" w:firstLine="440" w:firstLineChars="200"/>
              <w:jc w:val="left"/>
              <w:rPr>
                <w:rFonts w:hint="default" w:ascii="Times New Roman" w:hAnsi="Times New Roman" w:cs="Times New Roman"/>
                <w:bCs/>
                <w:color w:val="auto"/>
                <w:sz w:val="22"/>
                <w:szCs w:val="22"/>
                <w:highlight w:val="none"/>
                <w:lang w:val="en-US" w:eastAsia="zh-CN"/>
              </w:rPr>
            </w:pPr>
            <w:r>
              <w:rPr>
                <w:rFonts w:hint="default" w:ascii="Times New Roman" w:hAnsi="Times New Roman" w:cs="Times New Roman"/>
                <w:bCs/>
                <w:color w:val="auto"/>
                <w:sz w:val="22"/>
                <w:szCs w:val="22"/>
                <w:highlight w:val="none"/>
                <w:lang w:val="en-US" w:eastAsia="zh-CN"/>
              </w:rPr>
              <w:t>AD</w:t>
            </w:r>
            <w:r>
              <w:rPr>
                <w:rFonts w:hint="default" w:ascii="Times New Roman" w:hAnsi="Times New Roman" w:cs="Times New Roman"/>
                <w:bCs/>
                <w:color w:val="auto"/>
                <w:sz w:val="22"/>
                <w:szCs w:val="22"/>
                <w:highlight w:val="none"/>
                <w:vertAlign w:val="subscript"/>
                <w:lang w:val="en-US" w:eastAsia="zh-CN"/>
              </w:rPr>
              <w:t>外购电</w:t>
            </w:r>
            <w:r>
              <w:rPr>
                <w:rFonts w:hint="default" w:ascii="Times New Roman" w:hAnsi="Times New Roman" w:cs="Times New Roman"/>
                <w:bCs/>
                <w:color w:val="auto"/>
                <w:sz w:val="22"/>
                <w:szCs w:val="22"/>
                <w:highlight w:val="none"/>
                <w:lang w:val="en-US" w:eastAsia="zh-CN"/>
              </w:rPr>
              <w:t>—消耗外购热力的热量，单位为吉焦（GJ）；</w:t>
            </w:r>
          </w:p>
          <w:p>
            <w:pPr>
              <w:pStyle w:val="14"/>
              <w:spacing w:before="0" w:after="0" w:line="360" w:lineRule="auto"/>
              <w:ind w:right="0" w:firstLine="440" w:firstLineChars="200"/>
              <w:jc w:val="left"/>
              <w:rPr>
                <w:rFonts w:hint="default" w:ascii="Times New Roman" w:hAnsi="Times New Roman" w:cs="Times New Roman"/>
                <w:bCs/>
                <w:color w:val="auto"/>
                <w:sz w:val="22"/>
                <w:szCs w:val="22"/>
                <w:highlight w:val="none"/>
                <w:lang w:val="en-US" w:eastAsia="zh-CN"/>
              </w:rPr>
            </w:pPr>
            <w:r>
              <w:rPr>
                <w:rFonts w:hint="default" w:ascii="Times New Roman" w:hAnsi="Times New Roman" w:cs="Times New Roman"/>
                <w:bCs/>
                <w:color w:val="auto"/>
                <w:sz w:val="22"/>
                <w:szCs w:val="22"/>
                <w:highlight w:val="none"/>
                <w:lang w:val="en-US" w:eastAsia="zh-CN"/>
              </w:rPr>
              <w:t>EF</w:t>
            </w:r>
            <w:r>
              <w:rPr>
                <w:rFonts w:hint="default" w:ascii="Times New Roman" w:hAnsi="Times New Roman" w:cs="Times New Roman"/>
                <w:bCs/>
                <w:color w:val="auto"/>
                <w:sz w:val="22"/>
                <w:szCs w:val="22"/>
                <w:highlight w:val="none"/>
                <w:vertAlign w:val="subscript"/>
                <w:lang w:val="en-US" w:eastAsia="zh-CN"/>
              </w:rPr>
              <w:t>电</w:t>
            </w:r>
            <w:r>
              <w:rPr>
                <w:rFonts w:hint="default" w:ascii="Times New Roman" w:hAnsi="Times New Roman" w:cs="Times New Roman"/>
                <w:bCs/>
                <w:color w:val="auto"/>
                <w:sz w:val="22"/>
                <w:szCs w:val="22"/>
                <w:highlight w:val="none"/>
                <w:lang w:val="en-US" w:eastAsia="zh-CN"/>
              </w:rPr>
              <w:t>—热力供应的二氧化碳排放因子，单位为吨二氧化碳每吉焦（tCO2/GJ）。</w:t>
            </w:r>
          </w:p>
          <w:p>
            <w:pPr>
              <w:pStyle w:val="14"/>
              <w:spacing w:before="0" w:after="0" w:line="360" w:lineRule="auto"/>
              <w:ind w:right="0" w:firstLine="442" w:firstLineChars="200"/>
              <w:jc w:val="left"/>
              <w:rPr>
                <w:rFonts w:hint="default" w:ascii="Times New Roman" w:hAnsi="Times New Roman" w:cs="Times New Roman"/>
                <w:b/>
                <w:bCs w:val="0"/>
                <w:color w:val="auto"/>
                <w:sz w:val="22"/>
                <w:szCs w:val="22"/>
                <w:highlight w:val="none"/>
                <w:lang w:val="en-US" w:eastAsia="zh-CN"/>
              </w:rPr>
            </w:pPr>
            <w:r>
              <w:rPr>
                <w:rFonts w:hint="eastAsia" w:ascii="Times New Roman" w:hAnsi="Times New Roman" w:cs="Times New Roman"/>
                <w:b/>
                <w:bCs w:val="0"/>
                <w:color w:val="auto"/>
                <w:sz w:val="22"/>
                <w:szCs w:val="22"/>
                <w:highlight w:val="none"/>
                <w:lang w:val="en-US" w:eastAsia="zh-CN"/>
              </w:rPr>
              <w:t>2.5</w:t>
            </w:r>
            <w:r>
              <w:rPr>
                <w:rFonts w:hint="default" w:ascii="Times New Roman" w:hAnsi="Times New Roman" w:cs="Times New Roman"/>
                <w:b/>
                <w:bCs w:val="0"/>
                <w:color w:val="auto"/>
                <w:sz w:val="22"/>
                <w:szCs w:val="22"/>
                <w:highlight w:val="none"/>
                <w:lang w:val="en-US" w:eastAsia="zh-CN"/>
              </w:rPr>
              <w:t>.1源项识别</w:t>
            </w:r>
          </w:p>
          <w:p>
            <w:pPr>
              <w:pStyle w:val="14"/>
              <w:spacing w:before="0" w:after="0" w:line="360" w:lineRule="auto"/>
              <w:ind w:right="0" w:firstLine="440" w:firstLineChars="200"/>
              <w:jc w:val="left"/>
              <w:rPr>
                <w:rFonts w:hint="default" w:ascii="Times New Roman" w:hAnsi="Times New Roman" w:cs="Times New Roman"/>
                <w:bCs/>
                <w:color w:val="auto"/>
                <w:sz w:val="22"/>
                <w:szCs w:val="22"/>
                <w:highlight w:val="none"/>
                <w:lang w:val="en-US" w:eastAsia="zh-CN"/>
              </w:rPr>
            </w:pPr>
            <w:r>
              <w:rPr>
                <w:rFonts w:hint="default" w:ascii="Times New Roman" w:hAnsi="Times New Roman" w:cs="Times New Roman"/>
                <w:bCs/>
                <w:color w:val="auto"/>
                <w:sz w:val="22"/>
                <w:szCs w:val="22"/>
                <w:highlight w:val="none"/>
                <w:lang w:val="en-US" w:eastAsia="zh-CN"/>
              </w:rPr>
              <w:t>本项目使用电，不外购热力，电量年使用量为</w:t>
            </w:r>
            <w:r>
              <w:rPr>
                <w:rFonts w:hint="eastAsia" w:ascii="Times New Roman" w:hAnsi="Times New Roman" w:cs="Times New Roman"/>
                <w:bCs/>
                <w:color w:val="auto"/>
                <w:sz w:val="22"/>
                <w:szCs w:val="22"/>
                <w:highlight w:val="none"/>
                <w:lang w:val="en-US" w:eastAsia="zh-CN"/>
              </w:rPr>
              <w:t>140</w:t>
            </w:r>
            <w:r>
              <w:rPr>
                <w:rFonts w:hint="default" w:ascii="Times New Roman" w:hAnsi="Times New Roman" w:cs="Times New Roman"/>
                <w:bCs/>
                <w:color w:val="auto"/>
                <w:sz w:val="22"/>
                <w:szCs w:val="22"/>
                <w:highlight w:val="none"/>
                <w:lang w:val="en-US" w:eastAsia="zh-CN"/>
              </w:rPr>
              <w:t>万kw·h。</w:t>
            </w:r>
          </w:p>
          <w:p>
            <w:pPr>
              <w:pStyle w:val="14"/>
              <w:spacing w:before="0" w:after="0" w:line="360" w:lineRule="auto"/>
              <w:ind w:right="0" w:firstLine="442" w:firstLineChars="200"/>
              <w:jc w:val="left"/>
              <w:rPr>
                <w:rFonts w:hint="default" w:ascii="Times New Roman" w:hAnsi="Times New Roman" w:cs="Times New Roman"/>
                <w:b/>
                <w:bCs w:val="0"/>
                <w:color w:val="auto"/>
                <w:sz w:val="22"/>
                <w:szCs w:val="22"/>
                <w:highlight w:val="none"/>
                <w:lang w:val="en-US" w:eastAsia="zh-CN"/>
              </w:rPr>
            </w:pPr>
            <w:r>
              <w:rPr>
                <w:rFonts w:hint="eastAsia" w:ascii="Times New Roman" w:hAnsi="Times New Roman" w:cs="Times New Roman"/>
                <w:b/>
                <w:bCs w:val="0"/>
                <w:color w:val="auto"/>
                <w:sz w:val="22"/>
                <w:szCs w:val="22"/>
                <w:highlight w:val="none"/>
                <w:lang w:val="en-US" w:eastAsia="zh-CN"/>
              </w:rPr>
              <w:t>2.5</w:t>
            </w:r>
            <w:r>
              <w:rPr>
                <w:rFonts w:hint="default" w:ascii="Times New Roman" w:hAnsi="Times New Roman" w:cs="Times New Roman"/>
                <w:b/>
                <w:bCs w:val="0"/>
                <w:color w:val="auto"/>
                <w:sz w:val="22"/>
                <w:szCs w:val="22"/>
                <w:highlight w:val="none"/>
                <w:lang w:val="en-US" w:eastAsia="zh-CN"/>
              </w:rPr>
              <w:t>.2源强核算</w:t>
            </w:r>
          </w:p>
          <w:p>
            <w:pPr>
              <w:pStyle w:val="14"/>
              <w:spacing w:before="0" w:after="0" w:line="360" w:lineRule="auto"/>
              <w:ind w:right="0" w:firstLine="442" w:firstLineChars="200"/>
              <w:jc w:val="left"/>
              <w:rPr>
                <w:rFonts w:hint="eastAsia" w:ascii="Times New Roman" w:hAnsi="Times New Roman" w:cs="Times New Roman"/>
                <w:bCs/>
                <w:color w:val="auto"/>
                <w:sz w:val="22"/>
                <w:szCs w:val="22"/>
                <w:highlight w:val="none"/>
                <w:lang w:val="en-US" w:eastAsia="zh-CN"/>
              </w:rPr>
            </w:pPr>
            <w:r>
              <w:rPr>
                <w:rFonts w:hint="default" w:ascii="Times New Roman" w:hAnsi="Times New Roman" w:cs="Times New Roman"/>
                <w:b/>
                <w:bCs w:val="0"/>
                <w:color w:val="auto"/>
                <w:sz w:val="22"/>
                <w:szCs w:val="22"/>
                <w:highlight w:val="none"/>
                <w:lang w:val="en-US" w:eastAsia="zh-CN"/>
              </w:rPr>
              <w:t>消耗外购电力产生的排放</w:t>
            </w:r>
            <w:r>
              <w:rPr>
                <w:rFonts w:hint="eastAsia" w:ascii="Times New Roman" w:hAnsi="Times New Roman" w:cs="Times New Roman"/>
                <w:bCs/>
                <w:color w:val="auto"/>
                <w:sz w:val="22"/>
                <w:szCs w:val="22"/>
                <w:highlight w:val="none"/>
                <w:lang w:val="en-US" w:eastAsia="zh-CN"/>
              </w:rPr>
              <w:t>：根据《2011年和2012年中国区域电网平均CO</w:t>
            </w:r>
            <w:r>
              <w:rPr>
                <w:rFonts w:hint="eastAsia" w:ascii="Times New Roman" w:hAnsi="Times New Roman" w:cs="Times New Roman"/>
                <w:bCs/>
                <w:color w:val="auto"/>
                <w:sz w:val="22"/>
                <w:szCs w:val="22"/>
                <w:highlight w:val="none"/>
                <w:vertAlign w:val="subscript"/>
                <w:lang w:val="en-US" w:eastAsia="zh-CN"/>
              </w:rPr>
              <w:t>2</w:t>
            </w:r>
            <w:r>
              <w:rPr>
                <w:rFonts w:hint="eastAsia" w:ascii="Times New Roman" w:hAnsi="Times New Roman" w:cs="Times New Roman"/>
                <w:bCs/>
                <w:color w:val="auto"/>
                <w:sz w:val="22"/>
                <w:szCs w:val="22"/>
                <w:highlight w:val="none"/>
                <w:lang w:val="en-US" w:eastAsia="zh-CN"/>
              </w:rPr>
              <w:t>排放因子》中“华中区域电网”2011年平均CO</w:t>
            </w:r>
            <w:r>
              <w:rPr>
                <w:rFonts w:hint="eastAsia" w:ascii="Times New Roman" w:hAnsi="Times New Roman" w:cs="Times New Roman"/>
                <w:bCs/>
                <w:color w:val="auto"/>
                <w:sz w:val="22"/>
                <w:szCs w:val="22"/>
                <w:highlight w:val="none"/>
                <w:vertAlign w:val="subscript"/>
                <w:lang w:val="en-US" w:eastAsia="zh-CN"/>
              </w:rPr>
              <w:t>2</w:t>
            </w:r>
            <w:r>
              <w:rPr>
                <w:rFonts w:hint="eastAsia" w:ascii="Times New Roman" w:hAnsi="Times New Roman" w:cs="Times New Roman"/>
                <w:bCs/>
                <w:color w:val="auto"/>
                <w:sz w:val="22"/>
                <w:szCs w:val="22"/>
                <w:highlight w:val="none"/>
                <w:lang w:val="en-US" w:eastAsia="zh-CN"/>
              </w:rPr>
              <w:t>排放因子0.5755kgCO</w:t>
            </w:r>
            <w:r>
              <w:rPr>
                <w:rFonts w:hint="eastAsia" w:ascii="Times New Roman" w:hAnsi="Times New Roman" w:cs="Times New Roman"/>
                <w:bCs/>
                <w:color w:val="auto"/>
                <w:sz w:val="22"/>
                <w:szCs w:val="22"/>
                <w:highlight w:val="none"/>
                <w:vertAlign w:val="subscript"/>
                <w:lang w:val="en-US" w:eastAsia="zh-CN"/>
              </w:rPr>
              <w:t>2</w:t>
            </w:r>
            <w:r>
              <w:rPr>
                <w:rFonts w:hint="eastAsia" w:ascii="Times New Roman" w:hAnsi="Times New Roman" w:cs="Times New Roman"/>
                <w:bCs/>
                <w:color w:val="auto"/>
                <w:sz w:val="22"/>
                <w:szCs w:val="22"/>
                <w:highlight w:val="none"/>
                <w:lang w:val="en-US" w:eastAsia="zh-CN"/>
              </w:rPr>
              <w:t>/kWh。</w:t>
            </w:r>
          </w:p>
          <w:p>
            <w:pPr>
              <w:pStyle w:val="14"/>
              <w:spacing w:before="0" w:after="0" w:line="360" w:lineRule="auto"/>
              <w:ind w:right="0" w:firstLine="440" w:firstLineChars="200"/>
              <w:jc w:val="left"/>
              <w:rPr>
                <w:rFonts w:hint="eastAsia" w:ascii="Times New Roman" w:hAnsi="Times New Roman" w:cs="Times New Roman"/>
                <w:b/>
                <w:bCs w:val="0"/>
                <w:color w:val="auto"/>
                <w:sz w:val="22"/>
                <w:szCs w:val="22"/>
                <w:highlight w:val="none"/>
                <w:lang w:val="en-US" w:eastAsia="zh-CN"/>
              </w:rPr>
            </w:pPr>
            <w:r>
              <w:rPr>
                <w:rFonts w:hint="default" w:ascii="Times New Roman" w:hAnsi="Times New Roman" w:cs="Times New Roman"/>
                <w:bCs/>
                <w:color w:val="auto"/>
                <w:sz w:val="22"/>
                <w:szCs w:val="22"/>
                <w:highlight w:val="none"/>
                <w:lang w:val="en-US" w:eastAsia="zh-CN"/>
              </w:rPr>
              <w:t>消耗外购电力产生的二氧化碳</w:t>
            </w:r>
            <w:r>
              <w:rPr>
                <w:rFonts w:hint="eastAsia" w:ascii="Times New Roman" w:hAnsi="Times New Roman" w:cs="Times New Roman"/>
                <w:bCs/>
                <w:color w:val="auto"/>
                <w:sz w:val="22"/>
                <w:szCs w:val="22"/>
                <w:highlight w:val="none"/>
                <w:lang w:val="en-US" w:eastAsia="zh-CN"/>
              </w:rPr>
              <w:t>年</w:t>
            </w:r>
            <w:r>
              <w:rPr>
                <w:rFonts w:hint="default" w:ascii="Times New Roman" w:hAnsi="Times New Roman" w:cs="Times New Roman"/>
                <w:bCs/>
                <w:color w:val="auto"/>
                <w:sz w:val="22"/>
                <w:szCs w:val="22"/>
                <w:highlight w:val="none"/>
                <w:lang w:val="en-US" w:eastAsia="zh-CN"/>
              </w:rPr>
              <w:t>排放量</w:t>
            </w:r>
            <w:r>
              <w:rPr>
                <w:rFonts w:hint="eastAsia" w:ascii="Times New Roman" w:hAnsi="Times New Roman" w:cs="Times New Roman"/>
                <w:bCs/>
                <w:color w:val="auto"/>
                <w:sz w:val="22"/>
                <w:szCs w:val="22"/>
                <w:highlight w:val="none"/>
                <w:lang w:val="en-US" w:eastAsia="zh-CN"/>
              </w:rPr>
              <w:t>为</w:t>
            </w:r>
            <w:r>
              <w:rPr>
                <w:rFonts w:hint="eastAsia" w:ascii="Times New Roman" w:hAnsi="Times New Roman" w:cs="Times New Roman"/>
                <w:b/>
                <w:bCs w:val="0"/>
                <w:color w:val="auto"/>
                <w:sz w:val="22"/>
                <w:szCs w:val="22"/>
                <w:highlight w:val="none"/>
                <w:lang w:val="en-US" w:eastAsia="zh-CN"/>
              </w:rPr>
              <w:t>805.7t。</w:t>
            </w:r>
          </w:p>
          <w:p>
            <w:pPr>
              <w:pStyle w:val="14"/>
              <w:spacing w:before="0" w:after="0" w:line="360" w:lineRule="auto"/>
              <w:ind w:right="0" w:firstLine="442" w:firstLineChars="200"/>
              <w:jc w:val="left"/>
              <w:rPr>
                <w:rFonts w:hint="default" w:ascii="Times New Roman" w:hAnsi="Times New Roman" w:cs="Times New Roman"/>
                <w:b/>
                <w:bCs w:val="0"/>
                <w:color w:val="auto"/>
                <w:sz w:val="22"/>
                <w:szCs w:val="22"/>
                <w:highlight w:val="none"/>
                <w:lang w:val="en-US" w:eastAsia="zh-CN"/>
              </w:rPr>
            </w:pPr>
            <w:r>
              <w:rPr>
                <w:rFonts w:hint="eastAsia" w:ascii="Times New Roman" w:hAnsi="Times New Roman" w:cs="Times New Roman"/>
                <w:b/>
                <w:bCs w:val="0"/>
                <w:color w:val="auto"/>
                <w:sz w:val="22"/>
                <w:szCs w:val="22"/>
                <w:highlight w:val="none"/>
                <w:lang w:val="en-US" w:eastAsia="zh-CN"/>
              </w:rPr>
              <w:t>综上，本项目二氧化碳年排放总量为805.7t。</w:t>
            </w:r>
          </w:p>
          <w:p>
            <w:pPr>
              <w:pStyle w:val="14"/>
              <w:spacing w:before="0" w:after="0" w:line="360" w:lineRule="auto"/>
              <w:ind w:right="0" w:firstLine="442" w:firstLineChars="200"/>
              <w:jc w:val="left"/>
              <w:rPr>
                <w:rFonts w:hint="default" w:ascii="Times New Roman" w:hAnsi="Times New Roman" w:cs="Times New Roman"/>
                <w:b/>
                <w:bCs w:val="0"/>
                <w:color w:val="auto"/>
                <w:sz w:val="22"/>
                <w:szCs w:val="22"/>
                <w:highlight w:val="none"/>
                <w:lang w:val="en-US" w:eastAsia="zh-CN"/>
              </w:rPr>
            </w:pPr>
            <w:r>
              <w:rPr>
                <w:rFonts w:hint="eastAsia" w:ascii="Times New Roman" w:hAnsi="Times New Roman" w:cs="Times New Roman"/>
                <w:b/>
                <w:bCs w:val="0"/>
                <w:color w:val="auto"/>
                <w:sz w:val="22"/>
                <w:szCs w:val="22"/>
                <w:highlight w:val="none"/>
                <w:lang w:val="en-US" w:eastAsia="zh-CN"/>
              </w:rPr>
              <w:t>2.5</w:t>
            </w:r>
            <w:r>
              <w:rPr>
                <w:rFonts w:hint="default" w:ascii="Times New Roman" w:hAnsi="Times New Roman" w:cs="Times New Roman"/>
                <w:b/>
                <w:bCs w:val="0"/>
                <w:color w:val="auto"/>
                <w:sz w:val="22"/>
                <w:szCs w:val="22"/>
                <w:highlight w:val="none"/>
                <w:lang w:val="en-US" w:eastAsia="zh-CN"/>
              </w:rPr>
              <w:t>.3减污降碳措施</w:t>
            </w:r>
          </w:p>
          <w:p>
            <w:pPr>
              <w:pStyle w:val="14"/>
              <w:spacing w:before="0" w:after="0" w:line="360" w:lineRule="auto"/>
              <w:ind w:right="0" w:firstLine="440" w:firstLineChars="200"/>
              <w:jc w:val="left"/>
              <w:rPr>
                <w:rFonts w:hint="default" w:ascii="Times New Roman" w:hAnsi="Times New Roman" w:cs="Times New Roman"/>
                <w:bCs/>
                <w:color w:val="auto"/>
                <w:sz w:val="22"/>
                <w:szCs w:val="22"/>
                <w:highlight w:val="none"/>
                <w:lang w:val="en-US" w:eastAsia="zh-CN"/>
              </w:rPr>
            </w:pPr>
            <w:r>
              <w:rPr>
                <w:rFonts w:hint="default" w:ascii="Times New Roman" w:hAnsi="Times New Roman" w:cs="Times New Roman"/>
                <w:bCs/>
                <w:color w:val="auto"/>
                <w:sz w:val="22"/>
                <w:szCs w:val="22"/>
                <w:highlight w:val="none"/>
                <w:lang w:val="en-US" w:eastAsia="zh-CN"/>
              </w:rPr>
              <w:t>“减污降碳”</w:t>
            </w:r>
            <w:r>
              <w:rPr>
                <w:rFonts w:hint="eastAsia" w:ascii="Times New Roman" w:hAnsi="Times New Roman" w:cs="Times New Roman"/>
                <w:bCs/>
                <w:color w:val="auto"/>
                <w:sz w:val="22"/>
                <w:szCs w:val="22"/>
                <w:highlight w:val="none"/>
                <w:lang w:val="en-US" w:eastAsia="zh-CN"/>
              </w:rPr>
              <w:t>现已</w:t>
            </w:r>
            <w:r>
              <w:rPr>
                <w:rFonts w:hint="default" w:ascii="Times New Roman" w:hAnsi="Times New Roman" w:cs="Times New Roman"/>
                <w:bCs/>
                <w:color w:val="auto"/>
                <w:sz w:val="22"/>
                <w:szCs w:val="22"/>
                <w:highlight w:val="none"/>
                <w:lang w:val="en-US" w:eastAsia="zh-CN"/>
              </w:rPr>
              <w:t>成为生态文明建设和生态环境保护领域新热词</w:t>
            </w:r>
            <w:r>
              <w:rPr>
                <w:rFonts w:hint="eastAsia" w:ascii="Times New Roman" w:hAnsi="Times New Roman" w:cs="Times New Roman"/>
                <w:bCs/>
                <w:color w:val="auto"/>
                <w:sz w:val="22"/>
                <w:szCs w:val="22"/>
                <w:highlight w:val="none"/>
                <w:lang w:val="en-US" w:eastAsia="zh-CN"/>
              </w:rPr>
              <w:t>，</w:t>
            </w:r>
            <w:r>
              <w:rPr>
                <w:rFonts w:hint="default" w:ascii="Times New Roman" w:hAnsi="Times New Roman" w:cs="Times New Roman"/>
                <w:bCs/>
                <w:color w:val="auto"/>
                <w:sz w:val="22"/>
                <w:szCs w:val="22"/>
                <w:highlight w:val="none"/>
                <w:lang w:val="en-US" w:eastAsia="zh-CN"/>
              </w:rPr>
              <w:t>从中央到地方举行的一系列重要会议，明确了我国减污降碳政策方向：深入打好污染防治攻坚战，同时启动二氧化碳排放达峰行动，一手减污，一手降碳。“能源使用过程中同时产生污染物，如二氧化硫、二氧化碳等，这些污染物同一来源、同时产生、同时排放，可以进行系统治理，实现减污降碳的协同效应。”</w:t>
            </w:r>
          </w:p>
          <w:p>
            <w:pPr>
              <w:pStyle w:val="14"/>
              <w:spacing w:before="0" w:after="0" w:line="360" w:lineRule="auto"/>
              <w:ind w:right="0" w:firstLine="440" w:firstLineChars="200"/>
              <w:jc w:val="left"/>
              <w:rPr>
                <w:rFonts w:hint="eastAsia" w:ascii="Times New Roman" w:hAnsi="Times New Roman" w:cs="Times New Roman"/>
                <w:bCs/>
                <w:color w:val="auto"/>
                <w:sz w:val="22"/>
                <w:szCs w:val="22"/>
                <w:highlight w:val="none"/>
                <w:lang w:val="en-US" w:eastAsia="zh-CN"/>
              </w:rPr>
            </w:pPr>
            <w:r>
              <w:rPr>
                <w:rFonts w:hint="eastAsia" w:ascii="Times New Roman" w:hAnsi="Times New Roman" w:cs="Times New Roman"/>
                <w:bCs/>
                <w:color w:val="auto"/>
                <w:sz w:val="22"/>
                <w:szCs w:val="22"/>
                <w:highlight w:val="none"/>
                <w:lang w:val="en-US" w:eastAsia="zh-CN"/>
              </w:rPr>
              <w:t>为实现减污降碳，项目采取措施如下：</w:t>
            </w:r>
          </w:p>
          <w:p>
            <w:pPr>
              <w:pStyle w:val="14"/>
              <w:spacing w:before="0" w:after="0" w:line="360" w:lineRule="auto"/>
              <w:ind w:right="0" w:firstLine="440" w:firstLineChars="200"/>
              <w:jc w:val="left"/>
              <w:rPr>
                <w:rFonts w:hint="eastAsia" w:ascii="Times New Roman" w:hAnsi="Times New Roman" w:cs="Times New Roman"/>
                <w:bCs/>
                <w:color w:val="auto"/>
                <w:sz w:val="22"/>
                <w:szCs w:val="22"/>
                <w:highlight w:val="none"/>
                <w:lang w:val="en-US" w:eastAsia="zh-CN"/>
              </w:rPr>
            </w:pPr>
            <w:r>
              <w:rPr>
                <w:rFonts w:hint="eastAsia" w:ascii="Times New Roman" w:hAnsi="Times New Roman" w:cs="Times New Roman"/>
                <w:bCs/>
                <w:color w:val="auto"/>
                <w:sz w:val="22"/>
                <w:szCs w:val="22"/>
                <w:highlight w:val="none"/>
                <w:lang w:val="en-US" w:eastAsia="zh-CN"/>
              </w:rPr>
              <w:t>（1）不使用高污染能源，采用先进的技术设备，提升资源综合循环利用水平，从源头减少能耗，从而降低污染物和碳排放。</w:t>
            </w:r>
          </w:p>
          <w:p>
            <w:pPr>
              <w:pStyle w:val="14"/>
              <w:spacing w:before="0" w:after="0" w:line="360" w:lineRule="auto"/>
              <w:ind w:right="0" w:firstLine="440" w:firstLineChars="200"/>
              <w:jc w:val="left"/>
              <w:rPr>
                <w:rFonts w:hint="eastAsia" w:ascii="Times New Roman" w:hAnsi="Times New Roman" w:cs="Times New Roman"/>
                <w:bCs/>
                <w:color w:val="auto"/>
                <w:sz w:val="22"/>
                <w:szCs w:val="22"/>
                <w:highlight w:val="none"/>
                <w:lang w:val="en-US" w:eastAsia="zh-CN"/>
              </w:rPr>
            </w:pPr>
            <w:r>
              <w:rPr>
                <w:rFonts w:hint="eastAsia" w:ascii="Times New Roman" w:hAnsi="Times New Roman" w:cs="Times New Roman"/>
                <w:bCs/>
                <w:color w:val="auto"/>
                <w:sz w:val="22"/>
                <w:szCs w:val="22"/>
                <w:highlight w:val="none"/>
                <w:lang w:val="en-US" w:eastAsia="zh-CN"/>
              </w:rPr>
              <w:t>（2）推动传统能源安全绿色开发和清洁低碳利用，本项目仅使用电能。</w:t>
            </w:r>
          </w:p>
          <w:p>
            <w:pPr>
              <w:pStyle w:val="14"/>
              <w:spacing w:before="0" w:after="0" w:line="360" w:lineRule="auto"/>
              <w:ind w:right="0" w:firstLine="440" w:firstLineChars="200"/>
              <w:jc w:val="left"/>
              <w:rPr>
                <w:rFonts w:hint="eastAsia" w:ascii="Times New Roman" w:hAnsi="Times New Roman" w:cs="Times New Roman"/>
                <w:bCs/>
                <w:color w:val="auto"/>
                <w:sz w:val="22"/>
                <w:szCs w:val="22"/>
                <w:highlight w:val="none"/>
                <w:lang w:val="en-US" w:eastAsia="zh-CN"/>
              </w:rPr>
            </w:pPr>
            <w:r>
              <w:rPr>
                <w:rFonts w:hint="eastAsia" w:ascii="Times New Roman" w:hAnsi="Times New Roman" w:cs="Times New Roman"/>
                <w:bCs/>
                <w:color w:val="auto"/>
                <w:sz w:val="22"/>
                <w:szCs w:val="22"/>
                <w:highlight w:val="none"/>
                <w:lang w:val="en-US" w:eastAsia="zh-CN"/>
              </w:rPr>
              <w:t>（3）合理规划工程布置，较少输送能耗。</w:t>
            </w:r>
          </w:p>
          <w:p>
            <w:pPr>
              <w:pStyle w:val="14"/>
              <w:spacing w:before="0" w:after="0" w:line="360" w:lineRule="auto"/>
              <w:ind w:right="0" w:firstLine="440" w:firstLineChars="200"/>
              <w:jc w:val="left"/>
              <w:rPr>
                <w:rFonts w:hint="eastAsia" w:ascii="Times New Roman" w:hAnsi="Times New Roman" w:cs="Times New Roman"/>
                <w:bCs/>
                <w:color w:val="auto"/>
                <w:sz w:val="22"/>
                <w:szCs w:val="22"/>
                <w:highlight w:val="none"/>
                <w:lang w:val="en-US" w:eastAsia="zh-CN"/>
              </w:rPr>
            </w:pPr>
            <w:r>
              <w:rPr>
                <w:rFonts w:hint="eastAsia" w:ascii="Times New Roman" w:hAnsi="Times New Roman" w:cs="Times New Roman"/>
                <w:bCs/>
                <w:color w:val="auto"/>
                <w:sz w:val="22"/>
                <w:szCs w:val="22"/>
                <w:highlight w:val="none"/>
                <w:lang w:val="en-US" w:eastAsia="zh-CN"/>
              </w:rPr>
              <w:t>（4）强化企业节能管理，完善能源计量体系，提高能效水平。</w:t>
            </w:r>
          </w:p>
          <w:p>
            <w:pPr>
              <w:pStyle w:val="14"/>
              <w:spacing w:before="0" w:after="0" w:line="360" w:lineRule="auto"/>
              <w:ind w:right="0" w:firstLine="440" w:firstLineChars="200"/>
              <w:jc w:val="left"/>
              <w:rPr>
                <w:rFonts w:hint="eastAsia" w:ascii="Times New Roman" w:hAnsi="Times New Roman" w:cs="Times New Roman"/>
                <w:bCs/>
                <w:color w:val="auto"/>
                <w:sz w:val="22"/>
                <w:szCs w:val="22"/>
                <w:highlight w:val="none"/>
                <w:lang w:val="en-US" w:eastAsia="zh-CN"/>
              </w:rPr>
            </w:pPr>
            <w:r>
              <w:rPr>
                <w:rFonts w:hint="eastAsia" w:ascii="Times New Roman" w:hAnsi="Times New Roman" w:cs="Times New Roman"/>
                <w:bCs/>
                <w:color w:val="auto"/>
                <w:sz w:val="22"/>
                <w:szCs w:val="22"/>
                <w:highlight w:val="none"/>
                <w:lang w:val="en-US" w:eastAsia="zh-CN"/>
              </w:rPr>
              <w:t>（5）加强高耗能设备监管，构建安全、节能、环保三位一体的监管体系。</w:t>
            </w:r>
          </w:p>
          <w:p>
            <w:pPr>
              <w:pStyle w:val="14"/>
              <w:spacing w:before="0" w:after="0" w:line="360" w:lineRule="auto"/>
              <w:ind w:right="0" w:firstLine="440" w:firstLineChars="200"/>
              <w:jc w:val="left"/>
              <w:rPr>
                <w:rFonts w:hint="eastAsia" w:ascii="Times New Roman" w:hAnsi="Times New Roman" w:cs="Times New Roman"/>
                <w:bCs/>
                <w:color w:val="auto"/>
                <w:sz w:val="22"/>
                <w:szCs w:val="22"/>
                <w:highlight w:val="none"/>
                <w:lang w:val="en-US" w:eastAsia="zh-CN"/>
              </w:rPr>
            </w:pPr>
            <w:r>
              <w:rPr>
                <w:rFonts w:hint="eastAsia" w:ascii="Times New Roman" w:hAnsi="Times New Roman" w:cs="Times New Roman"/>
                <w:bCs/>
                <w:color w:val="auto"/>
                <w:sz w:val="22"/>
                <w:szCs w:val="22"/>
                <w:highlight w:val="none"/>
                <w:lang w:val="en-US" w:eastAsia="zh-CN"/>
              </w:rPr>
              <w:t>（6）推行清洁生产，确保环保治理设施的正常运行，保证污染物的达标排放。</w:t>
            </w:r>
          </w:p>
          <w:p>
            <w:pPr>
              <w:pStyle w:val="14"/>
              <w:spacing w:before="0" w:after="0" w:line="360" w:lineRule="auto"/>
              <w:ind w:right="0" w:firstLine="442" w:firstLineChars="200"/>
              <w:jc w:val="left"/>
              <w:rPr>
                <w:rFonts w:hint="default" w:ascii="Times New Roman" w:hAnsi="Times New Roman" w:cs="Times New Roman"/>
                <w:b/>
                <w:bCs w:val="0"/>
                <w:color w:val="auto"/>
                <w:sz w:val="22"/>
                <w:szCs w:val="22"/>
                <w:highlight w:val="none"/>
                <w:lang w:val="en-US" w:eastAsia="zh-CN"/>
              </w:rPr>
            </w:pPr>
            <w:r>
              <w:rPr>
                <w:rFonts w:hint="eastAsia" w:ascii="Times New Roman" w:hAnsi="Times New Roman" w:cs="Times New Roman"/>
                <w:b/>
                <w:bCs w:val="0"/>
                <w:color w:val="auto"/>
                <w:sz w:val="22"/>
                <w:szCs w:val="22"/>
                <w:highlight w:val="none"/>
                <w:lang w:val="en-US" w:eastAsia="zh-CN"/>
              </w:rPr>
              <w:t>2.6</w:t>
            </w:r>
            <w:r>
              <w:rPr>
                <w:rFonts w:hint="default" w:ascii="Times New Roman" w:hAnsi="Times New Roman" w:cs="Times New Roman"/>
                <w:b/>
                <w:bCs w:val="0"/>
                <w:color w:val="auto"/>
                <w:sz w:val="22"/>
                <w:szCs w:val="22"/>
                <w:highlight w:val="none"/>
                <w:lang w:val="en-US" w:eastAsia="zh-CN"/>
              </w:rPr>
              <w:t>清洁生产分析</w:t>
            </w:r>
          </w:p>
          <w:p>
            <w:pPr>
              <w:pStyle w:val="14"/>
              <w:spacing w:before="0" w:after="0" w:line="360" w:lineRule="auto"/>
              <w:ind w:right="0" w:firstLine="442" w:firstLineChars="200"/>
              <w:jc w:val="left"/>
              <w:rPr>
                <w:rFonts w:hint="default" w:ascii="Times New Roman" w:hAnsi="Times New Roman" w:cs="Times New Roman"/>
                <w:b/>
                <w:bCs/>
                <w:color w:val="auto"/>
                <w:sz w:val="22"/>
                <w:szCs w:val="22"/>
                <w:highlight w:val="none"/>
                <w:lang w:val="en-US" w:eastAsia="zh-CN"/>
              </w:rPr>
            </w:pPr>
            <w:r>
              <w:rPr>
                <w:rFonts w:hint="eastAsia" w:ascii="Times New Roman" w:hAnsi="Times New Roman" w:cs="Times New Roman"/>
                <w:b/>
                <w:bCs/>
                <w:color w:val="auto"/>
                <w:sz w:val="22"/>
                <w:szCs w:val="22"/>
                <w:highlight w:val="none"/>
                <w:lang w:val="en-US" w:eastAsia="zh-CN"/>
              </w:rPr>
              <w:t>2.6</w:t>
            </w:r>
            <w:r>
              <w:rPr>
                <w:rFonts w:hint="default" w:ascii="Times New Roman" w:hAnsi="Times New Roman" w:cs="Times New Roman"/>
                <w:b/>
                <w:bCs/>
                <w:color w:val="auto"/>
                <w:sz w:val="22"/>
                <w:szCs w:val="22"/>
                <w:highlight w:val="none"/>
                <w:lang w:val="en-US" w:eastAsia="zh-CN"/>
              </w:rPr>
              <w:t>.1</w:t>
            </w:r>
            <w:r>
              <w:rPr>
                <w:rFonts w:hint="default" w:ascii="Times New Roman" w:hAnsi="Times New Roman" w:cs="Times New Roman"/>
                <w:b/>
                <w:bCs/>
                <w:color w:val="auto"/>
                <w:sz w:val="22"/>
                <w:szCs w:val="22"/>
                <w:highlight w:val="none"/>
                <w:lang w:eastAsia="zh-CN"/>
              </w:rPr>
              <w:t>清洁生产的目的</w:t>
            </w:r>
          </w:p>
          <w:p>
            <w:pPr>
              <w:pStyle w:val="14"/>
              <w:spacing w:before="0" w:after="0" w:line="360" w:lineRule="auto"/>
              <w:ind w:right="0" w:firstLine="440" w:firstLineChars="200"/>
              <w:jc w:val="left"/>
              <w:rPr>
                <w:rFonts w:hint="default" w:ascii="Times New Roman" w:hAnsi="Times New Roman" w:cs="Times New Roman"/>
                <w:b w:val="0"/>
                <w:bCs w:val="0"/>
                <w:color w:val="auto"/>
                <w:sz w:val="22"/>
                <w:szCs w:val="22"/>
                <w:highlight w:val="none"/>
                <w:lang w:val="en-US" w:eastAsia="zh-CN"/>
              </w:rPr>
            </w:pPr>
            <w:r>
              <w:rPr>
                <w:rFonts w:hint="default" w:ascii="Times New Roman" w:hAnsi="Times New Roman" w:cs="Times New Roman"/>
                <w:b w:val="0"/>
                <w:bCs w:val="0"/>
                <w:color w:val="auto"/>
                <w:sz w:val="22"/>
                <w:szCs w:val="22"/>
                <w:highlight w:val="none"/>
                <w:lang w:eastAsia="zh-CN"/>
              </w:rPr>
              <w:t>清洁生产是对产品和产品的生产过程采用预防污染的策略来减少污染物的产生。它是一种新的创造性的思想，将整体预防的环境战略持续应用于生产过程、产品和服务中，以增加生态效益和减少对人类及环境的风险。</w:t>
            </w:r>
          </w:p>
          <w:p>
            <w:pPr>
              <w:pStyle w:val="14"/>
              <w:spacing w:before="0" w:after="0" w:line="360" w:lineRule="auto"/>
              <w:ind w:right="0" w:firstLine="442" w:firstLineChars="200"/>
              <w:jc w:val="left"/>
              <w:rPr>
                <w:rFonts w:hint="default" w:ascii="Times New Roman" w:hAnsi="Times New Roman" w:cs="Times New Roman"/>
                <w:b/>
                <w:bCs/>
                <w:color w:val="auto"/>
                <w:sz w:val="22"/>
                <w:szCs w:val="22"/>
                <w:highlight w:val="none"/>
                <w:lang w:val="en-US" w:eastAsia="zh-CN"/>
              </w:rPr>
            </w:pPr>
            <w:r>
              <w:rPr>
                <w:rFonts w:hint="eastAsia" w:ascii="Times New Roman" w:hAnsi="Times New Roman" w:cs="Times New Roman"/>
                <w:b/>
                <w:bCs/>
                <w:color w:val="auto"/>
                <w:sz w:val="22"/>
                <w:szCs w:val="22"/>
                <w:highlight w:val="none"/>
                <w:lang w:val="en-US" w:eastAsia="zh-CN"/>
              </w:rPr>
              <w:t>2.6</w:t>
            </w:r>
            <w:r>
              <w:rPr>
                <w:rFonts w:hint="default" w:ascii="Times New Roman" w:hAnsi="Times New Roman" w:cs="Times New Roman"/>
                <w:b/>
                <w:bCs/>
                <w:color w:val="auto"/>
                <w:sz w:val="22"/>
                <w:szCs w:val="22"/>
                <w:highlight w:val="none"/>
                <w:lang w:val="en-US" w:eastAsia="zh-CN"/>
              </w:rPr>
              <w:t>.2项目清洁生产指标分析</w:t>
            </w:r>
          </w:p>
          <w:p>
            <w:pPr>
              <w:pStyle w:val="14"/>
              <w:spacing w:before="0" w:after="0" w:line="360" w:lineRule="auto"/>
              <w:ind w:right="0" w:firstLine="440" w:firstLineChars="200"/>
              <w:jc w:val="left"/>
              <w:rPr>
                <w:rFonts w:hint="default" w:ascii="Times New Roman" w:hAnsi="Times New Roman" w:cs="Times New Roman"/>
                <w:b w:val="0"/>
                <w:bCs w:val="0"/>
                <w:color w:val="auto"/>
                <w:sz w:val="22"/>
                <w:szCs w:val="22"/>
                <w:highlight w:val="none"/>
                <w:lang w:val="en-US" w:eastAsia="zh-CN"/>
              </w:rPr>
            </w:pPr>
            <w:r>
              <w:rPr>
                <w:rFonts w:hint="default" w:ascii="Times New Roman" w:hAnsi="Times New Roman" w:cs="Times New Roman"/>
                <w:b w:val="0"/>
                <w:bCs w:val="0"/>
                <w:color w:val="auto"/>
                <w:sz w:val="22"/>
                <w:szCs w:val="22"/>
                <w:highlight w:val="none"/>
                <w:lang w:val="en-US" w:eastAsia="zh-CN"/>
              </w:rPr>
              <w:t>（1）原辅材料、能源指标</w:t>
            </w:r>
          </w:p>
          <w:p>
            <w:pPr>
              <w:pStyle w:val="14"/>
              <w:spacing w:before="0" w:after="0" w:line="360" w:lineRule="auto"/>
              <w:ind w:right="0" w:firstLine="440" w:firstLineChars="200"/>
              <w:jc w:val="left"/>
              <w:rPr>
                <w:rFonts w:hint="default" w:ascii="Times New Roman" w:hAnsi="Times New Roman" w:eastAsia="宋体" w:cs="Times New Roman"/>
                <w:b w:val="0"/>
                <w:bCs w:val="0"/>
                <w:color w:val="auto"/>
                <w:sz w:val="22"/>
                <w:szCs w:val="22"/>
                <w:highlight w:val="none"/>
                <w:lang w:eastAsia="zh-CN"/>
              </w:rPr>
            </w:pPr>
            <w:r>
              <w:rPr>
                <w:rFonts w:hint="default" w:ascii="Times New Roman" w:hAnsi="Times New Roman" w:cs="Times New Roman"/>
                <w:b w:val="0"/>
                <w:bCs w:val="0"/>
                <w:color w:val="auto"/>
                <w:sz w:val="22"/>
                <w:szCs w:val="22"/>
                <w:highlight w:val="none"/>
                <w:lang w:eastAsia="zh-CN"/>
              </w:rPr>
              <w:t>①原辅材料</w:t>
            </w:r>
          </w:p>
          <w:p>
            <w:pPr>
              <w:pStyle w:val="14"/>
              <w:spacing w:before="0" w:after="0" w:line="360" w:lineRule="auto"/>
              <w:ind w:right="0" w:firstLine="440" w:firstLineChars="200"/>
              <w:jc w:val="left"/>
              <w:rPr>
                <w:rFonts w:hint="default" w:ascii="Times New Roman" w:hAnsi="Times New Roman" w:cs="Times New Roman"/>
                <w:b w:val="0"/>
                <w:bCs w:val="0"/>
                <w:color w:val="auto"/>
                <w:sz w:val="22"/>
                <w:szCs w:val="22"/>
                <w:highlight w:val="none"/>
                <w:lang w:val="en-US" w:eastAsia="zh-CN"/>
              </w:rPr>
            </w:pPr>
            <w:r>
              <w:rPr>
                <w:rFonts w:hint="eastAsia" w:ascii="Times New Roman" w:hAnsi="Times New Roman" w:cs="Times New Roman"/>
                <w:color w:val="auto"/>
                <w:kern w:val="0"/>
                <w:sz w:val="22"/>
                <w:szCs w:val="22"/>
                <w:highlight w:val="none"/>
                <w:lang w:val="en-US" w:eastAsia="zh-CN"/>
              </w:rPr>
              <w:t>本项目为特种玻璃制造，</w:t>
            </w:r>
            <w:r>
              <w:rPr>
                <w:rFonts w:hint="eastAsia" w:ascii="Times New Roman" w:hAnsi="Times New Roman" w:eastAsia="宋体" w:cs="Times New Roman"/>
                <w:bCs/>
                <w:color w:val="auto"/>
                <w:sz w:val="22"/>
                <w:szCs w:val="22"/>
                <w:highlight w:val="none"/>
                <w:lang w:val="en-US" w:eastAsia="zh-CN"/>
              </w:rPr>
              <w:t>在两块玻璃之间夹进一层PVB胶片，进一步加工为夹层玻璃。根据产品需求，对</w:t>
            </w:r>
            <w:r>
              <w:rPr>
                <w:rFonts w:hint="eastAsia" w:eastAsia="宋体" w:cs="Times New Roman"/>
                <w:b w:val="0"/>
                <w:bCs w:val="0"/>
                <w:color w:val="auto"/>
                <w:kern w:val="2"/>
                <w:sz w:val="22"/>
                <w:szCs w:val="22"/>
                <w:highlight w:val="none"/>
                <w:lang w:val="en-US" w:eastAsia="zh-CN" w:bidi="ar-SA"/>
              </w:rPr>
              <w:t>30%夹层玻璃进行喷漆处理</w:t>
            </w:r>
            <w:r>
              <w:rPr>
                <w:rFonts w:hint="eastAsia" w:ascii="Times New Roman" w:hAnsi="Times New Roman" w:eastAsia="宋体" w:cs="Times New Roman"/>
                <w:color w:val="auto"/>
                <w:kern w:val="2"/>
                <w:sz w:val="22"/>
                <w:szCs w:val="22"/>
                <w:highlight w:val="none"/>
                <w:lang w:val="en-US" w:eastAsia="zh-CN" w:bidi="ar-SA"/>
              </w:rPr>
              <w:t>。调漆、喷漆、晾干均在密闭空间内进行，</w:t>
            </w:r>
            <w:r>
              <w:rPr>
                <w:rFonts w:hint="default" w:ascii="Times New Roman" w:hAnsi="Times New Roman" w:cs="Times New Roman"/>
                <w:b w:val="0"/>
                <w:bCs w:val="0"/>
                <w:color w:val="auto"/>
                <w:sz w:val="22"/>
                <w:szCs w:val="22"/>
                <w:highlight w:val="none"/>
                <w:lang w:eastAsia="zh-CN"/>
              </w:rPr>
              <w:t>在采取相关环保措施后，各污染物均能达标排放。</w:t>
            </w:r>
          </w:p>
          <w:p>
            <w:pPr>
              <w:pStyle w:val="14"/>
              <w:spacing w:before="0" w:after="0" w:line="360" w:lineRule="auto"/>
              <w:ind w:right="0" w:firstLine="440" w:firstLineChars="200"/>
              <w:jc w:val="left"/>
              <w:rPr>
                <w:rFonts w:hint="default" w:ascii="Times New Roman" w:hAnsi="Times New Roman" w:cs="Times New Roman"/>
                <w:b w:val="0"/>
                <w:bCs w:val="0"/>
                <w:color w:val="auto"/>
                <w:sz w:val="22"/>
                <w:szCs w:val="22"/>
                <w:highlight w:val="none"/>
                <w:lang w:eastAsia="zh-CN"/>
              </w:rPr>
            </w:pPr>
            <w:r>
              <w:rPr>
                <w:rFonts w:hint="default" w:ascii="Times New Roman" w:hAnsi="Times New Roman" w:cs="Times New Roman"/>
                <w:b w:val="0"/>
                <w:bCs w:val="0"/>
                <w:color w:val="auto"/>
                <w:sz w:val="22"/>
                <w:szCs w:val="22"/>
                <w:highlight w:val="none"/>
                <w:lang w:eastAsia="zh-CN"/>
              </w:rPr>
              <w:t>②能源</w:t>
            </w:r>
          </w:p>
          <w:p>
            <w:pPr>
              <w:pStyle w:val="14"/>
              <w:spacing w:before="0" w:after="0" w:line="360" w:lineRule="auto"/>
              <w:ind w:right="0" w:firstLine="440" w:firstLineChars="200"/>
              <w:jc w:val="left"/>
              <w:rPr>
                <w:rFonts w:hint="default" w:ascii="Times New Roman" w:hAnsi="Times New Roman" w:cs="Times New Roman"/>
                <w:b w:val="0"/>
                <w:bCs w:val="0"/>
                <w:color w:val="auto"/>
                <w:sz w:val="22"/>
                <w:szCs w:val="22"/>
                <w:highlight w:val="none"/>
                <w:lang w:eastAsia="zh-CN"/>
              </w:rPr>
            </w:pPr>
            <w:r>
              <w:rPr>
                <w:rFonts w:hint="default" w:ascii="Times New Roman" w:hAnsi="Times New Roman" w:cs="Times New Roman"/>
                <w:b w:val="0"/>
                <w:bCs w:val="0"/>
                <w:color w:val="auto"/>
                <w:sz w:val="22"/>
                <w:szCs w:val="22"/>
                <w:highlight w:val="none"/>
                <w:lang w:eastAsia="zh-CN"/>
              </w:rPr>
              <w:t>项目</w:t>
            </w:r>
            <w:r>
              <w:rPr>
                <w:rFonts w:hint="eastAsia" w:ascii="Times New Roman" w:hAnsi="Times New Roman" w:cs="Times New Roman"/>
                <w:b w:val="0"/>
                <w:bCs w:val="0"/>
                <w:color w:val="auto"/>
                <w:sz w:val="22"/>
                <w:szCs w:val="22"/>
                <w:highlight w:val="none"/>
                <w:lang w:eastAsia="zh-CN"/>
              </w:rPr>
              <w:t>使用电能，</w:t>
            </w:r>
            <w:r>
              <w:rPr>
                <w:rFonts w:hint="default" w:ascii="Times New Roman" w:hAnsi="Times New Roman" w:cs="Times New Roman"/>
                <w:b w:val="0"/>
                <w:bCs w:val="0"/>
                <w:color w:val="auto"/>
                <w:sz w:val="22"/>
                <w:szCs w:val="22"/>
                <w:highlight w:val="none"/>
                <w:lang w:eastAsia="zh-CN"/>
              </w:rPr>
              <w:t>在选购生产设备和其它耗电、耗能设备时，按照国家节能要求，选择节能型产品，达到降低能耗的目的。</w:t>
            </w:r>
          </w:p>
          <w:p>
            <w:pPr>
              <w:pStyle w:val="14"/>
              <w:spacing w:before="0" w:after="0" w:line="360" w:lineRule="auto"/>
              <w:ind w:right="0" w:firstLine="440" w:firstLineChars="200"/>
              <w:jc w:val="left"/>
              <w:rPr>
                <w:rFonts w:hint="default" w:ascii="Times New Roman" w:hAnsi="Times New Roman" w:cs="Times New Roman"/>
                <w:b w:val="0"/>
                <w:bCs w:val="0"/>
                <w:color w:val="auto"/>
                <w:sz w:val="22"/>
                <w:szCs w:val="22"/>
                <w:highlight w:val="none"/>
                <w:lang w:eastAsia="zh-CN"/>
              </w:rPr>
            </w:pPr>
            <w:r>
              <w:rPr>
                <w:rFonts w:hint="default" w:ascii="Times New Roman" w:hAnsi="Times New Roman" w:cs="Times New Roman"/>
                <w:b w:val="0"/>
                <w:bCs w:val="0"/>
                <w:color w:val="auto"/>
                <w:sz w:val="22"/>
                <w:szCs w:val="22"/>
                <w:highlight w:val="none"/>
                <w:lang w:val="en-US" w:eastAsia="zh-CN"/>
              </w:rPr>
              <w:t>（2）</w:t>
            </w:r>
            <w:r>
              <w:rPr>
                <w:rFonts w:hint="default" w:ascii="Times New Roman" w:hAnsi="Times New Roman" w:cs="Times New Roman"/>
                <w:b w:val="0"/>
                <w:bCs w:val="0"/>
                <w:color w:val="auto"/>
                <w:sz w:val="22"/>
                <w:szCs w:val="22"/>
                <w:highlight w:val="none"/>
                <w:lang w:eastAsia="zh-CN"/>
              </w:rPr>
              <w:t>产品指标</w:t>
            </w:r>
          </w:p>
          <w:p>
            <w:pPr>
              <w:pStyle w:val="14"/>
              <w:spacing w:before="0" w:after="0" w:line="360" w:lineRule="auto"/>
              <w:ind w:right="0" w:firstLine="440" w:firstLineChars="200"/>
              <w:jc w:val="left"/>
              <w:rPr>
                <w:rFonts w:hint="default" w:ascii="Times New Roman" w:hAnsi="Times New Roman" w:cs="Times New Roman"/>
                <w:bCs/>
                <w:color w:val="auto"/>
                <w:sz w:val="22"/>
                <w:szCs w:val="22"/>
                <w:highlight w:val="none"/>
                <w:lang w:val="en-US" w:eastAsia="zh-CN"/>
              </w:rPr>
            </w:pPr>
            <w:r>
              <w:rPr>
                <w:rFonts w:hint="default" w:ascii="Times New Roman" w:hAnsi="Times New Roman" w:cs="Times New Roman"/>
                <w:bCs/>
                <w:color w:val="auto"/>
                <w:sz w:val="22"/>
                <w:szCs w:val="22"/>
                <w:highlight w:val="none"/>
                <w:lang w:val="en-US" w:eastAsia="zh-CN"/>
              </w:rPr>
              <w:t>本项目产品为</w:t>
            </w:r>
            <w:r>
              <w:rPr>
                <w:rFonts w:hint="eastAsia" w:ascii="Times New Roman" w:hAnsi="Times New Roman" w:cs="Times New Roman"/>
                <w:bCs/>
                <w:color w:val="auto"/>
                <w:sz w:val="22"/>
                <w:szCs w:val="22"/>
                <w:highlight w:val="none"/>
                <w:lang w:val="en-US" w:eastAsia="zh-CN"/>
              </w:rPr>
              <w:t>特种玻璃（夹层玻璃）</w:t>
            </w:r>
            <w:r>
              <w:rPr>
                <w:rFonts w:hint="default" w:ascii="Times New Roman" w:hAnsi="Times New Roman" w:cs="Times New Roman"/>
                <w:bCs/>
                <w:color w:val="auto"/>
                <w:sz w:val="22"/>
                <w:szCs w:val="22"/>
                <w:highlight w:val="none"/>
                <w:lang w:val="en-US" w:eastAsia="zh-CN"/>
              </w:rPr>
              <w:t>，符合国家产业政策和市场需求，在产品销售、使用过程中，企业应加强管理，从原料源头至产品运输、销售过程当中都应注重回收利用、循环利用，减少对环境产生的不利影响。</w:t>
            </w:r>
          </w:p>
          <w:p>
            <w:pPr>
              <w:pStyle w:val="14"/>
              <w:spacing w:before="0" w:after="0" w:line="360" w:lineRule="auto"/>
              <w:ind w:right="0" w:firstLine="440" w:firstLineChars="200"/>
              <w:jc w:val="left"/>
              <w:rPr>
                <w:rFonts w:hint="default" w:ascii="Times New Roman" w:hAnsi="Times New Roman" w:cs="Times New Roman"/>
                <w:bCs/>
                <w:color w:val="auto"/>
                <w:sz w:val="22"/>
                <w:szCs w:val="22"/>
                <w:highlight w:val="none"/>
                <w:lang w:val="en-US" w:eastAsia="zh-CN"/>
              </w:rPr>
            </w:pPr>
            <w:r>
              <w:rPr>
                <w:rFonts w:hint="default" w:ascii="Times New Roman" w:hAnsi="Times New Roman" w:cs="Times New Roman"/>
                <w:bCs/>
                <w:color w:val="auto"/>
                <w:sz w:val="22"/>
                <w:szCs w:val="22"/>
                <w:highlight w:val="none"/>
                <w:lang w:val="en-US" w:eastAsia="zh-CN"/>
              </w:rPr>
              <w:t>（3）生产工艺与设备先进性</w:t>
            </w:r>
          </w:p>
          <w:p>
            <w:pPr>
              <w:pStyle w:val="14"/>
              <w:spacing w:before="0" w:after="0" w:line="360" w:lineRule="auto"/>
              <w:ind w:right="0" w:firstLine="440" w:firstLineChars="200"/>
              <w:jc w:val="left"/>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cs="Times New Roman"/>
                <w:bCs/>
                <w:color w:val="auto"/>
                <w:sz w:val="22"/>
                <w:szCs w:val="22"/>
                <w:highlight w:val="none"/>
                <w:lang w:val="en-US" w:eastAsia="zh-CN"/>
              </w:rPr>
              <w:t>项目选择先进的环保设备</w:t>
            </w:r>
            <w:r>
              <w:rPr>
                <w:rFonts w:hint="eastAsia" w:ascii="Times New Roman" w:hAnsi="Times New Roman" w:cs="Times New Roman"/>
                <w:bCs/>
                <w:color w:val="auto"/>
                <w:sz w:val="22"/>
                <w:szCs w:val="22"/>
                <w:highlight w:val="none"/>
                <w:lang w:val="en-US" w:eastAsia="zh-CN"/>
              </w:rPr>
              <w:t>，外购玻璃原片，</w:t>
            </w:r>
            <w:r>
              <w:rPr>
                <w:rFonts w:hint="eastAsia" w:ascii="Times New Roman" w:hAnsi="Times New Roman" w:eastAsia="宋体" w:cs="Times New Roman"/>
                <w:bCs/>
                <w:color w:val="auto"/>
                <w:sz w:val="22"/>
                <w:szCs w:val="22"/>
                <w:highlight w:val="none"/>
                <w:lang w:val="en-US" w:eastAsia="zh-CN"/>
              </w:rPr>
              <w:t>在两块玻璃之间夹进一层PVB胶片，</w:t>
            </w:r>
            <w:r>
              <w:rPr>
                <w:rFonts w:hint="eastAsia" w:ascii="Times New Roman" w:hAnsi="Times New Roman" w:eastAsia="宋体" w:cs="Times New Roman"/>
                <w:color w:val="auto"/>
                <w:kern w:val="2"/>
                <w:sz w:val="22"/>
                <w:szCs w:val="22"/>
                <w:highlight w:val="none"/>
                <w:lang w:val="en-US" w:eastAsia="zh-CN" w:bidi="ar-SA"/>
              </w:rPr>
              <w:t>经高温高压釜处理形成夹层玻璃。同时调漆、喷漆、晾干均在密闭空间内进行，废气经“水帘柜+干式过滤+两级活性炭”处理后通过1根15m排气筒（DA001）排放。</w:t>
            </w:r>
          </w:p>
          <w:p>
            <w:pPr>
              <w:pStyle w:val="14"/>
              <w:spacing w:before="0" w:after="0" w:line="360" w:lineRule="auto"/>
              <w:ind w:right="0" w:firstLine="442" w:firstLineChars="200"/>
              <w:jc w:val="left"/>
              <w:rPr>
                <w:rFonts w:hint="default" w:ascii="Times New Roman" w:hAnsi="Times New Roman" w:cs="Times New Roman"/>
                <w:b/>
                <w:bCs w:val="0"/>
                <w:color w:val="auto"/>
                <w:sz w:val="22"/>
                <w:szCs w:val="22"/>
                <w:highlight w:val="none"/>
                <w:lang w:val="en-US" w:eastAsia="zh-CN"/>
              </w:rPr>
            </w:pPr>
            <w:r>
              <w:rPr>
                <w:rFonts w:hint="eastAsia" w:ascii="Times New Roman" w:hAnsi="Times New Roman" w:cs="Times New Roman"/>
                <w:b/>
                <w:bCs w:val="0"/>
                <w:color w:val="auto"/>
                <w:sz w:val="22"/>
                <w:szCs w:val="22"/>
                <w:highlight w:val="none"/>
                <w:lang w:val="en-US" w:eastAsia="zh-CN"/>
              </w:rPr>
              <w:t>2.6</w:t>
            </w:r>
            <w:r>
              <w:rPr>
                <w:rFonts w:hint="default" w:ascii="Times New Roman" w:hAnsi="Times New Roman" w:cs="Times New Roman"/>
                <w:b/>
                <w:bCs w:val="0"/>
                <w:color w:val="auto"/>
                <w:sz w:val="22"/>
                <w:szCs w:val="22"/>
                <w:highlight w:val="none"/>
                <w:lang w:val="en-US" w:eastAsia="zh-CN"/>
              </w:rPr>
              <w:t>.3能源的节约措施</w:t>
            </w:r>
          </w:p>
          <w:p>
            <w:pPr>
              <w:pStyle w:val="14"/>
              <w:spacing w:before="0" w:after="0" w:line="360" w:lineRule="auto"/>
              <w:ind w:right="0" w:firstLine="440" w:firstLineChars="200"/>
              <w:jc w:val="left"/>
              <w:rPr>
                <w:rFonts w:hint="default" w:ascii="Times New Roman" w:hAnsi="Times New Roman" w:cs="Times New Roman"/>
                <w:bCs/>
                <w:color w:val="auto"/>
                <w:sz w:val="22"/>
                <w:szCs w:val="22"/>
                <w:highlight w:val="none"/>
                <w:lang w:val="en-US" w:eastAsia="zh-CN"/>
              </w:rPr>
            </w:pPr>
            <w:r>
              <w:rPr>
                <w:rFonts w:hint="eastAsia" w:ascii="Times New Roman" w:hAnsi="Times New Roman" w:cs="Times New Roman"/>
                <w:bCs/>
                <w:color w:val="auto"/>
                <w:sz w:val="22"/>
                <w:szCs w:val="22"/>
                <w:highlight w:val="none"/>
                <w:lang w:val="en-US" w:eastAsia="zh-CN"/>
              </w:rPr>
              <w:t>（1）</w:t>
            </w:r>
            <w:r>
              <w:rPr>
                <w:rFonts w:hint="default" w:ascii="Times New Roman" w:hAnsi="Times New Roman" w:cs="Times New Roman"/>
                <w:bCs/>
                <w:color w:val="auto"/>
                <w:sz w:val="22"/>
                <w:szCs w:val="22"/>
                <w:highlight w:val="none"/>
                <w:lang w:val="en-US" w:eastAsia="zh-CN"/>
              </w:rPr>
              <w:t>各专业采购的新设备类型全部选择节能、环保型产品。</w:t>
            </w:r>
          </w:p>
          <w:p>
            <w:pPr>
              <w:pStyle w:val="14"/>
              <w:spacing w:before="0" w:after="0" w:line="360" w:lineRule="auto"/>
              <w:ind w:right="0" w:firstLine="440" w:firstLineChars="200"/>
              <w:jc w:val="left"/>
              <w:rPr>
                <w:rFonts w:hint="default" w:ascii="Times New Roman" w:hAnsi="Times New Roman" w:cs="Times New Roman"/>
                <w:bCs/>
                <w:color w:val="auto"/>
                <w:sz w:val="22"/>
                <w:szCs w:val="22"/>
                <w:highlight w:val="none"/>
                <w:lang w:val="en-US" w:eastAsia="zh-CN"/>
              </w:rPr>
            </w:pPr>
            <w:r>
              <w:rPr>
                <w:rFonts w:hint="eastAsia" w:ascii="Times New Roman" w:hAnsi="Times New Roman" w:cs="Times New Roman"/>
                <w:bCs/>
                <w:color w:val="auto"/>
                <w:sz w:val="22"/>
                <w:szCs w:val="22"/>
                <w:highlight w:val="none"/>
                <w:lang w:val="en-US" w:eastAsia="zh-CN"/>
              </w:rPr>
              <w:t>（2）</w:t>
            </w:r>
            <w:r>
              <w:rPr>
                <w:rFonts w:hint="default" w:ascii="Times New Roman" w:hAnsi="Times New Roman" w:cs="Times New Roman"/>
                <w:bCs/>
                <w:color w:val="auto"/>
                <w:sz w:val="22"/>
                <w:szCs w:val="22"/>
                <w:highlight w:val="none"/>
                <w:lang w:val="en-US" w:eastAsia="zh-CN"/>
              </w:rPr>
              <w:t>加强企业管理，做好水、电线路的维护检修，杜绝能源无辜浪费现象。</w:t>
            </w:r>
          </w:p>
          <w:p>
            <w:pPr>
              <w:pStyle w:val="14"/>
              <w:spacing w:before="0" w:after="0" w:line="360" w:lineRule="auto"/>
              <w:ind w:right="0" w:firstLine="442" w:firstLineChars="200"/>
              <w:jc w:val="left"/>
              <w:rPr>
                <w:rFonts w:hint="default" w:ascii="Times New Roman" w:hAnsi="Times New Roman" w:cs="Times New Roman"/>
                <w:b/>
                <w:bCs w:val="0"/>
                <w:color w:val="auto"/>
                <w:sz w:val="22"/>
                <w:szCs w:val="22"/>
                <w:highlight w:val="none"/>
                <w:lang w:val="en-US" w:eastAsia="zh-CN"/>
              </w:rPr>
            </w:pPr>
            <w:r>
              <w:rPr>
                <w:rFonts w:hint="eastAsia" w:ascii="Times New Roman" w:hAnsi="Times New Roman" w:cs="Times New Roman"/>
                <w:b/>
                <w:bCs w:val="0"/>
                <w:color w:val="auto"/>
                <w:sz w:val="22"/>
                <w:szCs w:val="22"/>
                <w:highlight w:val="none"/>
                <w:lang w:val="en-US" w:eastAsia="zh-CN"/>
              </w:rPr>
              <w:t>2.6</w:t>
            </w:r>
            <w:r>
              <w:rPr>
                <w:rFonts w:hint="default" w:ascii="Times New Roman" w:hAnsi="Times New Roman" w:cs="Times New Roman"/>
                <w:b/>
                <w:bCs w:val="0"/>
                <w:color w:val="auto"/>
                <w:sz w:val="22"/>
                <w:szCs w:val="22"/>
                <w:highlight w:val="none"/>
                <w:lang w:val="en-US" w:eastAsia="zh-CN"/>
              </w:rPr>
              <w:t>.</w:t>
            </w:r>
            <w:r>
              <w:rPr>
                <w:rFonts w:hint="eastAsia" w:ascii="Times New Roman" w:hAnsi="Times New Roman" w:cs="Times New Roman"/>
                <w:b/>
                <w:bCs w:val="0"/>
                <w:color w:val="auto"/>
                <w:sz w:val="22"/>
                <w:szCs w:val="22"/>
                <w:highlight w:val="none"/>
                <w:lang w:val="en-US" w:eastAsia="zh-CN"/>
              </w:rPr>
              <w:t>4</w:t>
            </w:r>
            <w:r>
              <w:rPr>
                <w:rFonts w:hint="default" w:ascii="Times New Roman" w:hAnsi="Times New Roman" w:cs="Times New Roman"/>
                <w:b/>
                <w:bCs w:val="0"/>
                <w:color w:val="auto"/>
                <w:sz w:val="22"/>
                <w:szCs w:val="22"/>
                <w:highlight w:val="none"/>
                <w:lang w:val="en-US" w:eastAsia="zh-CN"/>
              </w:rPr>
              <w:t>清洁生产结论与建议</w:t>
            </w:r>
          </w:p>
          <w:p>
            <w:pPr>
              <w:pStyle w:val="14"/>
              <w:spacing w:before="0" w:after="0" w:line="360" w:lineRule="auto"/>
              <w:ind w:right="0" w:firstLine="440" w:firstLineChars="200"/>
              <w:jc w:val="left"/>
              <w:rPr>
                <w:rFonts w:hint="default" w:ascii="Times New Roman" w:hAnsi="Times New Roman" w:cs="Times New Roman"/>
                <w:bCs/>
                <w:color w:val="auto"/>
                <w:sz w:val="22"/>
                <w:szCs w:val="22"/>
                <w:highlight w:val="none"/>
                <w:lang w:val="en-US" w:eastAsia="zh-CN"/>
              </w:rPr>
            </w:pPr>
            <w:r>
              <w:rPr>
                <w:rFonts w:hint="default" w:ascii="Times New Roman" w:hAnsi="Times New Roman" w:cs="Times New Roman"/>
                <w:bCs/>
                <w:color w:val="auto"/>
                <w:sz w:val="22"/>
                <w:szCs w:val="22"/>
                <w:highlight w:val="none"/>
                <w:lang w:val="en-US" w:eastAsia="zh-CN"/>
              </w:rPr>
              <w:t>（1）清洁生产结论</w:t>
            </w:r>
          </w:p>
          <w:p>
            <w:pPr>
              <w:pStyle w:val="14"/>
              <w:spacing w:before="0" w:after="0" w:line="360" w:lineRule="auto"/>
              <w:ind w:right="0" w:firstLine="440" w:firstLineChars="200"/>
              <w:jc w:val="left"/>
              <w:rPr>
                <w:rFonts w:hint="default" w:ascii="Times New Roman" w:hAnsi="Times New Roman" w:cs="Times New Roman"/>
                <w:bCs/>
                <w:color w:val="auto"/>
                <w:sz w:val="22"/>
                <w:szCs w:val="22"/>
                <w:highlight w:val="none"/>
                <w:lang w:val="en-US" w:eastAsia="zh-CN"/>
              </w:rPr>
            </w:pPr>
            <w:r>
              <w:rPr>
                <w:rFonts w:hint="default" w:ascii="Times New Roman" w:hAnsi="Times New Roman" w:cs="Times New Roman"/>
                <w:bCs/>
                <w:color w:val="auto"/>
                <w:sz w:val="22"/>
                <w:szCs w:val="22"/>
                <w:highlight w:val="none"/>
                <w:lang w:val="en-US" w:eastAsia="zh-CN"/>
              </w:rPr>
              <w:t>综上所述，拟建项目在工艺技术方案选择及装备的配置过程中，以可靠、成熟和节能为宗旨，各污染物在采取措施后均能达标排放，符合国家清洁生产要求。</w:t>
            </w:r>
          </w:p>
          <w:p>
            <w:pPr>
              <w:pStyle w:val="14"/>
              <w:spacing w:before="0" w:after="0" w:line="360" w:lineRule="auto"/>
              <w:ind w:right="0" w:firstLine="440" w:firstLineChars="200"/>
              <w:jc w:val="left"/>
              <w:rPr>
                <w:rFonts w:hint="default" w:ascii="Times New Roman" w:hAnsi="Times New Roman" w:cs="Times New Roman"/>
                <w:bCs/>
                <w:color w:val="auto"/>
                <w:sz w:val="22"/>
                <w:szCs w:val="22"/>
                <w:highlight w:val="none"/>
                <w:lang w:val="en-US" w:eastAsia="zh-CN"/>
              </w:rPr>
            </w:pPr>
            <w:r>
              <w:rPr>
                <w:rFonts w:hint="default" w:ascii="Times New Roman" w:hAnsi="Times New Roman" w:cs="Times New Roman"/>
                <w:bCs/>
                <w:color w:val="auto"/>
                <w:sz w:val="22"/>
                <w:szCs w:val="22"/>
                <w:highlight w:val="none"/>
                <w:lang w:val="en-US" w:eastAsia="zh-CN"/>
              </w:rPr>
              <w:t>（2）建议</w:t>
            </w:r>
          </w:p>
          <w:p>
            <w:pPr>
              <w:pStyle w:val="14"/>
              <w:spacing w:before="0" w:after="0" w:line="360" w:lineRule="auto"/>
              <w:ind w:right="0" w:firstLine="440" w:firstLineChars="200"/>
              <w:jc w:val="left"/>
              <w:rPr>
                <w:rFonts w:hint="default" w:ascii="Times New Roman" w:hAnsi="Times New Roman" w:cs="Times New Roman"/>
                <w:bCs/>
                <w:color w:val="auto"/>
                <w:sz w:val="22"/>
                <w:szCs w:val="22"/>
                <w:highlight w:val="none"/>
                <w:lang w:val="en-US" w:eastAsia="zh-CN"/>
              </w:rPr>
            </w:pPr>
            <w:r>
              <w:rPr>
                <w:rFonts w:hint="default" w:ascii="Times New Roman" w:hAnsi="Times New Roman" w:cs="Times New Roman"/>
                <w:bCs/>
                <w:color w:val="auto"/>
                <w:sz w:val="22"/>
                <w:szCs w:val="22"/>
                <w:highlight w:val="none"/>
                <w:lang w:val="en-US" w:eastAsia="zh-CN"/>
              </w:rPr>
              <w:t>①建立企业内部质量管理体系，强化企业管理。</w:t>
            </w:r>
          </w:p>
          <w:p>
            <w:pPr>
              <w:pStyle w:val="14"/>
              <w:spacing w:before="0" w:after="0" w:line="360" w:lineRule="auto"/>
              <w:ind w:right="0" w:firstLine="440" w:firstLineChars="200"/>
              <w:jc w:val="left"/>
              <w:rPr>
                <w:rFonts w:hint="default" w:ascii="Times New Roman" w:hAnsi="Times New Roman" w:eastAsia="宋体" w:cs="Times New Roman"/>
                <w:bCs/>
                <w:color w:val="auto"/>
                <w:szCs w:val="21"/>
                <w:highlight w:val="none"/>
                <w:lang w:val="en-US" w:eastAsia="zh-CN"/>
              </w:rPr>
            </w:pPr>
            <w:r>
              <w:rPr>
                <w:rFonts w:hint="default" w:ascii="Times New Roman" w:hAnsi="Times New Roman" w:cs="Times New Roman"/>
                <w:bCs/>
                <w:color w:val="auto"/>
                <w:sz w:val="22"/>
                <w:szCs w:val="22"/>
                <w:highlight w:val="none"/>
                <w:lang w:val="en-US" w:eastAsia="zh-CN"/>
              </w:rPr>
              <w:t>②合理选用、严格管理原辅材料。</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46" w:hRule="atLeast"/>
          <w:jc w:val="center"/>
        </w:trPr>
        <w:tc>
          <w:tcPr>
            <w:tcW w:w="823" w:type="dxa"/>
            <w:noWrap w:val="0"/>
            <w:vAlign w:val="center"/>
          </w:tcPr>
          <w:p>
            <w:pPr>
              <w:pStyle w:val="37"/>
              <w:adjustRightInd w:val="0"/>
              <w:snapToGrid w:val="0"/>
              <w:spacing w:before="0" w:beforeAutospacing="0" w:after="0" w:afterAutospacing="0"/>
              <w:jc w:val="center"/>
              <w:rPr>
                <w:rFonts w:hint="default" w:ascii="Times New Roman" w:hAnsi="Times New Roman" w:cs="Times New Roman"/>
                <w:color w:val="auto"/>
                <w:sz w:val="21"/>
                <w:szCs w:val="21"/>
                <w:highlight w:val="none"/>
              </w:rPr>
            </w:pPr>
            <w:r>
              <w:rPr>
                <w:rFonts w:hint="default" w:ascii="Times New Roman" w:hAnsi="Times New Roman" w:cs="Times New Roman"/>
                <w:bCs/>
                <w:color w:val="auto"/>
                <w:kern w:val="2"/>
                <w:sz w:val="21"/>
                <w:szCs w:val="21"/>
                <w:highlight w:val="none"/>
              </w:rPr>
              <w:t>与项目有关的原有环境污染问题</w:t>
            </w:r>
          </w:p>
        </w:tc>
        <w:tc>
          <w:tcPr>
            <w:tcW w:w="8161"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uto"/>
              <w:ind w:firstLine="440" w:firstLineChars="200"/>
              <w:jc w:val="left"/>
              <w:textAlignment w:val="auto"/>
              <w:outlineLvl w:val="9"/>
              <w:rPr>
                <w:rFonts w:hint="eastAsia" w:ascii="Times New Roman" w:hAnsi="Times New Roman" w:cs="Times New Roman"/>
                <w:bCs/>
                <w:color w:val="auto"/>
                <w:sz w:val="22"/>
                <w:szCs w:val="22"/>
                <w:highlight w:val="none"/>
                <w:lang w:val="en-US" w:eastAsia="zh-CN"/>
              </w:rPr>
            </w:pPr>
            <w:r>
              <w:rPr>
                <w:rFonts w:hint="eastAsia" w:ascii="Times New Roman" w:hAnsi="Times New Roman" w:cs="Times New Roman"/>
                <w:bCs/>
                <w:color w:val="auto"/>
                <w:sz w:val="22"/>
                <w:szCs w:val="22"/>
                <w:highlight w:val="none"/>
                <w:lang w:val="en-US" w:eastAsia="zh-CN"/>
              </w:rPr>
              <w:t>经项目现场踏勘，拟建场地为空地，本项目为新建项目，项目所在地无遗留环境问题，无原有污染情况及主要环境问题。</w:t>
            </w:r>
          </w:p>
          <w:p>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outlineLvl w:val="9"/>
              <w:rPr>
                <w:rFonts w:hint="eastAsia" w:eastAsia="宋体"/>
                <w:lang w:eastAsia="zh-CN"/>
              </w:rPr>
            </w:pPr>
            <w:r>
              <w:rPr>
                <w:rFonts w:hint="eastAsia" w:eastAsia="宋体"/>
                <w:lang w:eastAsia="zh-CN"/>
              </w:rPr>
              <w:drawing>
                <wp:inline distT="0" distB="0" distL="114300" distR="114300">
                  <wp:extent cx="4867275" cy="2670175"/>
                  <wp:effectExtent l="0" t="0" r="9525" b="15875"/>
                  <wp:docPr id="5" name="图片 23"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3" descr="11"/>
                          <pic:cNvPicPr>
                            <a:picLocks noChangeAspect="1"/>
                          </pic:cNvPicPr>
                        </pic:nvPicPr>
                        <pic:blipFill>
                          <a:blip r:embed="rId32"/>
                          <a:srcRect t="3726"/>
                          <a:stretch>
                            <a:fillRect/>
                          </a:stretch>
                        </pic:blipFill>
                        <pic:spPr>
                          <a:xfrm>
                            <a:off x="0" y="0"/>
                            <a:ext cx="4867275" cy="26701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outlineLvl w:val="9"/>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
                <w:color w:val="auto"/>
                <w:szCs w:val="21"/>
                <w:highlight w:val="none"/>
                <w:lang w:val="en-US" w:eastAsia="zh-CN"/>
              </w:rPr>
              <w:t>图2-4 项目拟建场地</w:t>
            </w:r>
          </w:p>
        </w:tc>
      </w:tr>
    </w:tbl>
    <w:p>
      <w:pPr>
        <w:pStyle w:val="37"/>
        <w:jc w:val="center"/>
        <w:rPr>
          <w:rFonts w:hint="default" w:ascii="Times New Roman" w:hAnsi="Times New Roman" w:eastAsia="黑体" w:cs="Times New Roman"/>
          <w:snapToGrid w:val="0"/>
          <w:color w:val="auto"/>
          <w:sz w:val="36"/>
          <w:szCs w:val="36"/>
          <w:highlight w:val="none"/>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37"/>
        <w:adjustRightInd w:val="0"/>
        <w:snapToGrid w:val="0"/>
        <w:spacing w:before="0" w:beforeAutospacing="0" w:after="0" w:afterAutospacing="0" w:line="14" w:lineRule="auto"/>
        <w:jc w:val="center"/>
        <w:outlineLvl w:val="0"/>
        <w:rPr>
          <w:rFonts w:hint="default" w:ascii="Times New Roman" w:hAnsi="Times New Roman" w:eastAsia="黑体" w:cs="Times New Roman"/>
          <w:snapToGrid w:val="0"/>
          <w:color w:val="auto"/>
          <w:sz w:val="30"/>
          <w:szCs w:val="30"/>
          <w:highlight w:val="none"/>
        </w:rPr>
      </w:pPr>
    </w:p>
    <w:p>
      <w:pPr>
        <w:pStyle w:val="37"/>
        <w:jc w:val="center"/>
        <w:outlineLvl w:val="0"/>
        <w:rPr>
          <w:rFonts w:hint="default" w:ascii="Times New Roman" w:hAnsi="Times New Roman" w:eastAsia="黑体" w:cs="Times New Roman"/>
          <w:snapToGrid w:val="0"/>
          <w:color w:val="auto"/>
          <w:sz w:val="30"/>
          <w:szCs w:val="30"/>
          <w:highlight w:val="none"/>
        </w:rPr>
      </w:pPr>
      <w:r>
        <w:rPr>
          <w:rFonts w:hint="default" w:ascii="Times New Roman" w:hAnsi="Times New Roman" w:eastAsia="黑体" w:cs="Times New Roman"/>
          <w:snapToGrid w:val="0"/>
          <w:color w:val="auto"/>
          <w:sz w:val="30"/>
          <w:szCs w:val="30"/>
          <w:highlight w:val="none"/>
        </w:rPr>
        <w:t>三、区域环境质量现状、环境保护目标及评价标准</w:t>
      </w:r>
    </w:p>
    <w:tbl>
      <w:tblPr>
        <w:tblStyle w:val="4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228" w:hRule="atLeast"/>
          <w:jc w:val="center"/>
        </w:trPr>
        <w:tc>
          <w:tcPr>
            <w:tcW w:w="800" w:type="dxa"/>
            <w:noWrap w:val="0"/>
            <w:vAlign w:val="center"/>
          </w:tcPr>
          <w:p>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区域</w:t>
            </w:r>
          </w:p>
          <w:p>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环境</w:t>
            </w:r>
          </w:p>
          <w:p>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质量</w:t>
            </w:r>
          </w:p>
          <w:p>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现状</w:t>
            </w:r>
          </w:p>
        </w:tc>
        <w:tc>
          <w:tcPr>
            <w:tcW w:w="8190" w:type="dxa"/>
            <w:noWrap w:val="0"/>
            <w:vAlign w:val="center"/>
          </w:tcPr>
          <w:p>
            <w:pPr>
              <w:pStyle w:val="14"/>
              <w:spacing w:before="0" w:after="0" w:line="360" w:lineRule="auto"/>
              <w:ind w:right="0" w:firstLine="442" w:firstLineChars="200"/>
              <w:jc w:val="left"/>
              <w:rPr>
                <w:rFonts w:hint="default" w:ascii="Times New Roman" w:hAnsi="Times New Roman" w:cs="Times New Roman"/>
                <w:b/>
                <w:bCs w:val="0"/>
                <w:color w:val="auto"/>
                <w:sz w:val="22"/>
                <w:szCs w:val="22"/>
                <w:highlight w:val="none"/>
                <w:lang w:val="en-US" w:eastAsia="zh-CN"/>
              </w:rPr>
            </w:pPr>
            <w:bookmarkStart w:id="6" w:name="_Toc3331"/>
            <w:bookmarkStart w:id="7" w:name="_Toc7810"/>
            <w:r>
              <w:rPr>
                <w:rFonts w:hint="default" w:ascii="Times New Roman" w:hAnsi="Times New Roman" w:cs="Times New Roman"/>
                <w:b/>
                <w:bCs w:val="0"/>
                <w:color w:val="auto"/>
                <w:sz w:val="22"/>
                <w:szCs w:val="22"/>
                <w:highlight w:val="none"/>
                <w:lang w:val="en-US" w:eastAsia="zh-CN"/>
              </w:rPr>
              <w:t>1、大气环境</w:t>
            </w:r>
          </w:p>
          <w:p>
            <w:pPr>
              <w:pStyle w:val="14"/>
              <w:spacing w:before="0" w:after="0" w:line="360" w:lineRule="auto"/>
              <w:ind w:right="0" w:firstLine="442" w:firstLineChars="200"/>
              <w:jc w:val="left"/>
              <w:rPr>
                <w:rFonts w:hint="default" w:ascii="Times New Roman" w:hAnsi="Times New Roman" w:cs="Times New Roman"/>
                <w:b/>
                <w:bCs w:val="0"/>
                <w:color w:val="auto"/>
                <w:sz w:val="22"/>
                <w:szCs w:val="22"/>
                <w:highlight w:val="none"/>
                <w:lang w:val="en-US" w:eastAsia="zh-CN"/>
              </w:rPr>
            </w:pPr>
            <w:r>
              <w:rPr>
                <w:rFonts w:hint="default" w:ascii="Times New Roman" w:hAnsi="Times New Roman" w:cs="Times New Roman"/>
                <w:b/>
                <w:bCs w:val="0"/>
                <w:color w:val="auto"/>
                <w:sz w:val="22"/>
                <w:szCs w:val="22"/>
                <w:highlight w:val="none"/>
                <w:lang w:val="en-US" w:eastAsia="zh-CN"/>
              </w:rPr>
              <w:t>1.1区域环境质量达标状况</w:t>
            </w:r>
          </w:p>
          <w:p>
            <w:pPr>
              <w:keepNext w:val="0"/>
              <w:keepLines w:val="0"/>
              <w:widowControl/>
              <w:suppressLineNumbers w:val="0"/>
              <w:spacing w:line="360" w:lineRule="auto"/>
              <w:ind w:firstLine="440" w:firstLineChars="200"/>
              <w:jc w:val="left"/>
              <w:rPr>
                <w:rFonts w:hint="eastAsia" w:ascii="宋体" w:hAnsi="宋体" w:eastAsia="宋体" w:cs="宋体"/>
                <w:i w:val="0"/>
                <w:iCs w:val="0"/>
                <w:caps w:val="0"/>
                <w:color w:val="auto"/>
                <w:spacing w:val="0"/>
                <w:sz w:val="22"/>
                <w:szCs w:val="22"/>
                <w:shd w:val="clear" w:color="auto" w:fill="FFFFFF"/>
                <w:lang w:eastAsia="zh-CN"/>
              </w:rPr>
            </w:pPr>
            <w:r>
              <w:rPr>
                <w:rFonts w:hint="default" w:ascii="Times New Roman" w:hAnsi="Times New Roman" w:cs="Times New Roman"/>
                <w:bCs/>
                <w:color w:val="auto"/>
                <w:sz w:val="22"/>
                <w:szCs w:val="22"/>
                <w:highlight w:val="none"/>
                <w:lang w:val="en-US" w:eastAsia="zh-CN"/>
              </w:rPr>
              <w:t>本项目位于四川省乐山市</w:t>
            </w:r>
            <w:r>
              <w:rPr>
                <w:rFonts w:hint="eastAsia" w:ascii="Times New Roman" w:hAnsi="Times New Roman" w:cs="Times New Roman"/>
                <w:bCs/>
                <w:color w:val="auto"/>
                <w:sz w:val="22"/>
                <w:szCs w:val="22"/>
                <w:highlight w:val="none"/>
                <w:lang w:val="en-US" w:eastAsia="zh-CN"/>
              </w:rPr>
              <w:t>嘉州工业园水口园区内</w:t>
            </w:r>
            <w:r>
              <w:rPr>
                <w:rFonts w:hint="default" w:ascii="Times New Roman" w:hAnsi="Times New Roman" w:cs="Times New Roman"/>
                <w:bCs/>
                <w:color w:val="auto"/>
                <w:sz w:val="22"/>
                <w:szCs w:val="22"/>
                <w:highlight w:val="none"/>
                <w:lang w:val="en-US" w:eastAsia="zh-CN"/>
              </w:rPr>
              <w:t>，</w:t>
            </w:r>
            <w:r>
              <w:rPr>
                <w:rFonts w:hint="default" w:ascii="Times New Roman" w:hAnsi="Times New Roman" w:eastAsia="宋体" w:cs="Times New Roman"/>
                <w:bCs/>
                <w:color w:val="auto"/>
                <w:sz w:val="22"/>
                <w:szCs w:val="22"/>
                <w:highlight w:val="none"/>
                <w:lang w:val="en-US" w:eastAsia="zh-CN"/>
              </w:rPr>
              <w:t>根据</w:t>
            </w:r>
            <w:r>
              <w:rPr>
                <w:rFonts w:hint="eastAsia" w:ascii="宋体" w:hAnsi="宋体" w:cs="宋体"/>
                <w:color w:val="auto"/>
                <w:kern w:val="0"/>
                <w:sz w:val="22"/>
                <w:szCs w:val="22"/>
                <w:lang w:val="en-US" w:eastAsia="zh-CN"/>
              </w:rPr>
              <w:t>《乐山市污染防治攻坚战工作通报》</w:t>
            </w:r>
            <w:r>
              <w:rPr>
                <w:rFonts w:hint="default" w:ascii="Times New Roman" w:hAnsi="Times New Roman" w:cs="Times New Roman"/>
                <w:color w:val="auto"/>
                <w:kern w:val="0"/>
                <w:sz w:val="22"/>
                <w:szCs w:val="22"/>
                <w:lang w:val="en-US" w:eastAsia="zh-CN"/>
              </w:rPr>
              <w:t>2022</w:t>
            </w:r>
            <w:r>
              <w:rPr>
                <w:rFonts w:hint="eastAsia" w:ascii="宋体" w:hAnsi="宋体" w:cs="宋体"/>
                <w:color w:val="auto"/>
                <w:kern w:val="0"/>
                <w:sz w:val="22"/>
                <w:szCs w:val="22"/>
                <w:lang w:val="en-US" w:eastAsia="zh-CN"/>
              </w:rPr>
              <w:t>年第</w:t>
            </w:r>
            <w:r>
              <w:rPr>
                <w:rFonts w:hint="default" w:ascii="Times New Roman" w:hAnsi="Times New Roman" w:cs="Times New Roman"/>
                <w:color w:val="auto"/>
                <w:kern w:val="0"/>
                <w:sz w:val="22"/>
                <w:szCs w:val="22"/>
                <w:lang w:val="en-US" w:eastAsia="zh-CN"/>
              </w:rPr>
              <w:t>2</w:t>
            </w:r>
            <w:r>
              <w:rPr>
                <w:rFonts w:hint="eastAsia" w:ascii="宋体" w:hAnsi="宋体" w:cs="宋体"/>
                <w:color w:val="auto"/>
                <w:kern w:val="0"/>
                <w:sz w:val="22"/>
                <w:szCs w:val="22"/>
                <w:lang w:val="en-US" w:eastAsia="zh-CN"/>
              </w:rPr>
              <w:t>期</w:t>
            </w:r>
            <w:r>
              <w:rPr>
                <w:rFonts w:hint="eastAsia" w:ascii="宋体" w:hAnsi="宋体" w:eastAsia="宋体" w:cs="宋体"/>
                <w:color w:val="auto"/>
                <w:kern w:val="0"/>
                <w:sz w:val="22"/>
                <w:szCs w:val="22"/>
                <w:lang w:val="en-US" w:eastAsia="zh-CN"/>
              </w:rPr>
              <w:t>，</w:t>
            </w:r>
            <w:r>
              <w:rPr>
                <w:rFonts w:hint="default" w:ascii="Times New Roman" w:hAnsi="Times New Roman" w:eastAsia="宋体" w:cs="Times New Roman"/>
                <w:i w:val="0"/>
                <w:iCs w:val="0"/>
                <w:caps w:val="0"/>
                <w:color w:val="auto"/>
                <w:spacing w:val="0"/>
                <w:sz w:val="22"/>
                <w:szCs w:val="22"/>
                <w:shd w:val="clear" w:color="auto" w:fill="FFFFFF"/>
              </w:rPr>
              <w:t>202</w:t>
            </w:r>
            <w:r>
              <w:rPr>
                <w:rFonts w:hint="eastAsia" w:cs="Times New Roman"/>
                <w:i w:val="0"/>
                <w:iCs w:val="0"/>
                <w:caps w:val="0"/>
                <w:color w:val="auto"/>
                <w:spacing w:val="0"/>
                <w:sz w:val="22"/>
                <w:szCs w:val="22"/>
                <w:shd w:val="clear" w:color="auto" w:fill="FFFFFF"/>
                <w:lang w:val="en-US" w:eastAsia="zh-CN"/>
              </w:rPr>
              <w:t>1</w:t>
            </w:r>
            <w:r>
              <w:rPr>
                <w:rFonts w:hint="eastAsia" w:ascii="宋体" w:hAnsi="宋体" w:eastAsia="宋体" w:cs="宋体"/>
                <w:i w:val="0"/>
                <w:iCs w:val="0"/>
                <w:caps w:val="0"/>
                <w:color w:val="auto"/>
                <w:spacing w:val="0"/>
                <w:sz w:val="22"/>
                <w:szCs w:val="22"/>
                <w:shd w:val="clear" w:color="auto" w:fill="FFFFFF"/>
              </w:rPr>
              <w:t>年</w:t>
            </w:r>
            <w:r>
              <w:rPr>
                <w:rFonts w:hint="eastAsia" w:ascii="Times New Roman" w:hAnsi="Times New Roman" w:eastAsia="宋体" w:cs="Times New Roman"/>
                <w:bCs/>
                <w:color w:val="auto"/>
                <w:sz w:val="22"/>
                <w:szCs w:val="22"/>
                <w:highlight w:val="none"/>
                <w:lang w:val="en-US" w:eastAsia="zh-CN"/>
              </w:rPr>
              <w:t>（2021年1月1日—12月31日）</w:t>
            </w:r>
            <w:r>
              <w:rPr>
                <w:rFonts w:hint="eastAsia" w:ascii="宋体" w:hAnsi="宋体" w:eastAsia="宋体" w:cs="宋体"/>
                <w:b w:val="0"/>
                <w:bCs w:val="0"/>
                <w:i w:val="0"/>
                <w:iCs w:val="0"/>
                <w:caps w:val="0"/>
                <w:color w:val="auto"/>
                <w:spacing w:val="0"/>
                <w:sz w:val="22"/>
                <w:szCs w:val="22"/>
                <w:shd w:val="clear" w:color="auto" w:fill="FFFFFF"/>
              </w:rPr>
              <w:t>，</w:t>
            </w:r>
            <w:r>
              <w:rPr>
                <w:rFonts w:hint="eastAsia" w:ascii="宋体" w:hAnsi="宋体" w:eastAsia="宋体" w:cs="宋体"/>
                <w:b w:val="0"/>
                <w:bCs w:val="0"/>
                <w:color w:val="auto"/>
                <w:kern w:val="0"/>
                <w:sz w:val="22"/>
                <w:szCs w:val="22"/>
                <w:lang w:val="en-US" w:eastAsia="zh-CN" w:bidi="ar"/>
              </w:rPr>
              <w:t>乐山市主城区空气质量综合指数为</w:t>
            </w:r>
            <w:r>
              <w:rPr>
                <w:rFonts w:hint="default" w:ascii="Times New Roman" w:hAnsi="Times New Roman" w:eastAsia="宋体" w:cs="Times New Roman"/>
                <w:b w:val="0"/>
                <w:bCs w:val="0"/>
                <w:color w:val="auto"/>
                <w:kern w:val="0"/>
                <w:sz w:val="22"/>
                <w:szCs w:val="22"/>
                <w:lang w:val="en-US" w:eastAsia="zh-CN" w:bidi="ar"/>
              </w:rPr>
              <w:t>3.76</w:t>
            </w:r>
            <w:r>
              <w:rPr>
                <w:rFonts w:hint="eastAsia" w:ascii="宋体" w:hAnsi="宋体" w:eastAsia="宋体" w:cs="宋体"/>
                <w:b w:val="0"/>
                <w:bCs w:val="0"/>
                <w:color w:val="auto"/>
                <w:kern w:val="0"/>
                <w:sz w:val="22"/>
                <w:szCs w:val="22"/>
                <w:lang w:val="en-US" w:eastAsia="zh-CN" w:bidi="ar"/>
              </w:rPr>
              <w:t>，全省排名第</w:t>
            </w:r>
            <w:r>
              <w:rPr>
                <w:rFonts w:hint="default" w:ascii="Times New Roman" w:hAnsi="Times New Roman" w:eastAsia="宋体" w:cs="Times New Roman"/>
                <w:b w:val="0"/>
                <w:bCs w:val="0"/>
                <w:color w:val="auto"/>
                <w:kern w:val="0"/>
                <w:sz w:val="22"/>
                <w:szCs w:val="22"/>
                <w:lang w:val="en-US" w:eastAsia="zh-CN" w:bidi="ar"/>
              </w:rPr>
              <w:t>13</w:t>
            </w:r>
            <w:r>
              <w:rPr>
                <w:rFonts w:hint="eastAsia" w:ascii="宋体" w:hAnsi="宋体" w:eastAsia="宋体" w:cs="宋体"/>
                <w:b w:val="0"/>
                <w:bCs w:val="0"/>
                <w:color w:val="auto"/>
                <w:kern w:val="0"/>
                <w:sz w:val="22"/>
                <w:szCs w:val="22"/>
                <w:lang w:val="en-US" w:eastAsia="zh-CN" w:bidi="ar"/>
              </w:rPr>
              <w:t>位，综合指数同比上升</w:t>
            </w:r>
            <w:r>
              <w:rPr>
                <w:rFonts w:hint="default" w:ascii="Times New Roman" w:hAnsi="Times New Roman" w:eastAsia="宋体" w:cs="Times New Roman"/>
                <w:b w:val="0"/>
                <w:bCs w:val="0"/>
                <w:color w:val="auto"/>
                <w:kern w:val="0"/>
                <w:sz w:val="22"/>
                <w:szCs w:val="22"/>
                <w:lang w:val="en-US" w:eastAsia="zh-CN" w:bidi="ar"/>
              </w:rPr>
              <w:t>1.1%</w:t>
            </w:r>
            <w:r>
              <w:rPr>
                <w:rFonts w:hint="eastAsia" w:ascii="宋体" w:hAnsi="宋体" w:eastAsia="宋体" w:cs="宋体"/>
                <w:b w:val="0"/>
                <w:bCs w:val="0"/>
                <w:color w:val="auto"/>
                <w:kern w:val="0"/>
                <w:sz w:val="22"/>
                <w:szCs w:val="22"/>
                <w:lang w:val="en-US" w:eastAsia="zh-CN" w:bidi="ar"/>
              </w:rPr>
              <w:t>。优良天数为</w:t>
            </w:r>
            <w:r>
              <w:rPr>
                <w:rFonts w:hint="default" w:ascii="Times New Roman" w:hAnsi="Times New Roman" w:eastAsia="宋体" w:cs="Times New Roman"/>
                <w:b w:val="0"/>
                <w:bCs w:val="0"/>
                <w:color w:val="auto"/>
                <w:kern w:val="0"/>
                <w:sz w:val="22"/>
                <w:szCs w:val="22"/>
                <w:lang w:val="en-US" w:eastAsia="zh-CN" w:bidi="ar"/>
              </w:rPr>
              <w:t>314</w:t>
            </w:r>
            <w:r>
              <w:rPr>
                <w:rFonts w:hint="eastAsia" w:ascii="宋体" w:hAnsi="宋体" w:eastAsia="宋体" w:cs="宋体"/>
                <w:b w:val="0"/>
                <w:bCs w:val="0"/>
                <w:color w:val="auto"/>
                <w:kern w:val="0"/>
                <w:sz w:val="22"/>
                <w:szCs w:val="22"/>
                <w:lang w:val="en-US" w:eastAsia="zh-CN" w:bidi="ar"/>
              </w:rPr>
              <w:t>天，同比减少</w:t>
            </w:r>
            <w:r>
              <w:rPr>
                <w:rFonts w:hint="default" w:ascii="Times New Roman" w:hAnsi="Times New Roman" w:eastAsia="宋体" w:cs="Times New Roman"/>
                <w:b w:val="0"/>
                <w:bCs w:val="0"/>
                <w:color w:val="auto"/>
                <w:kern w:val="0"/>
                <w:sz w:val="22"/>
                <w:szCs w:val="22"/>
                <w:lang w:val="en-US" w:eastAsia="zh-CN" w:bidi="ar"/>
              </w:rPr>
              <w:t>5</w:t>
            </w:r>
            <w:r>
              <w:rPr>
                <w:rFonts w:hint="eastAsia" w:ascii="宋体" w:hAnsi="宋体" w:eastAsia="宋体" w:cs="宋体"/>
                <w:b w:val="0"/>
                <w:bCs w:val="0"/>
                <w:color w:val="auto"/>
                <w:kern w:val="0"/>
                <w:sz w:val="22"/>
                <w:szCs w:val="22"/>
                <w:lang w:val="en-US" w:eastAsia="zh-CN" w:bidi="ar"/>
              </w:rPr>
              <w:t>天，优良天数率为</w:t>
            </w:r>
            <w:r>
              <w:rPr>
                <w:rFonts w:hint="default" w:ascii="Times New Roman" w:hAnsi="Times New Roman" w:eastAsia="宋体" w:cs="Times New Roman"/>
                <w:b w:val="0"/>
                <w:bCs w:val="0"/>
                <w:color w:val="auto"/>
                <w:kern w:val="0"/>
                <w:sz w:val="22"/>
                <w:szCs w:val="22"/>
                <w:lang w:val="en-US" w:eastAsia="zh-CN" w:bidi="ar"/>
              </w:rPr>
              <w:t>86.0%</w:t>
            </w:r>
            <w:r>
              <w:rPr>
                <w:rFonts w:hint="eastAsia" w:ascii="宋体" w:hAnsi="宋体" w:eastAsia="宋体" w:cs="宋体"/>
                <w:b w:val="0"/>
                <w:bCs w:val="0"/>
                <w:color w:val="auto"/>
                <w:kern w:val="0"/>
                <w:sz w:val="22"/>
                <w:szCs w:val="22"/>
                <w:lang w:val="en-US" w:eastAsia="zh-CN" w:bidi="ar"/>
              </w:rPr>
              <w:t>；</w:t>
            </w:r>
            <w:r>
              <w:rPr>
                <w:rFonts w:hint="default" w:ascii="Times New Roman" w:hAnsi="Times New Roman" w:eastAsia="宋体" w:cs="Times New Roman"/>
                <w:b w:val="0"/>
                <w:bCs w:val="0"/>
                <w:color w:val="auto"/>
                <w:kern w:val="0"/>
                <w:sz w:val="22"/>
                <w:szCs w:val="22"/>
                <w:lang w:val="en-US" w:eastAsia="zh-CN" w:bidi="ar"/>
              </w:rPr>
              <w:t>PM</w:t>
            </w:r>
            <w:r>
              <w:rPr>
                <w:rFonts w:hint="default" w:ascii="Times New Roman" w:hAnsi="Times New Roman" w:eastAsia="宋体" w:cs="Times New Roman"/>
                <w:b w:val="0"/>
                <w:bCs w:val="0"/>
                <w:color w:val="auto"/>
                <w:kern w:val="0"/>
                <w:sz w:val="22"/>
                <w:szCs w:val="22"/>
                <w:vertAlign w:val="subscript"/>
                <w:lang w:val="en-US" w:eastAsia="zh-CN" w:bidi="ar"/>
              </w:rPr>
              <w:t>2.5</w:t>
            </w:r>
            <w:r>
              <w:rPr>
                <w:rFonts w:hint="eastAsia" w:ascii="宋体" w:hAnsi="宋体" w:eastAsia="宋体" w:cs="宋体"/>
                <w:b w:val="0"/>
                <w:bCs w:val="0"/>
                <w:color w:val="auto"/>
                <w:kern w:val="0"/>
                <w:sz w:val="22"/>
                <w:szCs w:val="22"/>
                <w:lang w:val="en-US" w:eastAsia="zh-CN" w:bidi="ar"/>
              </w:rPr>
              <w:t>均值浓度</w:t>
            </w:r>
            <w:r>
              <w:rPr>
                <w:rFonts w:hint="default" w:ascii="Times New Roman" w:hAnsi="Times New Roman" w:eastAsia="宋体" w:cs="Times New Roman"/>
                <w:b w:val="0"/>
                <w:bCs w:val="0"/>
                <w:color w:val="auto"/>
                <w:kern w:val="0"/>
                <w:sz w:val="22"/>
                <w:szCs w:val="22"/>
                <w:lang w:val="en-US" w:eastAsia="zh-CN" w:bidi="ar"/>
              </w:rPr>
              <w:t>37.2ug/m³</w:t>
            </w:r>
            <w:r>
              <w:rPr>
                <w:rFonts w:hint="eastAsia" w:ascii="宋体" w:hAnsi="宋体" w:eastAsia="宋体" w:cs="宋体"/>
                <w:b w:val="0"/>
                <w:bCs w:val="0"/>
                <w:color w:val="auto"/>
                <w:kern w:val="0"/>
                <w:sz w:val="22"/>
                <w:szCs w:val="22"/>
                <w:lang w:val="en-US" w:eastAsia="zh-CN" w:bidi="ar"/>
              </w:rPr>
              <w:t>，同比上升</w:t>
            </w:r>
            <w:r>
              <w:rPr>
                <w:rFonts w:hint="default" w:ascii="Times New Roman" w:hAnsi="Times New Roman" w:eastAsia="宋体" w:cs="Times New Roman"/>
                <w:b w:val="0"/>
                <w:bCs w:val="0"/>
                <w:color w:val="auto"/>
                <w:kern w:val="0"/>
                <w:sz w:val="22"/>
                <w:szCs w:val="22"/>
                <w:lang w:val="en-US" w:eastAsia="zh-CN" w:bidi="ar"/>
              </w:rPr>
              <w:t>6.0%</w:t>
            </w:r>
            <w:r>
              <w:rPr>
                <w:rFonts w:hint="eastAsia" w:ascii="宋体" w:hAnsi="宋体" w:eastAsia="宋体" w:cs="宋体"/>
                <w:b w:val="0"/>
                <w:bCs w:val="0"/>
                <w:color w:val="auto"/>
                <w:kern w:val="0"/>
                <w:sz w:val="22"/>
                <w:szCs w:val="22"/>
                <w:lang w:val="en-US" w:eastAsia="zh-CN" w:bidi="ar"/>
              </w:rPr>
              <w:t>，全省排名第</w:t>
            </w:r>
            <w:r>
              <w:rPr>
                <w:rFonts w:hint="default" w:ascii="Times New Roman" w:hAnsi="Times New Roman" w:eastAsia="宋体" w:cs="Times New Roman"/>
                <w:b w:val="0"/>
                <w:bCs w:val="0"/>
                <w:color w:val="auto"/>
                <w:kern w:val="0"/>
                <w:sz w:val="22"/>
                <w:szCs w:val="22"/>
                <w:lang w:val="en-US" w:eastAsia="zh-CN" w:bidi="ar"/>
              </w:rPr>
              <w:t>16</w:t>
            </w:r>
            <w:r>
              <w:rPr>
                <w:rFonts w:hint="eastAsia" w:ascii="宋体" w:hAnsi="宋体" w:eastAsia="宋体" w:cs="宋体"/>
                <w:b w:val="0"/>
                <w:bCs w:val="0"/>
                <w:color w:val="auto"/>
                <w:kern w:val="0"/>
                <w:sz w:val="22"/>
                <w:szCs w:val="22"/>
                <w:lang w:val="en-US" w:eastAsia="zh-CN" w:bidi="ar"/>
              </w:rPr>
              <w:t>位；</w:t>
            </w:r>
            <w:r>
              <w:rPr>
                <w:rFonts w:hint="default" w:ascii="Times New Roman" w:hAnsi="Times New Roman" w:eastAsia="宋体" w:cs="Times New Roman"/>
                <w:b w:val="0"/>
                <w:bCs w:val="0"/>
                <w:color w:val="auto"/>
                <w:kern w:val="0"/>
                <w:sz w:val="22"/>
                <w:szCs w:val="22"/>
                <w:lang w:val="en-US" w:eastAsia="zh-CN" w:bidi="ar"/>
              </w:rPr>
              <w:t>PM</w:t>
            </w:r>
            <w:r>
              <w:rPr>
                <w:rFonts w:hint="default" w:ascii="Times New Roman" w:hAnsi="Times New Roman" w:eastAsia="宋体" w:cs="Times New Roman"/>
                <w:b w:val="0"/>
                <w:bCs w:val="0"/>
                <w:color w:val="auto"/>
                <w:kern w:val="0"/>
                <w:sz w:val="22"/>
                <w:szCs w:val="22"/>
                <w:vertAlign w:val="subscript"/>
                <w:lang w:val="en-US" w:eastAsia="zh-CN" w:bidi="ar"/>
              </w:rPr>
              <w:t>10</w:t>
            </w:r>
            <w:r>
              <w:rPr>
                <w:rFonts w:hint="eastAsia" w:ascii="宋体" w:hAnsi="宋体" w:eastAsia="宋体" w:cs="宋体"/>
                <w:b w:val="0"/>
                <w:bCs w:val="0"/>
                <w:color w:val="auto"/>
                <w:kern w:val="0"/>
                <w:sz w:val="22"/>
                <w:szCs w:val="22"/>
                <w:lang w:val="en-US" w:eastAsia="zh-CN" w:bidi="ar"/>
              </w:rPr>
              <w:t>均值浓度</w:t>
            </w:r>
            <w:r>
              <w:rPr>
                <w:rFonts w:hint="default" w:ascii="Times New Roman" w:hAnsi="Times New Roman" w:eastAsia="宋体" w:cs="Times New Roman"/>
                <w:b w:val="0"/>
                <w:bCs w:val="0"/>
                <w:color w:val="auto"/>
                <w:kern w:val="0"/>
                <w:sz w:val="22"/>
                <w:szCs w:val="22"/>
                <w:lang w:val="en-US" w:eastAsia="zh-CN" w:bidi="ar"/>
              </w:rPr>
              <w:t>55.1ug/m³</w:t>
            </w:r>
            <w:r>
              <w:rPr>
                <w:rFonts w:hint="eastAsia" w:ascii="宋体" w:hAnsi="宋体" w:eastAsia="宋体" w:cs="宋体"/>
                <w:b w:val="0"/>
                <w:bCs w:val="0"/>
                <w:color w:val="auto"/>
                <w:kern w:val="0"/>
                <w:sz w:val="22"/>
                <w:szCs w:val="22"/>
                <w:lang w:val="en-US" w:eastAsia="zh-CN" w:bidi="ar"/>
              </w:rPr>
              <w:t>，同比上升</w:t>
            </w:r>
            <w:r>
              <w:rPr>
                <w:rFonts w:hint="default" w:ascii="Times New Roman" w:hAnsi="Times New Roman" w:eastAsia="宋体" w:cs="Times New Roman"/>
                <w:b w:val="0"/>
                <w:bCs w:val="0"/>
                <w:color w:val="auto"/>
                <w:kern w:val="0"/>
                <w:sz w:val="22"/>
                <w:szCs w:val="22"/>
                <w:lang w:val="en-US" w:eastAsia="zh-CN" w:bidi="ar"/>
              </w:rPr>
              <w:t>4.2%</w:t>
            </w:r>
            <w:r>
              <w:rPr>
                <w:rFonts w:hint="eastAsia" w:ascii="宋体" w:hAnsi="宋体" w:eastAsia="宋体" w:cs="宋体"/>
                <w:b w:val="0"/>
                <w:bCs w:val="0"/>
                <w:color w:val="auto"/>
                <w:kern w:val="0"/>
                <w:sz w:val="22"/>
                <w:szCs w:val="22"/>
                <w:lang w:val="en-US" w:eastAsia="zh-CN" w:bidi="ar"/>
              </w:rPr>
              <w:t>，全省排名第</w:t>
            </w:r>
            <w:r>
              <w:rPr>
                <w:rFonts w:hint="default" w:ascii="Times New Roman" w:hAnsi="Times New Roman" w:eastAsia="宋体" w:cs="Times New Roman"/>
                <w:b w:val="0"/>
                <w:bCs w:val="0"/>
                <w:color w:val="auto"/>
                <w:kern w:val="0"/>
                <w:sz w:val="22"/>
                <w:szCs w:val="22"/>
                <w:lang w:val="en-US" w:eastAsia="zh-CN" w:bidi="ar"/>
              </w:rPr>
              <w:t>14</w:t>
            </w:r>
            <w:r>
              <w:rPr>
                <w:rFonts w:hint="eastAsia" w:ascii="宋体" w:hAnsi="宋体" w:eastAsia="宋体" w:cs="宋体"/>
                <w:b w:val="0"/>
                <w:bCs w:val="0"/>
                <w:color w:val="auto"/>
                <w:kern w:val="0"/>
                <w:sz w:val="22"/>
                <w:szCs w:val="22"/>
                <w:lang w:val="en-US" w:eastAsia="zh-CN" w:bidi="ar"/>
              </w:rPr>
              <w:t>位。</w:t>
            </w:r>
          </w:p>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left"/>
              <w:textAlignment w:val="auto"/>
              <w:rPr>
                <w:rFonts w:hint="default" w:ascii="Times New Roman" w:hAnsi="Times New Roman" w:eastAsia="宋体" w:cs="Times New Roman"/>
                <w:bCs/>
                <w:color w:val="auto"/>
                <w:sz w:val="22"/>
                <w:szCs w:val="22"/>
                <w:highlight w:val="none"/>
                <w:lang w:val="en-US" w:eastAsia="zh-CN"/>
              </w:rPr>
            </w:pPr>
            <w:r>
              <w:rPr>
                <w:rFonts w:hint="eastAsia" w:ascii="Times New Roman" w:hAnsi="Times New Roman" w:eastAsia="宋体" w:cs="Times New Roman"/>
                <w:bCs/>
                <w:color w:val="auto"/>
                <w:sz w:val="22"/>
                <w:szCs w:val="22"/>
                <w:highlight w:val="none"/>
                <w:lang w:val="en-US" w:eastAsia="zh-CN"/>
              </w:rPr>
              <w:t>市中区2021年1月1日—12月31日空气质量累积数据统计如下：</w:t>
            </w:r>
            <w:r>
              <w:rPr>
                <w:rFonts w:hint="eastAsia" w:ascii="宋体" w:hAnsi="宋体" w:eastAsia="宋体" w:cs="宋体"/>
                <w:i w:val="0"/>
                <w:iCs w:val="0"/>
                <w:caps w:val="0"/>
                <w:color w:val="auto"/>
                <w:spacing w:val="0"/>
                <w:sz w:val="22"/>
                <w:szCs w:val="22"/>
                <w:shd w:val="clear" w:color="auto" w:fill="FFFFFF"/>
                <w:lang w:eastAsia="zh-CN"/>
              </w:rPr>
              <w:t>。</w:t>
            </w:r>
          </w:p>
          <w:p>
            <w:pPr>
              <w:autoSpaceDE w:val="0"/>
              <w:autoSpaceDN w:val="0"/>
              <w:adjustRightInd w:val="0"/>
              <w:jc w:val="center"/>
              <w:rPr>
                <w:rFonts w:hint="default" w:ascii="Times New Roman" w:hAnsi="Times New Roman" w:cs="Times New Roman"/>
                <w:b/>
                <w:bCs/>
                <w:color w:val="auto"/>
                <w:sz w:val="20"/>
                <w:szCs w:val="20"/>
                <w:highlight w:val="none"/>
              </w:rPr>
            </w:pPr>
            <w:r>
              <w:rPr>
                <w:rFonts w:hint="default" w:ascii="Times New Roman" w:hAnsi="Times New Roman" w:cs="Times New Roman"/>
                <w:b/>
                <w:bCs/>
                <w:color w:val="auto"/>
                <w:sz w:val="20"/>
                <w:szCs w:val="20"/>
                <w:highlight w:val="none"/>
              </w:rPr>
              <w:t>表 3-1  202</w:t>
            </w:r>
            <w:r>
              <w:rPr>
                <w:rFonts w:hint="eastAsia" w:ascii="Times New Roman" w:hAnsi="Times New Roman" w:cs="Times New Roman"/>
                <w:b/>
                <w:bCs/>
                <w:color w:val="auto"/>
                <w:sz w:val="20"/>
                <w:szCs w:val="20"/>
                <w:highlight w:val="none"/>
                <w:lang w:val="en-US" w:eastAsia="zh-CN"/>
              </w:rPr>
              <w:t>1</w:t>
            </w:r>
            <w:r>
              <w:rPr>
                <w:rFonts w:hint="default" w:ascii="Times New Roman" w:hAnsi="Times New Roman" w:cs="Times New Roman"/>
                <w:b/>
                <w:bCs/>
                <w:color w:val="auto"/>
                <w:sz w:val="20"/>
                <w:szCs w:val="20"/>
                <w:highlight w:val="none"/>
              </w:rPr>
              <w:t>年乐山市城市环境空气质量</w:t>
            </w:r>
          </w:p>
          <w:tbl>
            <w:tblPr>
              <w:tblStyle w:val="42"/>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2" w:space="0"/>
              </w:tblBorders>
              <w:tblLayout w:type="fixed"/>
              <w:tblCellMar>
                <w:top w:w="0" w:type="dxa"/>
                <w:left w:w="108" w:type="dxa"/>
                <w:bottom w:w="0" w:type="dxa"/>
                <w:right w:w="108" w:type="dxa"/>
              </w:tblCellMar>
            </w:tblPr>
            <w:tblGrid>
              <w:gridCol w:w="818"/>
              <w:gridCol w:w="1732"/>
              <w:gridCol w:w="1555"/>
              <w:gridCol w:w="1541"/>
              <w:gridCol w:w="1254"/>
              <w:gridCol w:w="1056"/>
            </w:tblGrid>
            <w:tr>
              <w:tblPrEx>
                <w:tblBorders>
                  <w:top w:val="single" w:color="auto" w:sz="12" w:space="0"/>
                  <w:left w:val="none" w:color="auto" w:sz="0" w:space="0"/>
                  <w:bottom w:val="single" w:color="auto" w:sz="12" w:space="0"/>
                  <w:right w:val="none" w:color="auto" w:sz="0" w:space="0"/>
                  <w:insideH w:val="single" w:color="auto" w:sz="6" w:space="0"/>
                  <w:insideV w:val="single" w:color="auto" w:sz="2" w:space="0"/>
                </w:tblBorders>
                <w:tblCellMar>
                  <w:top w:w="0" w:type="dxa"/>
                  <w:left w:w="108" w:type="dxa"/>
                  <w:bottom w:w="0" w:type="dxa"/>
                  <w:right w:w="108" w:type="dxa"/>
                </w:tblCellMar>
              </w:tblPrEx>
              <w:trPr>
                <w:trHeight w:val="292" w:hRule="atLeast"/>
                <w:jc w:val="center"/>
              </w:trPr>
              <w:tc>
                <w:tcPr>
                  <w:tcW w:w="818" w:type="dxa"/>
                  <w:noWrap w:val="0"/>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污染物</w:t>
                  </w:r>
                </w:p>
              </w:tc>
              <w:tc>
                <w:tcPr>
                  <w:tcW w:w="1732" w:type="dxa"/>
                  <w:noWrap w:val="0"/>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年评价指标</w:t>
                  </w:r>
                </w:p>
              </w:tc>
              <w:tc>
                <w:tcPr>
                  <w:tcW w:w="1555" w:type="dxa"/>
                  <w:noWrap w:val="0"/>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现状浓度μg/m³</w:t>
                  </w:r>
                </w:p>
              </w:tc>
              <w:tc>
                <w:tcPr>
                  <w:tcW w:w="1541" w:type="dxa"/>
                  <w:noWrap w:val="0"/>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标准值μg/m³</w:t>
                  </w:r>
                </w:p>
              </w:tc>
              <w:tc>
                <w:tcPr>
                  <w:tcW w:w="1254" w:type="dxa"/>
                  <w:noWrap w:val="0"/>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占标率%</w:t>
                  </w:r>
                </w:p>
              </w:tc>
              <w:tc>
                <w:tcPr>
                  <w:tcW w:w="1056" w:type="dxa"/>
                  <w:noWrap w:val="0"/>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达标情况</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2" w:space="0"/>
                </w:tblBorders>
                <w:tblCellMar>
                  <w:top w:w="0" w:type="dxa"/>
                  <w:left w:w="108" w:type="dxa"/>
                  <w:bottom w:w="0" w:type="dxa"/>
                  <w:right w:w="108" w:type="dxa"/>
                </w:tblCellMar>
              </w:tblPrEx>
              <w:trPr>
                <w:trHeight w:val="275" w:hRule="atLeast"/>
                <w:jc w:val="center"/>
              </w:trPr>
              <w:tc>
                <w:tcPr>
                  <w:tcW w:w="818" w:type="dxa"/>
                  <w:noWrap w:val="0"/>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SO</w:t>
                  </w:r>
                  <w:r>
                    <w:rPr>
                      <w:rFonts w:hint="default" w:ascii="Times New Roman" w:hAnsi="Times New Roman" w:cs="Times New Roman"/>
                      <w:color w:val="auto"/>
                      <w:sz w:val="20"/>
                      <w:szCs w:val="20"/>
                      <w:highlight w:val="none"/>
                      <w:vertAlign w:val="subscript"/>
                    </w:rPr>
                    <w:t>2</w:t>
                  </w:r>
                </w:p>
              </w:tc>
              <w:tc>
                <w:tcPr>
                  <w:tcW w:w="1732" w:type="dxa"/>
                  <w:noWrap w:val="0"/>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年平均质量浓度</w:t>
                  </w:r>
                </w:p>
              </w:tc>
              <w:tc>
                <w:tcPr>
                  <w:tcW w:w="1555" w:type="dxa"/>
                  <w:noWrap w:val="0"/>
                  <w:vAlign w:val="center"/>
                </w:tcPr>
                <w:p>
                  <w:pPr>
                    <w:jc w:val="center"/>
                    <w:rPr>
                      <w:rFonts w:hint="default" w:ascii="Times New Roman" w:hAnsi="Times New Roman" w:eastAsia="宋体" w:cs="Times New Roman"/>
                      <w:color w:val="auto"/>
                      <w:sz w:val="20"/>
                      <w:szCs w:val="20"/>
                      <w:highlight w:val="none"/>
                      <w:lang w:val="en-US" w:eastAsia="zh-CN"/>
                    </w:rPr>
                  </w:pPr>
                  <w:r>
                    <w:rPr>
                      <w:rFonts w:hint="eastAsia" w:ascii="Times New Roman" w:hAnsi="Times New Roman" w:cs="Times New Roman"/>
                      <w:color w:val="auto"/>
                      <w:sz w:val="20"/>
                      <w:szCs w:val="20"/>
                      <w:highlight w:val="none"/>
                      <w:lang w:val="en-US" w:eastAsia="zh-CN"/>
                    </w:rPr>
                    <w:t>7</w:t>
                  </w:r>
                </w:p>
              </w:tc>
              <w:tc>
                <w:tcPr>
                  <w:tcW w:w="1541" w:type="dxa"/>
                  <w:noWrap w:val="0"/>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60</w:t>
                  </w:r>
                </w:p>
              </w:tc>
              <w:tc>
                <w:tcPr>
                  <w:tcW w:w="1254" w:type="dxa"/>
                  <w:noWrap w:val="0"/>
                  <w:vAlign w:val="center"/>
                </w:tcPr>
                <w:p>
                  <w:pPr>
                    <w:jc w:val="center"/>
                    <w:rPr>
                      <w:rFonts w:hint="default" w:ascii="Times New Roman" w:hAnsi="Times New Roman" w:eastAsia="宋体" w:cs="Times New Roman"/>
                      <w:color w:val="auto"/>
                      <w:sz w:val="20"/>
                      <w:szCs w:val="20"/>
                      <w:highlight w:val="none"/>
                      <w:lang w:val="en-US" w:eastAsia="zh-CN"/>
                    </w:rPr>
                  </w:pPr>
                  <w:r>
                    <w:rPr>
                      <w:rFonts w:hint="eastAsia" w:ascii="Times New Roman" w:hAnsi="Times New Roman" w:eastAsia="宋体" w:cs="Times New Roman"/>
                      <w:color w:val="auto"/>
                      <w:sz w:val="20"/>
                      <w:szCs w:val="20"/>
                      <w:highlight w:val="none"/>
                      <w:lang w:val="en-US" w:eastAsia="zh-CN"/>
                    </w:rPr>
                    <w:t>11.7</w:t>
                  </w:r>
                </w:p>
              </w:tc>
              <w:tc>
                <w:tcPr>
                  <w:tcW w:w="1056" w:type="dxa"/>
                  <w:noWrap w:val="0"/>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2" w:space="0"/>
                </w:tblBorders>
                <w:tblCellMar>
                  <w:top w:w="0" w:type="dxa"/>
                  <w:left w:w="108" w:type="dxa"/>
                  <w:bottom w:w="0" w:type="dxa"/>
                  <w:right w:w="108" w:type="dxa"/>
                </w:tblCellMar>
              </w:tblPrEx>
              <w:trPr>
                <w:trHeight w:val="275" w:hRule="atLeast"/>
                <w:jc w:val="center"/>
              </w:trPr>
              <w:tc>
                <w:tcPr>
                  <w:tcW w:w="818" w:type="dxa"/>
                  <w:noWrap w:val="0"/>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NO</w:t>
                  </w:r>
                  <w:r>
                    <w:rPr>
                      <w:rFonts w:hint="default" w:ascii="Times New Roman" w:hAnsi="Times New Roman" w:cs="Times New Roman"/>
                      <w:color w:val="auto"/>
                      <w:sz w:val="20"/>
                      <w:szCs w:val="20"/>
                      <w:highlight w:val="none"/>
                      <w:vertAlign w:val="subscript"/>
                    </w:rPr>
                    <w:t>2</w:t>
                  </w:r>
                </w:p>
              </w:tc>
              <w:tc>
                <w:tcPr>
                  <w:tcW w:w="1732" w:type="dxa"/>
                  <w:noWrap w:val="0"/>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年平均质量浓度</w:t>
                  </w:r>
                </w:p>
              </w:tc>
              <w:tc>
                <w:tcPr>
                  <w:tcW w:w="1555" w:type="dxa"/>
                  <w:noWrap w:val="0"/>
                  <w:vAlign w:val="center"/>
                </w:tcPr>
                <w:p>
                  <w:pPr>
                    <w:jc w:val="center"/>
                    <w:rPr>
                      <w:rFonts w:hint="default" w:ascii="Times New Roman" w:hAnsi="Times New Roman" w:eastAsia="宋体" w:cs="Times New Roman"/>
                      <w:color w:val="auto"/>
                      <w:sz w:val="20"/>
                      <w:szCs w:val="20"/>
                      <w:highlight w:val="none"/>
                      <w:lang w:val="en-US" w:eastAsia="zh-CN"/>
                    </w:rPr>
                  </w:pPr>
                  <w:r>
                    <w:rPr>
                      <w:rFonts w:hint="eastAsia" w:ascii="Times New Roman" w:hAnsi="Times New Roman" w:cs="Times New Roman"/>
                      <w:color w:val="auto"/>
                      <w:sz w:val="20"/>
                      <w:szCs w:val="20"/>
                      <w:highlight w:val="none"/>
                      <w:lang w:val="en-US" w:eastAsia="zh-CN"/>
                    </w:rPr>
                    <w:t>25.6</w:t>
                  </w:r>
                </w:p>
              </w:tc>
              <w:tc>
                <w:tcPr>
                  <w:tcW w:w="1541" w:type="dxa"/>
                  <w:noWrap w:val="0"/>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40</w:t>
                  </w:r>
                </w:p>
              </w:tc>
              <w:tc>
                <w:tcPr>
                  <w:tcW w:w="1254" w:type="dxa"/>
                  <w:noWrap w:val="0"/>
                  <w:vAlign w:val="center"/>
                </w:tcPr>
                <w:p>
                  <w:pPr>
                    <w:jc w:val="center"/>
                    <w:rPr>
                      <w:rFonts w:hint="default" w:ascii="Times New Roman" w:hAnsi="Times New Roman" w:eastAsia="宋体" w:cs="Times New Roman"/>
                      <w:color w:val="auto"/>
                      <w:sz w:val="20"/>
                      <w:szCs w:val="20"/>
                      <w:highlight w:val="none"/>
                      <w:lang w:val="en-US" w:eastAsia="zh-CN"/>
                    </w:rPr>
                  </w:pPr>
                  <w:r>
                    <w:rPr>
                      <w:rFonts w:hint="eastAsia" w:ascii="Times New Roman" w:hAnsi="Times New Roman" w:eastAsia="宋体" w:cs="Times New Roman"/>
                      <w:color w:val="auto"/>
                      <w:sz w:val="20"/>
                      <w:szCs w:val="20"/>
                      <w:highlight w:val="none"/>
                      <w:lang w:val="en-US" w:eastAsia="zh-CN"/>
                    </w:rPr>
                    <w:t>64.0</w:t>
                  </w:r>
                </w:p>
              </w:tc>
              <w:tc>
                <w:tcPr>
                  <w:tcW w:w="1056" w:type="dxa"/>
                  <w:noWrap w:val="0"/>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2" w:space="0"/>
                </w:tblBorders>
                <w:tblCellMar>
                  <w:top w:w="0" w:type="dxa"/>
                  <w:left w:w="108" w:type="dxa"/>
                  <w:bottom w:w="0" w:type="dxa"/>
                  <w:right w:w="108" w:type="dxa"/>
                </w:tblCellMar>
              </w:tblPrEx>
              <w:trPr>
                <w:trHeight w:val="535" w:hRule="atLeast"/>
                <w:jc w:val="center"/>
              </w:trPr>
              <w:tc>
                <w:tcPr>
                  <w:tcW w:w="818" w:type="dxa"/>
                  <w:noWrap w:val="0"/>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CO</w:t>
                  </w:r>
                </w:p>
              </w:tc>
              <w:tc>
                <w:tcPr>
                  <w:tcW w:w="1732" w:type="dxa"/>
                  <w:noWrap w:val="0"/>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第95百分位数日均质量浓度</w:t>
                  </w:r>
                </w:p>
              </w:tc>
              <w:tc>
                <w:tcPr>
                  <w:tcW w:w="1555" w:type="dxa"/>
                  <w:noWrap w:val="0"/>
                  <w:vAlign w:val="center"/>
                </w:tcPr>
                <w:p>
                  <w:pPr>
                    <w:jc w:val="center"/>
                    <w:rPr>
                      <w:rFonts w:hint="default" w:ascii="Times New Roman" w:hAnsi="Times New Roman" w:eastAsia="宋体" w:cs="Times New Roman"/>
                      <w:color w:val="auto"/>
                      <w:sz w:val="20"/>
                      <w:szCs w:val="20"/>
                      <w:highlight w:val="none"/>
                      <w:lang w:val="en-US" w:eastAsia="zh-CN"/>
                    </w:rPr>
                  </w:pPr>
                  <w:r>
                    <w:rPr>
                      <w:rFonts w:hint="eastAsia" w:ascii="Times New Roman" w:hAnsi="Times New Roman" w:cs="Times New Roman"/>
                      <w:color w:val="auto"/>
                      <w:sz w:val="20"/>
                      <w:szCs w:val="20"/>
                      <w:highlight w:val="none"/>
                      <w:lang w:val="en-US" w:eastAsia="zh-CN"/>
                    </w:rPr>
                    <w:t>1100</w:t>
                  </w:r>
                </w:p>
              </w:tc>
              <w:tc>
                <w:tcPr>
                  <w:tcW w:w="1541" w:type="dxa"/>
                  <w:noWrap w:val="0"/>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4000</w:t>
                  </w:r>
                </w:p>
              </w:tc>
              <w:tc>
                <w:tcPr>
                  <w:tcW w:w="1254" w:type="dxa"/>
                  <w:noWrap w:val="0"/>
                  <w:vAlign w:val="center"/>
                </w:tcPr>
                <w:p>
                  <w:pPr>
                    <w:jc w:val="center"/>
                    <w:rPr>
                      <w:rFonts w:hint="default" w:ascii="Times New Roman" w:hAnsi="Times New Roman" w:eastAsia="宋体" w:cs="Times New Roman"/>
                      <w:color w:val="auto"/>
                      <w:sz w:val="20"/>
                      <w:szCs w:val="20"/>
                      <w:highlight w:val="none"/>
                      <w:lang w:val="en-US" w:eastAsia="zh-CN"/>
                    </w:rPr>
                  </w:pPr>
                  <w:r>
                    <w:rPr>
                      <w:rFonts w:hint="eastAsia" w:ascii="Times New Roman" w:hAnsi="Times New Roman" w:eastAsia="宋体" w:cs="Times New Roman"/>
                      <w:color w:val="auto"/>
                      <w:sz w:val="20"/>
                      <w:szCs w:val="20"/>
                      <w:highlight w:val="none"/>
                      <w:lang w:val="en-US" w:eastAsia="zh-CN"/>
                    </w:rPr>
                    <w:t>27.5</w:t>
                  </w:r>
                </w:p>
              </w:tc>
              <w:tc>
                <w:tcPr>
                  <w:tcW w:w="1056" w:type="dxa"/>
                  <w:noWrap w:val="0"/>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2" w:space="0"/>
                </w:tblBorders>
                <w:tblCellMar>
                  <w:top w:w="0" w:type="dxa"/>
                  <w:left w:w="108" w:type="dxa"/>
                  <w:bottom w:w="0" w:type="dxa"/>
                  <w:right w:w="108" w:type="dxa"/>
                </w:tblCellMar>
              </w:tblPrEx>
              <w:trPr>
                <w:trHeight w:val="275" w:hRule="atLeast"/>
                <w:jc w:val="center"/>
              </w:trPr>
              <w:tc>
                <w:tcPr>
                  <w:tcW w:w="818" w:type="dxa"/>
                  <w:noWrap w:val="0"/>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O</w:t>
                  </w:r>
                  <w:r>
                    <w:rPr>
                      <w:rFonts w:hint="default" w:ascii="Times New Roman" w:hAnsi="Times New Roman" w:cs="Times New Roman"/>
                      <w:color w:val="auto"/>
                      <w:sz w:val="20"/>
                      <w:szCs w:val="20"/>
                      <w:highlight w:val="none"/>
                      <w:vertAlign w:val="subscript"/>
                    </w:rPr>
                    <w:t>3</w:t>
                  </w:r>
                </w:p>
              </w:tc>
              <w:tc>
                <w:tcPr>
                  <w:tcW w:w="1732" w:type="dxa"/>
                  <w:noWrap w:val="0"/>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lang w:eastAsia="zh-CN"/>
                    </w:rPr>
                    <w:t>最大</w:t>
                  </w:r>
                  <w:r>
                    <w:rPr>
                      <w:rFonts w:hint="default" w:ascii="Times New Roman" w:hAnsi="Times New Roman" w:cs="Times New Roman"/>
                      <w:color w:val="auto"/>
                      <w:sz w:val="20"/>
                      <w:szCs w:val="20"/>
                      <w:highlight w:val="none"/>
                    </w:rPr>
                    <w:t>8h平均质量浓度</w:t>
                  </w:r>
                </w:p>
              </w:tc>
              <w:tc>
                <w:tcPr>
                  <w:tcW w:w="1555" w:type="dxa"/>
                  <w:noWrap w:val="0"/>
                  <w:vAlign w:val="center"/>
                </w:tcPr>
                <w:p>
                  <w:pPr>
                    <w:jc w:val="center"/>
                    <w:rPr>
                      <w:rFonts w:hint="default" w:ascii="Times New Roman" w:hAnsi="Times New Roman" w:eastAsia="宋体" w:cs="Times New Roman"/>
                      <w:color w:val="auto"/>
                      <w:sz w:val="20"/>
                      <w:szCs w:val="20"/>
                      <w:highlight w:val="none"/>
                      <w:lang w:val="en-US" w:eastAsia="zh-CN"/>
                    </w:rPr>
                  </w:pPr>
                  <w:r>
                    <w:rPr>
                      <w:rFonts w:hint="eastAsia" w:ascii="Times New Roman" w:hAnsi="Times New Roman" w:cs="Times New Roman"/>
                      <w:color w:val="auto"/>
                      <w:sz w:val="20"/>
                      <w:szCs w:val="20"/>
                      <w:highlight w:val="none"/>
                      <w:lang w:val="en-US" w:eastAsia="zh-CN"/>
                    </w:rPr>
                    <w:t>138</w:t>
                  </w:r>
                </w:p>
              </w:tc>
              <w:tc>
                <w:tcPr>
                  <w:tcW w:w="1541" w:type="dxa"/>
                  <w:noWrap w:val="0"/>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160</w:t>
                  </w:r>
                </w:p>
              </w:tc>
              <w:tc>
                <w:tcPr>
                  <w:tcW w:w="1254" w:type="dxa"/>
                  <w:noWrap w:val="0"/>
                  <w:vAlign w:val="center"/>
                </w:tcPr>
                <w:p>
                  <w:pPr>
                    <w:jc w:val="center"/>
                    <w:rPr>
                      <w:rFonts w:hint="default" w:ascii="Times New Roman" w:hAnsi="Times New Roman" w:eastAsia="宋体" w:cs="Times New Roman"/>
                      <w:color w:val="auto"/>
                      <w:sz w:val="20"/>
                      <w:szCs w:val="20"/>
                      <w:highlight w:val="none"/>
                      <w:lang w:val="en-US" w:eastAsia="zh-CN"/>
                    </w:rPr>
                  </w:pPr>
                  <w:r>
                    <w:rPr>
                      <w:rFonts w:hint="eastAsia" w:ascii="Times New Roman" w:hAnsi="Times New Roman" w:eastAsia="宋体" w:cs="Times New Roman"/>
                      <w:color w:val="auto"/>
                      <w:sz w:val="20"/>
                      <w:szCs w:val="20"/>
                      <w:highlight w:val="none"/>
                      <w:lang w:val="en-US" w:eastAsia="zh-CN"/>
                    </w:rPr>
                    <w:t>86.3</w:t>
                  </w:r>
                </w:p>
              </w:tc>
              <w:tc>
                <w:tcPr>
                  <w:tcW w:w="1056" w:type="dxa"/>
                  <w:noWrap w:val="0"/>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2" w:space="0"/>
                </w:tblBorders>
                <w:tblCellMar>
                  <w:top w:w="0" w:type="dxa"/>
                  <w:left w:w="108" w:type="dxa"/>
                  <w:bottom w:w="0" w:type="dxa"/>
                  <w:right w:w="108" w:type="dxa"/>
                </w:tblCellMar>
              </w:tblPrEx>
              <w:trPr>
                <w:trHeight w:val="275" w:hRule="atLeast"/>
                <w:jc w:val="center"/>
              </w:trPr>
              <w:tc>
                <w:tcPr>
                  <w:tcW w:w="818" w:type="dxa"/>
                  <w:noWrap w:val="0"/>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PM</w:t>
                  </w:r>
                  <w:r>
                    <w:rPr>
                      <w:rFonts w:hint="default" w:ascii="Times New Roman" w:hAnsi="Times New Roman" w:cs="Times New Roman"/>
                      <w:color w:val="auto"/>
                      <w:sz w:val="20"/>
                      <w:szCs w:val="20"/>
                      <w:highlight w:val="none"/>
                      <w:vertAlign w:val="subscript"/>
                    </w:rPr>
                    <w:t>10</w:t>
                  </w:r>
                </w:p>
              </w:tc>
              <w:tc>
                <w:tcPr>
                  <w:tcW w:w="1732" w:type="dxa"/>
                  <w:noWrap w:val="0"/>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年平均质量浓度</w:t>
                  </w:r>
                </w:p>
              </w:tc>
              <w:tc>
                <w:tcPr>
                  <w:tcW w:w="1555" w:type="dxa"/>
                  <w:noWrap w:val="0"/>
                  <w:vAlign w:val="center"/>
                </w:tcPr>
                <w:p>
                  <w:pPr>
                    <w:jc w:val="center"/>
                    <w:rPr>
                      <w:rFonts w:hint="default" w:ascii="Times New Roman" w:hAnsi="Times New Roman" w:eastAsia="宋体" w:cs="Times New Roman"/>
                      <w:color w:val="auto"/>
                      <w:sz w:val="20"/>
                      <w:szCs w:val="20"/>
                      <w:highlight w:val="none"/>
                      <w:lang w:val="en-US" w:eastAsia="zh-CN"/>
                    </w:rPr>
                  </w:pPr>
                  <w:r>
                    <w:rPr>
                      <w:rFonts w:hint="eastAsia" w:ascii="Times New Roman" w:hAnsi="Times New Roman" w:cs="Times New Roman"/>
                      <w:color w:val="auto"/>
                      <w:sz w:val="20"/>
                      <w:szCs w:val="20"/>
                      <w:highlight w:val="none"/>
                      <w:lang w:val="en-US" w:eastAsia="zh-CN"/>
                    </w:rPr>
                    <w:t>55.1</w:t>
                  </w:r>
                </w:p>
              </w:tc>
              <w:tc>
                <w:tcPr>
                  <w:tcW w:w="1541" w:type="dxa"/>
                  <w:noWrap w:val="0"/>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70</w:t>
                  </w:r>
                </w:p>
              </w:tc>
              <w:tc>
                <w:tcPr>
                  <w:tcW w:w="1254" w:type="dxa"/>
                  <w:noWrap w:val="0"/>
                  <w:vAlign w:val="center"/>
                </w:tcPr>
                <w:p>
                  <w:pPr>
                    <w:jc w:val="center"/>
                    <w:rPr>
                      <w:rFonts w:hint="default" w:ascii="Times New Roman" w:hAnsi="Times New Roman" w:eastAsia="宋体" w:cs="Times New Roman"/>
                      <w:color w:val="auto"/>
                      <w:sz w:val="20"/>
                      <w:szCs w:val="20"/>
                      <w:highlight w:val="none"/>
                      <w:lang w:val="en-US" w:eastAsia="zh-CN"/>
                    </w:rPr>
                  </w:pPr>
                  <w:r>
                    <w:rPr>
                      <w:rFonts w:hint="eastAsia" w:ascii="Times New Roman" w:hAnsi="Times New Roman" w:eastAsia="宋体" w:cs="Times New Roman"/>
                      <w:color w:val="auto"/>
                      <w:sz w:val="20"/>
                      <w:szCs w:val="20"/>
                      <w:highlight w:val="none"/>
                      <w:lang w:val="en-US" w:eastAsia="zh-CN"/>
                    </w:rPr>
                    <w:t>78.7</w:t>
                  </w:r>
                </w:p>
              </w:tc>
              <w:tc>
                <w:tcPr>
                  <w:tcW w:w="1056" w:type="dxa"/>
                  <w:noWrap w:val="0"/>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2" w:space="0"/>
                </w:tblBorders>
                <w:tblCellMar>
                  <w:top w:w="0" w:type="dxa"/>
                  <w:left w:w="108" w:type="dxa"/>
                  <w:bottom w:w="0" w:type="dxa"/>
                  <w:right w:w="108" w:type="dxa"/>
                </w:tblCellMar>
              </w:tblPrEx>
              <w:trPr>
                <w:trHeight w:val="320" w:hRule="atLeast"/>
                <w:jc w:val="center"/>
              </w:trPr>
              <w:tc>
                <w:tcPr>
                  <w:tcW w:w="818" w:type="dxa"/>
                  <w:noWrap w:val="0"/>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PM</w:t>
                  </w:r>
                  <w:r>
                    <w:rPr>
                      <w:rFonts w:hint="default" w:ascii="Times New Roman" w:hAnsi="Times New Roman" w:cs="Times New Roman"/>
                      <w:color w:val="auto"/>
                      <w:sz w:val="20"/>
                      <w:szCs w:val="20"/>
                      <w:highlight w:val="none"/>
                      <w:vertAlign w:val="subscript"/>
                    </w:rPr>
                    <w:t>2.5</w:t>
                  </w:r>
                </w:p>
              </w:tc>
              <w:tc>
                <w:tcPr>
                  <w:tcW w:w="1732" w:type="dxa"/>
                  <w:noWrap w:val="0"/>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年平均质量浓度</w:t>
                  </w:r>
                </w:p>
              </w:tc>
              <w:tc>
                <w:tcPr>
                  <w:tcW w:w="1555" w:type="dxa"/>
                  <w:noWrap w:val="0"/>
                  <w:vAlign w:val="center"/>
                </w:tcPr>
                <w:p>
                  <w:pPr>
                    <w:jc w:val="center"/>
                    <w:rPr>
                      <w:rFonts w:hint="default" w:ascii="Times New Roman" w:hAnsi="Times New Roman" w:eastAsia="宋体" w:cs="Times New Roman"/>
                      <w:color w:val="auto"/>
                      <w:sz w:val="20"/>
                      <w:szCs w:val="20"/>
                      <w:highlight w:val="none"/>
                      <w:lang w:val="en-US" w:eastAsia="zh-CN"/>
                    </w:rPr>
                  </w:pPr>
                  <w:r>
                    <w:rPr>
                      <w:rFonts w:hint="eastAsia" w:ascii="Times New Roman" w:hAnsi="Times New Roman" w:cs="Times New Roman"/>
                      <w:color w:val="auto"/>
                      <w:sz w:val="20"/>
                      <w:szCs w:val="20"/>
                      <w:highlight w:val="none"/>
                      <w:lang w:val="en-US" w:eastAsia="zh-CN"/>
                    </w:rPr>
                    <w:t>37.2</w:t>
                  </w:r>
                </w:p>
              </w:tc>
              <w:tc>
                <w:tcPr>
                  <w:tcW w:w="1541" w:type="dxa"/>
                  <w:noWrap w:val="0"/>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35</w:t>
                  </w:r>
                </w:p>
              </w:tc>
              <w:tc>
                <w:tcPr>
                  <w:tcW w:w="1254" w:type="dxa"/>
                  <w:noWrap w:val="0"/>
                  <w:vAlign w:val="center"/>
                </w:tcPr>
                <w:p>
                  <w:pPr>
                    <w:jc w:val="center"/>
                    <w:rPr>
                      <w:rFonts w:hint="default" w:ascii="Times New Roman" w:hAnsi="Times New Roman" w:eastAsia="宋体" w:cs="Times New Roman"/>
                      <w:color w:val="auto"/>
                      <w:sz w:val="20"/>
                      <w:szCs w:val="20"/>
                      <w:highlight w:val="none"/>
                      <w:lang w:val="en-US" w:eastAsia="zh-CN"/>
                    </w:rPr>
                  </w:pPr>
                  <w:r>
                    <w:rPr>
                      <w:rFonts w:hint="eastAsia" w:ascii="Times New Roman" w:hAnsi="Times New Roman" w:eastAsia="宋体" w:cs="Times New Roman"/>
                      <w:color w:val="auto"/>
                      <w:sz w:val="20"/>
                      <w:szCs w:val="20"/>
                      <w:highlight w:val="none"/>
                      <w:lang w:val="en-US" w:eastAsia="zh-CN"/>
                    </w:rPr>
                    <w:t>106.3</w:t>
                  </w:r>
                </w:p>
              </w:tc>
              <w:tc>
                <w:tcPr>
                  <w:tcW w:w="1056" w:type="dxa"/>
                  <w:noWrap w:val="0"/>
                  <w:vAlign w:val="center"/>
                </w:tcPr>
                <w:p>
                  <w:pPr>
                    <w:jc w:val="center"/>
                    <w:rPr>
                      <w:rFonts w:hint="eastAsia" w:ascii="Times New Roman" w:hAnsi="Times New Roman" w:eastAsia="宋体" w:cs="Times New Roman"/>
                      <w:color w:val="auto"/>
                      <w:sz w:val="20"/>
                      <w:szCs w:val="20"/>
                      <w:highlight w:val="none"/>
                      <w:lang w:eastAsia="zh-CN"/>
                    </w:rPr>
                  </w:pPr>
                  <w:r>
                    <w:rPr>
                      <w:rFonts w:hint="eastAsia" w:ascii="Times New Roman" w:hAnsi="Times New Roman" w:cs="Times New Roman"/>
                      <w:color w:val="auto"/>
                      <w:sz w:val="20"/>
                      <w:szCs w:val="20"/>
                      <w:highlight w:val="none"/>
                      <w:lang w:eastAsia="zh-CN"/>
                    </w:rPr>
                    <w:t>超标</w:t>
                  </w:r>
                </w:p>
              </w:tc>
            </w:tr>
          </w:tbl>
          <w:p>
            <w:pPr>
              <w:keepNext w:val="0"/>
              <w:keepLines w:val="0"/>
              <w:widowControl/>
              <w:suppressLineNumbers w:val="0"/>
              <w:spacing w:line="360" w:lineRule="auto"/>
              <w:ind w:firstLine="440" w:firstLineChars="200"/>
              <w:jc w:val="left"/>
              <w:rPr>
                <w:color w:val="auto"/>
                <w:sz w:val="22"/>
                <w:szCs w:val="22"/>
              </w:rPr>
            </w:pPr>
            <w:r>
              <w:rPr>
                <w:rFonts w:hint="default" w:ascii="Times New Roman" w:hAnsi="Times New Roman" w:cs="Times New Roman"/>
                <w:bCs/>
                <w:color w:val="auto"/>
                <w:sz w:val="22"/>
                <w:szCs w:val="22"/>
                <w:highlight w:val="none"/>
                <w:lang w:val="en-US" w:eastAsia="zh-CN"/>
              </w:rPr>
              <w:t>由上表可知，</w:t>
            </w:r>
            <w:r>
              <w:rPr>
                <w:rFonts w:hint="eastAsia" w:ascii="宋体" w:hAnsi="宋体" w:eastAsia="宋体" w:cs="宋体"/>
                <w:i w:val="0"/>
                <w:iCs w:val="0"/>
                <w:caps w:val="0"/>
                <w:color w:val="auto"/>
                <w:spacing w:val="0"/>
                <w:sz w:val="22"/>
                <w:szCs w:val="22"/>
                <w:shd w:val="clear" w:color="auto" w:fill="FFFFFF"/>
                <w:lang w:val="en-US" w:eastAsia="zh-CN"/>
              </w:rPr>
              <w:t>项目区域为</w:t>
            </w:r>
            <w:r>
              <w:rPr>
                <w:rFonts w:hint="eastAsia" w:ascii="宋体" w:hAnsi="宋体" w:cs="宋体"/>
                <w:i w:val="0"/>
                <w:iCs w:val="0"/>
                <w:caps w:val="0"/>
                <w:color w:val="auto"/>
                <w:spacing w:val="0"/>
                <w:sz w:val="22"/>
                <w:szCs w:val="22"/>
                <w:shd w:val="clear" w:color="auto" w:fill="FFFFFF"/>
                <w:lang w:val="en-US" w:eastAsia="zh-CN"/>
              </w:rPr>
              <w:t>不</w:t>
            </w:r>
            <w:r>
              <w:rPr>
                <w:rFonts w:hint="eastAsia" w:ascii="宋体" w:hAnsi="宋体" w:eastAsia="宋体" w:cs="宋体"/>
                <w:i w:val="0"/>
                <w:iCs w:val="0"/>
                <w:caps w:val="0"/>
                <w:color w:val="auto"/>
                <w:spacing w:val="0"/>
                <w:sz w:val="22"/>
                <w:szCs w:val="22"/>
                <w:shd w:val="clear" w:color="auto" w:fill="FFFFFF"/>
                <w:lang w:val="en-US" w:eastAsia="zh-CN"/>
              </w:rPr>
              <w:t>达标区。</w:t>
            </w:r>
            <w:r>
              <w:rPr>
                <w:rFonts w:hint="eastAsia" w:ascii="宋体" w:hAnsi="宋体" w:eastAsia="宋体" w:cs="宋体"/>
                <w:color w:val="auto"/>
                <w:kern w:val="0"/>
                <w:sz w:val="22"/>
                <w:szCs w:val="22"/>
                <w:lang w:val="en-US" w:eastAsia="zh-CN" w:bidi="ar"/>
              </w:rPr>
              <w:t>不达标污染物为</w:t>
            </w:r>
            <w:r>
              <w:rPr>
                <w:rFonts w:hint="default" w:ascii="Times New Roman" w:hAnsi="Times New Roman" w:eastAsia="宋体" w:cs="Times New Roman"/>
                <w:color w:val="auto"/>
                <w:kern w:val="0"/>
                <w:sz w:val="22"/>
                <w:szCs w:val="22"/>
                <w:lang w:val="en-US" w:eastAsia="zh-CN" w:bidi="ar"/>
              </w:rPr>
              <w:t>PM</w:t>
            </w:r>
            <w:r>
              <w:rPr>
                <w:rFonts w:hint="default" w:ascii="Times New Roman" w:hAnsi="Times New Roman" w:eastAsia="宋体" w:cs="Times New Roman"/>
                <w:color w:val="auto"/>
                <w:kern w:val="0"/>
                <w:sz w:val="22"/>
                <w:szCs w:val="22"/>
                <w:vertAlign w:val="subscript"/>
                <w:lang w:val="en-US" w:eastAsia="zh-CN" w:bidi="ar"/>
              </w:rPr>
              <w:t>2.5</w:t>
            </w:r>
            <w:r>
              <w:rPr>
                <w:rFonts w:hint="eastAsia" w:ascii="宋体" w:hAnsi="宋体" w:eastAsia="宋体" w:cs="宋体"/>
                <w:color w:val="auto"/>
                <w:kern w:val="0"/>
                <w:sz w:val="22"/>
                <w:szCs w:val="22"/>
                <w:lang w:val="en-US" w:eastAsia="zh-CN" w:bidi="ar"/>
              </w:rPr>
              <w:t>，乐山市制定了乐山市大气环境质量限期达标规划（</w:t>
            </w:r>
            <w:r>
              <w:rPr>
                <w:rFonts w:hint="default" w:ascii="Times New Roman" w:hAnsi="Times New Roman" w:eastAsia="宋体" w:cs="Times New Roman"/>
                <w:color w:val="auto"/>
                <w:kern w:val="0"/>
                <w:sz w:val="22"/>
                <w:szCs w:val="22"/>
                <w:lang w:val="en-US" w:eastAsia="zh-CN" w:bidi="ar"/>
              </w:rPr>
              <w:t>2016</w:t>
            </w:r>
            <w:r>
              <w:rPr>
                <w:rFonts w:hint="eastAsia" w:ascii="宋体" w:hAnsi="宋体" w:eastAsia="宋体" w:cs="宋体"/>
                <w:color w:val="auto"/>
                <w:kern w:val="0"/>
                <w:sz w:val="22"/>
                <w:szCs w:val="22"/>
                <w:lang w:val="en-US" w:eastAsia="zh-CN" w:bidi="ar"/>
              </w:rPr>
              <w:t>年</w:t>
            </w:r>
            <w:r>
              <w:rPr>
                <w:rFonts w:hint="default" w:ascii="Times New Roman" w:hAnsi="Times New Roman" w:eastAsia="宋体" w:cs="Times New Roman"/>
                <w:color w:val="auto"/>
                <w:kern w:val="0"/>
                <w:sz w:val="22"/>
                <w:szCs w:val="22"/>
                <w:lang w:val="en-US" w:eastAsia="zh-CN" w:bidi="ar"/>
              </w:rPr>
              <w:t>-2025</w:t>
            </w:r>
            <w:r>
              <w:rPr>
                <w:rFonts w:hint="eastAsia" w:ascii="宋体" w:hAnsi="宋体" w:eastAsia="宋体" w:cs="宋体"/>
                <w:color w:val="auto"/>
                <w:kern w:val="0"/>
                <w:sz w:val="22"/>
                <w:szCs w:val="22"/>
                <w:lang w:val="en-US" w:eastAsia="zh-CN" w:bidi="ar"/>
              </w:rPr>
              <w:t>年），明确大气污染防治措施，力争在</w:t>
            </w:r>
            <w:r>
              <w:rPr>
                <w:rFonts w:hint="default" w:ascii="Times New Roman" w:hAnsi="Times New Roman" w:eastAsia="宋体" w:cs="Times New Roman"/>
                <w:color w:val="auto"/>
                <w:kern w:val="0"/>
                <w:sz w:val="22"/>
                <w:szCs w:val="22"/>
                <w:lang w:val="en-US" w:eastAsia="zh-CN" w:bidi="ar"/>
              </w:rPr>
              <w:t>2025</w:t>
            </w:r>
            <w:r>
              <w:rPr>
                <w:rFonts w:hint="eastAsia" w:ascii="宋体" w:hAnsi="宋体" w:eastAsia="宋体" w:cs="宋体"/>
                <w:color w:val="auto"/>
                <w:kern w:val="0"/>
                <w:sz w:val="22"/>
                <w:szCs w:val="22"/>
                <w:lang w:val="en-US" w:eastAsia="zh-CN" w:bidi="ar"/>
              </w:rPr>
              <w:t>年底前实现空气质量全面达标。</w:t>
            </w:r>
          </w:p>
          <w:p>
            <w:pPr>
              <w:pStyle w:val="14"/>
              <w:spacing w:before="0" w:after="0" w:line="360" w:lineRule="auto"/>
              <w:ind w:right="0" w:firstLine="442" w:firstLineChars="200"/>
              <w:jc w:val="left"/>
              <w:rPr>
                <w:rFonts w:hint="default" w:ascii="Times New Roman" w:hAnsi="Times New Roman" w:eastAsia="宋体" w:cs="Times New Roman"/>
                <w:b/>
                <w:bCs w:val="0"/>
                <w:color w:val="auto"/>
                <w:sz w:val="22"/>
                <w:szCs w:val="22"/>
                <w:highlight w:val="none"/>
                <w:lang w:val="en-US" w:eastAsia="zh-CN"/>
              </w:rPr>
            </w:pPr>
            <w:r>
              <w:rPr>
                <w:rFonts w:hint="eastAsia" w:ascii="Times New Roman" w:hAnsi="Times New Roman" w:eastAsia="宋体" w:cs="Times New Roman"/>
                <w:b/>
                <w:bCs w:val="0"/>
                <w:color w:val="auto"/>
                <w:sz w:val="22"/>
                <w:szCs w:val="22"/>
                <w:highlight w:val="none"/>
                <w:lang w:val="en-US" w:eastAsia="zh-CN"/>
              </w:rPr>
              <w:t>1.2大气污染防治措施与行动</w:t>
            </w:r>
          </w:p>
          <w:p>
            <w:pPr>
              <w:keepNext w:val="0"/>
              <w:keepLines w:val="0"/>
              <w:widowControl/>
              <w:suppressLineNumbers w:val="0"/>
              <w:spacing w:line="360" w:lineRule="auto"/>
              <w:ind w:firstLine="440" w:firstLineChars="200"/>
              <w:jc w:val="left"/>
              <w:rPr>
                <w:rFonts w:hint="eastAsia" w:ascii="宋体" w:hAnsi="宋体" w:eastAsia="宋体" w:cs="宋体"/>
                <w:color w:val="auto"/>
                <w:kern w:val="0"/>
                <w:sz w:val="22"/>
                <w:szCs w:val="22"/>
                <w:lang w:val="en-US" w:eastAsia="zh-CN" w:bidi="ar"/>
              </w:rPr>
            </w:pPr>
            <w:r>
              <w:rPr>
                <w:rFonts w:hint="eastAsia" w:ascii="宋体" w:hAnsi="宋体" w:eastAsia="宋体" w:cs="宋体"/>
                <w:color w:val="auto"/>
                <w:kern w:val="0"/>
                <w:sz w:val="22"/>
                <w:szCs w:val="22"/>
                <w:lang w:val="en-US" w:eastAsia="zh-CN" w:bidi="ar"/>
              </w:rPr>
              <w:t>乐山市制定了乐山市大气环境质量限期达标规划（</w:t>
            </w:r>
            <w:r>
              <w:rPr>
                <w:rFonts w:hint="default" w:ascii="Times New Roman" w:hAnsi="Times New Roman" w:eastAsia="宋体" w:cs="Times New Roman"/>
                <w:color w:val="auto"/>
                <w:kern w:val="0"/>
                <w:sz w:val="22"/>
                <w:szCs w:val="22"/>
                <w:lang w:val="en-US" w:eastAsia="zh-CN" w:bidi="ar"/>
              </w:rPr>
              <w:t>2016</w:t>
            </w:r>
            <w:r>
              <w:rPr>
                <w:rFonts w:hint="eastAsia" w:ascii="宋体" w:hAnsi="宋体" w:eastAsia="宋体" w:cs="宋体"/>
                <w:color w:val="auto"/>
                <w:kern w:val="0"/>
                <w:sz w:val="22"/>
                <w:szCs w:val="22"/>
                <w:lang w:val="en-US" w:eastAsia="zh-CN" w:bidi="ar"/>
              </w:rPr>
              <w:t>年</w:t>
            </w:r>
            <w:r>
              <w:rPr>
                <w:rFonts w:hint="default" w:ascii="Times New Roman" w:hAnsi="Times New Roman" w:eastAsia="宋体" w:cs="Times New Roman"/>
                <w:color w:val="auto"/>
                <w:kern w:val="0"/>
                <w:sz w:val="22"/>
                <w:szCs w:val="22"/>
                <w:lang w:val="en-US" w:eastAsia="zh-CN" w:bidi="ar"/>
              </w:rPr>
              <w:t>-2025</w:t>
            </w:r>
            <w:r>
              <w:rPr>
                <w:rFonts w:hint="eastAsia" w:ascii="宋体" w:hAnsi="宋体" w:eastAsia="宋体" w:cs="宋体"/>
                <w:color w:val="auto"/>
                <w:kern w:val="0"/>
                <w:sz w:val="22"/>
                <w:szCs w:val="22"/>
                <w:lang w:val="en-US" w:eastAsia="zh-CN" w:bidi="ar"/>
              </w:rPr>
              <w:t>年），明确大气污染防治措施，力争在</w:t>
            </w:r>
            <w:r>
              <w:rPr>
                <w:rFonts w:hint="default" w:ascii="Times New Roman" w:hAnsi="Times New Roman" w:eastAsia="宋体" w:cs="Times New Roman"/>
                <w:color w:val="auto"/>
                <w:kern w:val="0"/>
                <w:sz w:val="22"/>
                <w:szCs w:val="22"/>
                <w:lang w:val="en-US" w:eastAsia="zh-CN" w:bidi="ar"/>
              </w:rPr>
              <w:t>2025</w:t>
            </w:r>
            <w:r>
              <w:rPr>
                <w:rFonts w:hint="eastAsia" w:ascii="宋体" w:hAnsi="宋体" w:eastAsia="宋体" w:cs="宋体"/>
                <w:color w:val="auto"/>
                <w:kern w:val="0"/>
                <w:sz w:val="22"/>
                <w:szCs w:val="22"/>
                <w:lang w:val="en-US" w:eastAsia="zh-CN" w:bidi="ar"/>
              </w:rPr>
              <w:t>年底前实现空气质量全面达标。</w:t>
            </w:r>
          </w:p>
          <w:p>
            <w:pPr>
              <w:keepNext w:val="0"/>
              <w:keepLines w:val="0"/>
              <w:widowControl/>
              <w:suppressLineNumbers w:val="0"/>
              <w:spacing w:line="360" w:lineRule="auto"/>
              <w:ind w:firstLine="442" w:firstLineChars="200"/>
              <w:jc w:val="left"/>
              <w:rPr>
                <w:b/>
                <w:bCs/>
                <w:color w:val="auto"/>
                <w:sz w:val="22"/>
                <w:szCs w:val="22"/>
              </w:rPr>
            </w:pPr>
            <w:r>
              <w:rPr>
                <w:rFonts w:hint="eastAsia" w:ascii="宋体" w:hAnsi="宋体" w:eastAsia="宋体" w:cs="宋体"/>
                <w:b/>
                <w:bCs/>
                <w:color w:val="auto"/>
                <w:kern w:val="0"/>
                <w:sz w:val="22"/>
                <w:szCs w:val="22"/>
                <w:lang w:val="en-US" w:eastAsia="zh-CN" w:bidi="ar"/>
              </w:rPr>
              <w:t>（</w:t>
            </w:r>
            <w:r>
              <w:rPr>
                <w:rFonts w:hint="default" w:ascii="Times New Roman" w:hAnsi="Times New Roman" w:eastAsia="宋体" w:cs="Times New Roman"/>
                <w:b/>
                <w:bCs/>
                <w:color w:val="auto"/>
                <w:kern w:val="0"/>
                <w:sz w:val="22"/>
                <w:szCs w:val="22"/>
                <w:lang w:val="en-US" w:eastAsia="zh-CN" w:bidi="ar"/>
              </w:rPr>
              <w:t>1</w:t>
            </w:r>
            <w:r>
              <w:rPr>
                <w:rFonts w:hint="eastAsia" w:ascii="宋体" w:hAnsi="宋体" w:eastAsia="宋体" w:cs="宋体"/>
                <w:b/>
                <w:bCs/>
                <w:color w:val="auto"/>
                <w:kern w:val="0"/>
                <w:sz w:val="22"/>
                <w:szCs w:val="22"/>
                <w:lang w:val="en-US" w:eastAsia="zh-CN" w:bidi="ar"/>
              </w:rPr>
              <w:t>）近期（</w:t>
            </w:r>
            <w:r>
              <w:rPr>
                <w:rFonts w:hint="default" w:ascii="Times New Roman" w:hAnsi="Times New Roman" w:eastAsia="宋体" w:cs="Times New Roman"/>
                <w:b/>
                <w:bCs/>
                <w:color w:val="auto"/>
                <w:kern w:val="0"/>
                <w:sz w:val="22"/>
                <w:szCs w:val="22"/>
                <w:lang w:val="en-US" w:eastAsia="zh-CN" w:bidi="ar"/>
              </w:rPr>
              <w:t>2017-2020</w:t>
            </w:r>
            <w:r>
              <w:rPr>
                <w:rFonts w:hint="eastAsia" w:ascii="宋体" w:hAnsi="宋体" w:eastAsia="宋体" w:cs="宋体"/>
                <w:b/>
                <w:bCs/>
                <w:color w:val="auto"/>
                <w:kern w:val="0"/>
                <w:sz w:val="22"/>
                <w:szCs w:val="22"/>
                <w:lang w:val="en-US" w:eastAsia="zh-CN" w:bidi="ar"/>
              </w:rPr>
              <w:t>）</w:t>
            </w:r>
            <w:r>
              <w:rPr>
                <w:rFonts w:hint="default" w:ascii="Times New Roman" w:hAnsi="Times New Roman" w:eastAsia="宋体" w:cs="Times New Roman"/>
                <w:b/>
                <w:bCs/>
                <w:color w:val="auto"/>
                <w:kern w:val="0"/>
                <w:sz w:val="22"/>
                <w:szCs w:val="22"/>
                <w:lang w:val="en-US" w:eastAsia="zh-CN" w:bidi="ar"/>
              </w:rPr>
              <w:t>——</w:t>
            </w:r>
            <w:r>
              <w:rPr>
                <w:rFonts w:hint="eastAsia" w:ascii="宋体" w:hAnsi="宋体" w:eastAsia="宋体" w:cs="宋体"/>
                <w:b/>
                <w:bCs/>
                <w:color w:val="auto"/>
                <w:kern w:val="0"/>
                <w:sz w:val="22"/>
                <w:szCs w:val="22"/>
                <w:lang w:val="en-US" w:eastAsia="zh-CN" w:bidi="ar"/>
              </w:rPr>
              <w:t>以减排促改善</w:t>
            </w:r>
          </w:p>
          <w:p>
            <w:pPr>
              <w:keepNext w:val="0"/>
              <w:keepLines w:val="0"/>
              <w:widowControl/>
              <w:suppressLineNumbers w:val="0"/>
              <w:spacing w:line="360" w:lineRule="auto"/>
              <w:ind w:firstLine="440" w:firstLineChars="200"/>
              <w:jc w:val="left"/>
              <w:rPr>
                <w:rFonts w:hint="eastAsia" w:ascii="宋体" w:hAnsi="宋体" w:eastAsia="宋体" w:cs="宋体"/>
                <w:color w:val="auto"/>
                <w:kern w:val="0"/>
                <w:sz w:val="22"/>
                <w:szCs w:val="22"/>
                <w:lang w:val="en-US" w:eastAsia="zh-CN" w:bidi="ar"/>
              </w:rPr>
            </w:pPr>
            <w:r>
              <w:rPr>
                <w:rFonts w:hint="default" w:ascii="Times New Roman" w:hAnsi="Times New Roman" w:eastAsia="宋体" w:cs="Times New Roman"/>
                <w:color w:val="auto"/>
                <w:kern w:val="0"/>
                <w:sz w:val="22"/>
                <w:szCs w:val="22"/>
                <w:lang w:val="en-US" w:eastAsia="zh-CN" w:bidi="ar"/>
              </w:rPr>
              <w:t>“</w:t>
            </w:r>
            <w:r>
              <w:rPr>
                <w:rFonts w:hint="eastAsia" w:ascii="宋体" w:hAnsi="宋体" w:eastAsia="宋体" w:cs="宋体"/>
                <w:color w:val="auto"/>
                <w:kern w:val="0"/>
                <w:sz w:val="22"/>
                <w:szCs w:val="22"/>
                <w:lang w:val="en-US" w:eastAsia="zh-CN" w:bidi="ar"/>
              </w:rPr>
              <w:t>十三五</w:t>
            </w:r>
            <w:r>
              <w:rPr>
                <w:rFonts w:hint="default" w:ascii="Times New Roman" w:hAnsi="Times New Roman" w:eastAsia="宋体" w:cs="Times New Roman"/>
                <w:color w:val="auto"/>
                <w:kern w:val="0"/>
                <w:sz w:val="22"/>
                <w:szCs w:val="22"/>
                <w:lang w:val="en-US" w:eastAsia="zh-CN" w:bidi="ar"/>
              </w:rPr>
              <w:t>”</w:t>
            </w:r>
            <w:r>
              <w:rPr>
                <w:rFonts w:hint="eastAsia" w:ascii="宋体" w:hAnsi="宋体" w:eastAsia="宋体" w:cs="宋体"/>
                <w:color w:val="auto"/>
                <w:kern w:val="0"/>
                <w:sz w:val="22"/>
                <w:szCs w:val="22"/>
                <w:lang w:val="en-US" w:eastAsia="zh-CN" w:bidi="ar"/>
              </w:rPr>
              <w:t>期间，通过控煤、控车、控尘以及调工业布局、调产业结构、调能源结构和成都平原经济区、各县（市、区）、市级部门联动</w:t>
            </w:r>
            <w:r>
              <w:rPr>
                <w:rFonts w:hint="default" w:ascii="Times New Roman" w:hAnsi="Times New Roman" w:eastAsia="宋体" w:cs="Times New Roman"/>
                <w:color w:val="auto"/>
                <w:kern w:val="0"/>
                <w:sz w:val="22"/>
                <w:szCs w:val="22"/>
                <w:lang w:val="en-US" w:eastAsia="zh-CN" w:bidi="ar"/>
              </w:rPr>
              <w:t>“</w:t>
            </w:r>
            <w:r>
              <w:rPr>
                <w:rFonts w:hint="eastAsia" w:ascii="宋体" w:hAnsi="宋体" w:eastAsia="宋体" w:cs="宋体"/>
                <w:color w:val="auto"/>
                <w:kern w:val="0"/>
                <w:sz w:val="22"/>
                <w:szCs w:val="22"/>
                <w:lang w:val="en-US" w:eastAsia="zh-CN" w:bidi="ar"/>
              </w:rPr>
              <w:t>三控三调三联动</w:t>
            </w:r>
            <w:r>
              <w:rPr>
                <w:rFonts w:hint="default" w:ascii="Times New Roman" w:hAnsi="Times New Roman" w:eastAsia="宋体" w:cs="Times New Roman"/>
                <w:color w:val="auto"/>
                <w:kern w:val="0"/>
                <w:sz w:val="22"/>
                <w:szCs w:val="22"/>
                <w:lang w:val="en-US" w:eastAsia="zh-CN" w:bidi="ar"/>
              </w:rPr>
              <w:t>”</w:t>
            </w:r>
            <w:r>
              <w:rPr>
                <w:rFonts w:hint="eastAsia" w:ascii="宋体" w:hAnsi="宋体" w:eastAsia="宋体" w:cs="宋体"/>
                <w:color w:val="auto"/>
                <w:kern w:val="0"/>
                <w:sz w:val="22"/>
                <w:szCs w:val="22"/>
                <w:lang w:val="en-US" w:eastAsia="zh-CN" w:bidi="ar"/>
              </w:rPr>
              <w:t>，集中攻坚削减大气污染物排放总量。严格执行大气污染物排放限值标准，强力实施产业和能源结构调整、工业污染整治、燃煤和餐饮油烟整治、城市和道路扬尘整治、机动车污染整治、露天焚烧污染整治等六大专项行动，努力解决灰霾问题。针对当前乐山市产业以二产为主，末端治理水平有待提升的特点，近期乐山市空气质量达标措施以落后产能淘汰、重点行业企业末端治理为重要抓手，实现多污染物减排。大力实施煤改电、煤改气；以重点企业末端治理为抓手，提升水泥、钢铁、陶瓷、化工等重点行业污染物治理效率；通过淘汰黄标车、油品升级、机动车排放标准升级等综合管理措施，提升机动车综合管理水平。</w:t>
            </w:r>
          </w:p>
          <w:p>
            <w:pPr>
              <w:keepNext w:val="0"/>
              <w:keepLines w:val="0"/>
              <w:widowControl/>
              <w:suppressLineNumbers w:val="0"/>
              <w:spacing w:line="360" w:lineRule="auto"/>
              <w:ind w:firstLine="440" w:firstLineChars="200"/>
              <w:jc w:val="left"/>
              <w:rPr>
                <w:rFonts w:hint="eastAsia"/>
                <w:color w:val="auto"/>
                <w:sz w:val="22"/>
                <w:szCs w:val="22"/>
                <w:lang w:val="en-US" w:eastAsia="zh-CN"/>
              </w:rPr>
            </w:pPr>
            <w:r>
              <w:rPr>
                <w:rFonts w:hint="eastAsia" w:ascii="宋体" w:hAnsi="宋体" w:eastAsia="宋体" w:cs="宋体"/>
                <w:color w:val="auto"/>
                <w:kern w:val="0"/>
                <w:sz w:val="22"/>
                <w:szCs w:val="22"/>
                <w:lang w:val="en-US" w:eastAsia="zh-CN" w:bidi="ar"/>
              </w:rPr>
              <w:t>通过控制扬尘污染、控制秸秆露天焚烧、控制餐饮污染等手段深化面源治理。综合上述措施切实有效减少多种污染物排放量，初步实现环境空气质量改善</w:t>
            </w:r>
          </w:p>
          <w:p>
            <w:pPr>
              <w:keepNext w:val="0"/>
              <w:keepLines w:val="0"/>
              <w:widowControl/>
              <w:suppressLineNumbers w:val="0"/>
              <w:spacing w:line="360" w:lineRule="auto"/>
              <w:ind w:firstLine="442" w:firstLineChars="200"/>
              <w:jc w:val="left"/>
              <w:rPr>
                <w:rFonts w:hint="eastAsia" w:ascii="宋体" w:hAnsi="宋体" w:eastAsia="宋体" w:cs="宋体"/>
                <w:b/>
                <w:bCs/>
                <w:color w:val="auto"/>
                <w:kern w:val="0"/>
                <w:sz w:val="22"/>
                <w:szCs w:val="22"/>
                <w:lang w:val="en-US" w:eastAsia="zh-CN" w:bidi="ar"/>
              </w:rPr>
            </w:pPr>
            <w:r>
              <w:rPr>
                <w:rFonts w:hint="eastAsia" w:ascii="宋体" w:hAnsi="宋体" w:cs="宋体"/>
                <w:b/>
                <w:bCs/>
                <w:color w:val="auto"/>
                <w:kern w:val="0"/>
                <w:sz w:val="22"/>
                <w:szCs w:val="22"/>
                <w:lang w:val="en-US" w:eastAsia="zh-CN" w:bidi="ar"/>
              </w:rPr>
              <w:t>（</w:t>
            </w:r>
            <w:r>
              <w:rPr>
                <w:rFonts w:hint="default" w:ascii="Times New Roman" w:hAnsi="Times New Roman" w:cs="Times New Roman"/>
                <w:b/>
                <w:bCs/>
                <w:color w:val="auto"/>
                <w:kern w:val="0"/>
                <w:sz w:val="22"/>
                <w:szCs w:val="22"/>
                <w:lang w:val="en-US" w:eastAsia="zh-CN" w:bidi="ar"/>
              </w:rPr>
              <w:t>2</w:t>
            </w:r>
            <w:r>
              <w:rPr>
                <w:rFonts w:hint="eastAsia" w:ascii="宋体" w:hAnsi="宋体" w:cs="宋体"/>
                <w:b/>
                <w:bCs/>
                <w:color w:val="auto"/>
                <w:kern w:val="0"/>
                <w:sz w:val="22"/>
                <w:szCs w:val="22"/>
                <w:lang w:val="en-US" w:eastAsia="zh-CN" w:bidi="ar"/>
              </w:rPr>
              <w:t>）</w:t>
            </w:r>
            <w:r>
              <w:rPr>
                <w:rFonts w:hint="eastAsia" w:ascii="宋体" w:hAnsi="宋体" w:eastAsia="宋体" w:cs="宋体"/>
                <w:b/>
                <w:bCs/>
                <w:color w:val="auto"/>
                <w:kern w:val="0"/>
                <w:sz w:val="22"/>
                <w:szCs w:val="22"/>
                <w:lang w:val="en-US" w:eastAsia="zh-CN" w:bidi="ar"/>
              </w:rPr>
              <w:t>中长期（</w:t>
            </w:r>
            <w:r>
              <w:rPr>
                <w:rFonts w:hint="default" w:ascii="Times New Roman" w:hAnsi="Times New Roman" w:eastAsia="宋体" w:cs="Times New Roman"/>
                <w:b/>
                <w:bCs/>
                <w:color w:val="auto"/>
                <w:kern w:val="0"/>
                <w:sz w:val="22"/>
                <w:szCs w:val="22"/>
                <w:lang w:val="en-US" w:eastAsia="zh-CN" w:bidi="ar"/>
              </w:rPr>
              <w:t>2021</w:t>
            </w:r>
            <w:r>
              <w:rPr>
                <w:rFonts w:hint="eastAsia" w:ascii="Times New Roman" w:hAnsi="Times New Roman" w:eastAsia="宋体" w:cs="Times New Roman"/>
                <w:b/>
                <w:bCs/>
                <w:color w:val="auto"/>
                <w:kern w:val="0"/>
                <w:sz w:val="22"/>
                <w:szCs w:val="22"/>
                <w:lang w:val="en-US" w:eastAsia="zh-CN" w:bidi="ar"/>
              </w:rPr>
              <w:t>-</w:t>
            </w:r>
            <w:r>
              <w:rPr>
                <w:rFonts w:hint="default" w:ascii="Times New Roman" w:hAnsi="Times New Roman" w:eastAsia="宋体" w:cs="Times New Roman"/>
                <w:b/>
                <w:bCs/>
                <w:color w:val="auto"/>
                <w:kern w:val="0"/>
                <w:sz w:val="22"/>
                <w:szCs w:val="22"/>
                <w:lang w:val="en-US" w:eastAsia="zh-CN" w:bidi="ar"/>
              </w:rPr>
              <w:t>2025</w:t>
            </w:r>
            <w:r>
              <w:rPr>
                <w:rFonts w:hint="eastAsia" w:ascii="宋体" w:hAnsi="宋体" w:eastAsia="宋体" w:cs="宋体"/>
                <w:b/>
                <w:bCs/>
                <w:color w:val="auto"/>
                <w:kern w:val="0"/>
                <w:sz w:val="22"/>
                <w:szCs w:val="22"/>
                <w:lang w:val="en-US" w:eastAsia="zh-CN" w:bidi="ar"/>
              </w:rPr>
              <w:t>）</w:t>
            </w:r>
            <w:r>
              <w:rPr>
                <w:rFonts w:hint="default" w:ascii="Times New Roman" w:hAnsi="Times New Roman" w:eastAsia="宋体" w:cs="Times New Roman"/>
                <w:b/>
                <w:bCs/>
                <w:color w:val="auto"/>
                <w:kern w:val="0"/>
                <w:sz w:val="22"/>
                <w:szCs w:val="22"/>
                <w:lang w:val="en-US" w:eastAsia="zh-CN" w:bidi="ar"/>
              </w:rPr>
              <w:t>——</w:t>
            </w:r>
            <w:r>
              <w:rPr>
                <w:rFonts w:hint="eastAsia" w:ascii="宋体" w:hAnsi="宋体" w:eastAsia="宋体" w:cs="宋体"/>
                <w:b/>
                <w:bCs/>
                <w:color w:val="auto"/>
                <w:kern w:val="0"/>
                <w:sz w:val="22"/>
                <w:szCs w:val="22"/>
                <w:lang w:val="en-US" w:eastAsia="zh-CN" w:bidi="ar"/>
              </w:rPr>
              <w:t>调结构促转变、强化源头控制，实现战略转型</w:t>
            </w:r>
          </w:p>
          <w:p>
            <w:pPr>
              <w:keepNext w:val="0"/>
              <w:keepLines w:val="0"/>
              <w:widowControl/>
              <w:suppressLineNumbers w:val="0"/>
              <w:spacing w:line="360" w:lineRule="auto"/>
              <w:ind w:firstLine="440" w:firstLineChars="200"/>
              <w:jc w:val="left"/>
              <w:rPr>
                <w:rFonts w:hint="default" w:ascii="Times New Roman" w:hAnsi="Times New Roman" w:eastAsia="宋体" w:cs="Times New Roman"/>
                <w:bCs/>
                <w:color w:val="auto"/>
                <w:sz w:val="22"/>
                <w:szCs w:val="22"/>
                <w:highlight w:val="none"/>
                <w:lang w:val="en-US" w:eastAsia="zh-CN"/>
              </w:rPr>
            </w:pPr>
            <w:r>
              <w:rPr>
                <w:rFonts w:hint="eastAsia" w:ascii="宋体" w:hAnsi="宋体" w:eastAsia="宋体" w:cs="宋体"/>
                <w:color w:val="auto"/>
                <w:kern w:val="0"/>
                <w:sz w:val="22"/>
                <w:szCs w:val="22"/>
                <w:lang w:val="en-US" w:eastAsia="zh-CN" w:bidi="ar"/>
              </w:rPr>
              <w:t>逐步调整产业结构，以大气环境达标倒逼产业转型，逐步实现大气污染控制从末端治理到源头控制过渡，加快工业发展绿色化进程。这一时期大气污染排放量控制的重点将是强化源头的全控制过程。以空间格局及产业布局优化为切入点，通过严格环境准入、企业搬迁、产能淘汰等差异化的空间管理要求，引导经济发展格局有序发展；通过提高环境准入门槛、淘汰落后产能等方式倒逼能源结构和产业结构的优化升级。综合通过资源能源消费总量控制、调整产业结构、空间布局优化等手段从源头控制污染物排放。</w:t>
            </w:r>
          </w:p>
          <w:p>
            <w:pPr>
              <w:pStyle w:val="14"/>
              <w:spacing w:before="0" w:after="0" w:line="360" w:lineRule="auto"/>
              <w:ind w:right="0" w:firstLine="442" w:firstLineChars="200"/>
              <w:jc w:val="left"/>
              <w:rPr>
                <w:rFonts w:hint="default" w:ascii="Times New Roman" w:hAnsi="Times New Roman" w:cs="Times New Roman"/>
                <w:b/>
                <w:bCs w:val="0"/>
                <w:color w:val="auto"/>
                <w:sz w:val="22"/>
                <w:szCs w:val="22"/>
                <w:highlight w:val="none"/>
                <w:lang w:val="en-US" w:eastAsia="zh-CN"/>
              </w:rPr>
            </w:pPr>
            <w:r>
              <w:rPr>
                <w:rFonts w:hint="default" w:ascii="Times New Roman" w:hAnsi="Times New Roman" w:cs="Times New Roman"/>
                <w:b/>
                <w:bCs w:val="0"/>
                <w:color w:val="auto"/>
                <w:sz w:val="22"/>
                <w:szCs w:val="22"/>
                <w:highlight w:val="none"/>
                <w:lang w:val="en-US" w:eastAsia="zh-CN"/>
              </w:rPr>
              <w:t>1.</w:t>
            </w:r>
            <w:r>
              <w:rPr>
                <w:rFonts w:hint="eastAsia" w:ascii="Times New Roman" w:hAnsi="Times New Roman" w:cs="Times New Roman"/>
                <w:b/>
                <w:bCs w:val="0"/>
                <w:color w:val="auto"/>
                <w:sz w:val="22"/>
                <w:szCs w:val="22"/>
                <w:highlight w:val="none"/>
                <w:lang w:val="en-US" w:eastAsia="zh-CN"/>
              </w:rPr>
              <w:t>3</w:t>
            </w:r>
            <w:r>
              <w:rPr>
                <w:rFonts w:hint="default" w:ascii="Times New Roman" w:hAnsi="Times New Roman" w:cs="Times New Roman"/>
                <w:b/>
                <w:bCs w:val="0"/>
                <w:color w:val="auto"/>
                <w:sz w:val="22"/>
                <w:szCs w:val="22"/>
                <w:highlight w:val="none"/>
                <w:lang w:val="en-US" w:eastAsia="zh-CN"/>
              </w:rPr>
              <w:t>大气特征污染物现状</w:t>
            </w:r>
          </w:p>
          <w:p>
            <w:pPr>
              <w:pStyle w:val="14"/>
              <w:spacing w:before="0" w:after="0" w:line="360" w:lineRule="auto"/>
              <w:ind w:right="0" w:firstLine="440" w:firstLineChars="200"/>
              <w:jc w:val="left"/>
              <w:rPr>
                <w:rFonts w:hint="eastAsia" w:ascii="Times New Roman" w:hAnsi="Times New Roman" w:eastAsia="宋体" w:cs="Times New Roman"/>
                <w:color w:val="auto"/>
                <w:sz w:val="22"/>
                <w:szCs w:val="22"/>
                <w:highlight w:val="none"/>
                <w:lang w:eastAsia="zh-CN"/>
              </w:rPr>
            </w:pPr>
            <w:r>
              <w:rPr>
                <w:rFonts w:hint="default" w:ascii="Times New Roman" w:hAnsi="Times New Roman" w:cs="Times New Roman"/>
                <w:color w:val="auto"/>
                <w:sz w:val="22"/>
                <w:szCs w:val="22"/>
                <w:highlight w:val="none"/>
              </w:rPr>
              <w:t>为进一步了解项目区域环境质量状况，本次环评</w:t>
            </w:r>
            <w:r>
              <w:rPr>
                <w:rFonts w:hint="eastAsia" w:ascii="Times New Roman" w:hAnsi="Times New Roman" w:cs="Times New Roman"/>
                <w:color w:val="auto"/>
                <w:sz w:val="22"/>
                <w:szCs w:val="22"/>
                <w:highlight w:val="none"/>
                <w:lang w:eastAsia="zh-CN"/>
              </w:rPr>
              <w:t>委托四川瑞兴环保检测有限公司于202</w:t>
            </w:r>
            <w:r>
              <w:rPr>
                <w:rFonts w:hint="eastAsia" w:ascii="Times New Roman" w:hAnsi="Times New Roman" w:cs="Times New Roman"/>
                <w:color w:val="auto"/>
                <w:sz w:val="22"/>
                <w:szCs w:val="22"/>
                <w:highlight w:val="none"/>
                <w:lang w:val="en-US" w:eastAsia="zh-CN"/>
              </w:rPr>
              <w:t>3</w:t>
            </w:r>
            <w:r>
              <w:rPr>
                <w:rFonts w:hint="eastAsia" w:ascii="Times New Roman" w:hAnsi="Times New Roman" w:cs="Times New Roman"/>
                <w:color w:val="auto"/>
                <w:sz w:val="22"/>
                <w:szCs w:val="22"/>
                <w:highlight w:val="none"/>
                <w:lang w:eastAsia="zh-CN"/>
              </w:rPr>
              <w:t>年0</w:t>
            </w:r>
            <w:r>
              <w:rPr>
                <w:rFonts w:hint="eastAsia" w:ascii="Times New Roman" w:hAnsi="Times New Roman" w:cs="Times New Roman"/>
                <w:color w:val="auto"/>
                <w:sz w:val="22"/>
                <w:szCs w:val="22"/>
                <w:highlight w:val="none"/>
                <w:lang w:val="en-US" w:eastAsia="zh-CN"/>
              </w:rPr>
              <w:t>3</w:t>
            </w:r>
            <w:r>
              <w:rPr>
                <w:rFonts w:hint="eastAsia" w:ascii="Times New Roman" w:hAnsi="Times New Roman" w:cs="Times New Roman"/>
                <w:color w:val="auto"/>
                <w:sz w:val="22"/>
                <w:szCs w:val="22"/>
                <w:highlight w:val="none"/>
                <w:lang w:eastAsia="zh-CN"/>
              </w:rPr>
              <w:t>月</w:t>
            </w:r>
            <w:r>
              <w:rPr>
                <w:rFonts w:hint="eastAsia" w:ascii="Times New Roman" w:hAnsi="Times New Roman" w:cs="Times New Roman"/>
                <w:color w:val="auto"/>
                <w:sz w:val="22"/>
                <w:szCs w:val="22"/>
                <w:highlight w:val="none"/>
                <w:lang w:val="en-US" w:eastAsia="zh-CN"/>
              </w:rPr>
              <w:t>09</w:t>
            </w:r>
            <w:r>
              <w:rPr>
                <w:rFonts w:hint="eastAsia" w:ascii="Times New Roman" w:hAnsi="Times New Roman" w:cs="Times New Roman"/>
                <w:color w:val="auto"/>
                <w:sz w:val="22"/>
                <w:szCs w:val="22"/>
                <w:highlight w:val="none"/>
                <w:lang w:eastAsia="zh-CN"/>
              </w:rPr>
              <w:t>日至202</w:t>
            </w:r>
            <w:r>
              <w:rPr>
                <w:rFonts w:hint="eastAsia" w:ascii="Times New Roman" w:hAnsi="Times New Roman" w:cs="Times New Roman"/>
                <w:color w:val="auto"/>
                <w:sz w:val="22"/>
                <w:szCs w:val="22"/>
                <w:highlight w:val="none"/>
                <w:lang w:val="en-US" w:eastAsia="zh-CN"/>
              </w:rPr>
              <w:t>3</w:t>
            </w:r>
            <w:r>
              <w:rPr>
                <w:rFonts w:hint="eastAsia" w:ascii="Times New Roman" w:hAnsi="Times New Roman" w:cs="Times New Roman"/>
                <w:color w:val="auto"/>
                <w:sz w:val="22"/>
                <w:szCs w:val="22"/>
                <w:highlight w:val="none"/>
                <w:lang w:eastAsia="zh-CN"/>
              </w:rPr>
              <w:t>年0</w:t>
            </w:r>
            <w:r>
              <w:rPr>
                <w:rFonts w:hint="eastAsia" w:ascii="Times New Roman" w:hAnsi="Times New Roman" w:cs="Times New Roman"/>
                <w:color w:val="auto"/>
                <w:sz w:val="22"/>
                <w:szCs w:val="22"/>
                <w:highlight w:val="none"/>
                <w:lang w:val="en-US" w:eastAsia="zh-CN"/>
              </w:rPr>
              <w:t>3</w:t>
            </w:r>
            <w:r>
              <w:rPr>
                <w:rFonts w:hint="eastAsia" w:ascii="Times New Roman" w:hAnsi="Times New Roman" w:cs="Times New Roman"/>
                <w:color w:val="auto"/>
                <w:sz w:val="22"/>
                <w:szCs w:val="22"/>
                <w:highlight w:val="none"/>
                <w:lang w:eastAsia="zh-CN"/>
              </w:rPr>
              <w:t>月</w:t>
            </w:r>
            <w:r>
              <w:rPr>
                <w:rFonts w:hint="eastAsia" w:ascii="Times New Roman" w:hAnsi="Times New Roman" w:cs="Times New Roman"/>
                <w:color w:val="auto"/>
                <w:sz w:val="22"/>
                <w:szCs w:val="22"/>
                <w:highlight w:val="none"/>
                <w:lang w:val="en-US" w:eastAsia="zh-CN"/>
              </w:rPr>
              <w:t>11</w:t>
            </w:r>
            <w:r>
              <w:rPr>
                <w:rFonts w:hint="eastAsia" w:ascii="Times New Roman" w:hAnsi="Times New Roman" w:cs="Times New Roman"/>
                <w:color w:val="auto"/>
                <w:sz w:val="22"/>
                <w:szCs w:val="22"/>
                <w:highlight w:val="none"/>
                <w:lang w:eastAsia="zh-CN"/>
              </w:rPr>
              <w:t>日对项目所在地的苯、甲苯、二甲苯、非甲烷总烃的环境质量现状进行了监测，结果如下：</w:t>
            </w:r>
          </w:p>
          <w:p>
            <w:pPr>
              <w:pStyle w:val="14"/>
              <w:spacing w:before="0" w:after="0" w:line="360" w:lineRule="auto"/>
              <w:ind w:right="0" w:firstLine="442" w:firstLineChars="200"/>
              <w:jc w:val="left"/>
              <w:rPr>
                <w:rFonts w:hint="eastAsia" w:ascii="Times New Roman" w:hAnsi="Times New Roman" w:eastAsia="宋体" w:cs="Times New Roman"/>
                <w:b/>
                <w:bCs/>
                <w:color w:val="auto"/>
                <w:sz w:val="22"/>
                <w:szCs w:val="22"/>
                <w:highlight w:val="none"/>
                <w:lang w:eastAsia="zh-CN"/>
              </w:rPr>
            </w:pPr>
            <w:r>
              <w:rPr>
                <w:rFonts w:hint="eastAsia" w:ascii="Times New Roman" w:hAnsi="Times New Roman" w:cs="Times New Roman"/>
                <w:b/>
                <w:bCs/>
                <w:color w:val="auto"/>
                <w:sz w:val="22"/>
                <w:szCs w:val="22"/>
                <w:highlight w:val="none"/>
                <w:lang w:eastAsia="zh-CN"/>
              </w:rPr>
              <w:t>（</w:t>
            </w:r>
            <w:r>
              <w:rPr>
                <w:rFonts w:hint="eastAsia" w:ascii="Times New Roman" w:hAnsi="Times New Roman" w:cs="Times New Roman"/>
                <w:b/>
                <w:bCs/>
                <w:color w:val="auto"/>
                <w:sz w:val="22"/>
                <w:szCs w:val="22"/>
                <w:highlight w:val="none"/>
                <w:lang w:val="en-US" w:eastAsia="zh-CN"/>
              </w:rPr>
              <w:t>1</w:t>
            </w:r>
            <w:r>
              <w:rPr>
                <w:rFonts w:hint="eastAsia" w:ascii="Times New Roman" w:hAnsi="Times New Roman" w:cs="Times New Roman"/>
                <w:b/>
                <w:bCs/>
                <w:color w:val="auto"/>
                <w:sz w:val="22"/>
                <w:szCs w:val="22"/>
                <w:highlight w:val="none"/>
                <w:lang w:eastAsia="zh-CN"/>
              </w:rPr>
              <w:t>）检测类别、项目及点位</w:t>
            </w:r>
          </w:p>
          <w:p>
            <w:pPr>
              <w:autoSpaceDE w:val="0"/>
              <w:autoSpaceDN w:val="0"/>
              <w:adjustRightInd w:val="0"/>
              <w:jc w:val="center"/>
              <w:rPr>
                <w:rFonts w:hint="default" w:ascii="Times New Roman" w:hAnsi="Times New Roman" w:cs="Times New Roman"/>
                <w:b/>
                <w:bCs/>
                <w:color w:val="auto"/>
                <w:sz w:val="20"/>
                <w:szCs w:val="20"/>
                <w:highlight w:val="none"/>
              </w:rPr>
            </w:pPr>
            <w:r>
              <w:rPr>
                <w:rFonts w:hint="default" w:ascii="Times New Roman" w:hAnsi="Times New Roman" w:cs="Times New Roman"/>
                <w:b/>
                <w:bCs/>
                <w:color w:val="auto"/>
                <w:sz w:val="20"/>
                <w:szCs w:val="20"/>
                <w:highlight w:val="none"/>
              </w:rPr>
              <w:t>表 3-</w:t>
            </w:r>
            <w:r>
              <w:rPr>
                <w:rFonts w:hint="eastAsia" w:ascii="Times New Roman" w:hAnsi="Times New Roman" w:cs="Times New Roman"/>
                <w:b/>
                <w:bCs/>
                <w:color w:val="auto"/>
                <w:sz w:val="20"/>
                <w:szCs w:val="20"/>
                <w:highlight w:val="none"/>
                <w:lang w:val="en-US" w:eastAsia="zh-CN"/>
              </w:rPr>
              <w:t>2</w:t>
            </w:r>
            <w:r>
              <w:rPr>
                <w:rFonts w:hint="default" w:ascii="Times New Roman" w:hAnsi="Times New Roman" w:cs="Times New Roman"/>
                <w:b/>
                <w:bCs/>
                <w:color w:val="auto"/>
                <w:sz w:val="20"/>
                <w:szCs w:val="20"/>
                <w:highlight w:val="none"/>
              </w:rPr>
              <w:t xml:space="preserve">  检测项目信息表</w:t>
            </w:r>
          </w:p>
          <w:tbl>
            <w:tblPr>
              <w:tblStyle w:val="43"/>
              <w:tblW w:w="78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8"/>
              <w:gridCol w:w="1998"/>
              <w:gridCol w:w="2862"/>
              <w:gridCol w:w="13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688" w:type="dxa"/>
                  <w:noWrap w:val="0"/>
                  <w:vAlign w:val="center"/>
                </w:tcPr>
                <w:p>
                  <w:pPr>
                    <w:spacing w:after="0" w:line="220" w:lineRule="atLeast"/>
                    <w:jc w:val="center"/>
                    <w:rPr>
                      <w:rFonts w:ascii="Times New Roman" w:hAnsi="Times New Roman" w:cs="Times New Roman"/>
                      <w:b/>
                      <w:color w:val="auto"/>
                      <w:sz w:val="21"/>
                      <w:szCs w:val="21"/>
                      <w:highlight w:val="none"/>
                    </w:rPr>
                  </w:pPr>
                  <w:r>
                    <w:rPr>
                      <w:rFonts w:hint="eastAsia" w:ascii="Times New Roman" w:hAnsi="Times New Roman" w:cs="Times New Roman"/>
                      <w:b/>
                      <w:color w:val="auto"/>
                      <w:sz w:val="21"/>
                      <w:szCs w:val="21"/>
                      <w:highlight w:val="none"/>
                    </w:rPr>
                    <w:t>检</w:t>
                  </w:r>
                  <w:r>
                    <w:rPr>
                      <w:rFonts w:ascii="Times New Roman" w:hAnsi="Times New Roman" w:cs="Times New Roman"/>
                      <w:b/>
                      <w:color w:val="auto"/>
                      <w:sz w:val="21"/>
                      <w:szCs w:val="21"/>
                      <w:highlight w:val="none"/>
                    </w:rPr>
                    <w:t>测类别</w:t>
                  </w:r>
                </w:p>
              </w:tc>
              <w:tc>
                <w:tcPr>
                  <w:tcW w:w="1998" w:type="dxa"/>
                  <w:noWrap w:val="0"/>
                  <w:vAlign w:val="center"/>
                </w:tcPr>
                <w:p>
                  <w:pPr>
                    <w:spacing w:after="0" w:line="220" w:lineRule="atLeast"/>
                    <w:jc w:val="center"/>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点位名称</w:t>
                  </w:r>
                </w:p>
              </w:tc>
              <w:tc>
                <w:tcPr>
                  <w:tcW w:w="2862" w:type="dxa"/>
                  <w:noWrap w:val="0"/>
                  <w:vAlign w:val="center"/>
                </w:tcPr>
                <w:p>
                  <w:pPr>
                    <w:spacing w:after="0" w:line="220" w:lineRule="atLeast"/>
                    <w:jc w:val="center"/>
                    <w:rPr>
                      <w:rFonts w:ascii="Times New Roman" w:hAnsi="Times New Roman" w:cs="Times New Roman"/>
                      <w:b/>
                      <w:color w:val="auto"/>
                      <w:sz w:val="21"/>
                      <w:szCs w:val="21"/>
                      <w:highlight w:val="none"/>
                    </w:rPr>
                  </w:pPr>
                  <w:r>
                    <w:rPr>
                      <w:rFonts w:hint="eastAsia" w:ascii="Times New Roman" w:hAnsi="Times New Roman" w:cs="Times New Roman"/>
                      <w:b/>
                      <w:color w:val="auto"/>
                      <w:sz w:val="21"/>
                      <w:szCs w:val="21"/>
                      <w:highlight w:val="none"/>
                    </w:rPr>
                    <w:t>检</w:t>
                  </w:r>
                  <w:r>
                    <w:rPr>
                      <w:rFonts w:ascii="Times New Roman" w:hAnsi="Times New Roman" w:cs="Times New Roman"/>
                      <w:b/>
                      <w:color w:val="auto"/>
                      <w:sz w:val="21"/>
                      <w:szCs w:val="21"/>
                      <w:highlight w:val="none"/>
                    </w:rPr>
                    <w:t>测项目</w:t>
                  </w:r>
                </w:p>
              </w:tc>
              <w:tc>
                <w:tcPr>
                  <w:tcW w:w="1310" w:type="dxa"/>
                  <w:noWrap w:val="0"/>
                  <w:vAlign w:val="center"/>
                </w:tcPr>
                <w:p>
                  <w:pPr>
                    <w:spacing w:after="0" w:line="220" w:lineRule="atLeast"/>
                    <w:jc w:val="center"/>
                    <w:rPr>
                      <w:rFonts w:ascii="Times New Roman" w:hAnsi="Times New Roman" w:cs="Times New Roman"/>
                      <w:b/>
                      <w:color w:val="auto"/>
                      <w:sz w:val="21"/>
                      <w:szCs w:val="21"/>
                      <w:highlight w:val="none"/>
                    </w:rPr>
                  </w:pPr>
                  <w:r>
                    <w:rPr>
                      <w:rFonts w:hint="eastAsia" w:ascii="Times New Roman" w:hAnsi="Times New Roman" w:cs="Times New Roman"/>
                      <w:b/>
                      <w:color w:val="auto"/>
                      <w:sz w:val="21"/>
                      <w:szCs w:val="21"/>
                      <w:highlight w:val="none"/>
                      <w:lang w:val="en-US" w:eastAsia="zh-CN"/>
                    </w:rPr>
                    <w:t>检测</w:t>
                  </w:r>
                  <w:r>
                    <w:rPr>
                      <w:rFonts w:ascii="Times New Roman" w:hAnsi="Times New Roman" w:cs="Times New Roman"/>
                      <w:b/>
                      <w:color w:val="auto"/>
                      <w:sz w:val="21"/>
                      <w:szCs w:val="21"/>
                      <w:highlight w:val="none"/>
                    </w:rPr>
                    <w:t>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688" w:type="dxa"/>
                  <w:vMerge w:val="restart"/>
                  <w:noWrap w:val="0"/>
                  <w:vAlign w:val="center"/>
                </w:tcPr>
                <w:p>
                  <w:pPr>
                    <w:spacing w:after="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eastAsia="zh-CN"/>
                    </w:rPr>
                    <w:t>环境空气</w:t>
                  </w:r>
                </w:p>
              </w:tc>
              <w:tc>
                <w:tcPr>
                  <w:tcW w:w="1998" w:type="dxa"/>
                  <w:vMerge w:val="restart"/>
                  <w:noWrap w:val="0"/>
                  <w:vAlign w:val="center"/>
                </w:tcPr>
                <w:p>
                  <w:pPr>
                    <w:pStyle w:val="33"/>
                    <w:keepNext w:val="0"/>
                    <w:keepLines w:val="0"/>
                    <w:pageBreakBefore w:val="0"/>
                    <w:widowControl/>
                    <w:kinsoku/>
                    <w:wordWrap/>
                    <w:overflowPunct/>
                    <w:topLinePunct w:val="0"/>
                    <w:autoSpaceDE/>
                    <w:autoSpaceDN/>
                    <w:bidi w:val="0"/>
                    <w:adjustRightInd w:val="0"/>
                    <w:snapToGrid w:val="0"/>
                    <w:spacing w:after="0"/>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bidi="ar-SA"/>
                    </w:rPr>
                    <w:t>1#：项目下风向南侧厂界内</w:t>
                  </w:r>
                </w:p>
              </w:tc>
              <w:tc>
                <w:tcPr>
                  <w:tcW w:w="2862"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auto"/>
                      <w:sz w:val="21"/>
                      <w:szCs w:val="21"/>
                      <w:highlight w:val="none"/>
                      <w:lang w:eastAsia="zh-CN"/>
                    </w:rPr>
                  </w:pPr>
                  <w:r>
                    <w:rPr>
                      <w:rFonts w:hint="eastAsia" w:eastAsia="宋体"/>
                      <w:color w:val="auto"/>
                      <w:sz w:val="21"/>
                      <w:szCs w:val="21"/>
                      <w:highlight w:val="none"/>
                      <w:lang w:eastAsia="zh-CN"/>
                    </w:rPr>
                    <w:t>苯</w:t>
                  </w:r>
                </w:p>
              </w:tc>
              <w:tc>
                <w:tcPr>
                  <w:tcW w:w="1310" w:type="dxa"/>
                  <w:vMerge w:val="restart"/>
                  <w:noWrap w:val="0"/>
                  <w:vAlign w:val="center"/>
                </w:tcPr>
                <w:p>
                  <w:pPr>
                    <w:adjustRightInd w:val="0"/>
                    <w:snapToGrid w:val="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检测</w:t>
                  </w:r>
                  <w:r>
                    <w:rPr>
                      <w:rFonts w:hint="eastAsia" w:ascii="Times New Roman" w:hAnsi="Times New Roman" w:cs="Times New Roman"/>
                      <w:bCs/>
                      <w:color w:val="auto"/>
                      <w:sz w:val="21"/>
                      <w:szCs w:val="21"/>
                      <w:highlight w:val="none"/>
                      <w:lang w:val="en-US" w:eastAsia="zh-CN"/>
                    </w:rPr>
                    <w:t>3</w:t>
                  </w:r>
                  <w:r>
                    <w:rPr>
                      <w:rFonts w:hint="default" w:ascii="Times New Roman" w:hAnsi="Times New Roman" w:cs="Times New Roman"/>
                      <w:bCs/>
                      <w:color w:val="auto"/>
                      <w:sz w:val="21"/>
                      <w:szCs w:val="21"/>
                      <w:highlight w:val="none"/>
                    </w:rPr>
                    <w:t>天，</w:t>
                  </w:r>
                </w:p>
                <w:p>
                  <w:pPr>
                    <w:spacing w:after="0"/>
                    <w:jc w:val="center"/>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bCs/>
                      <w:color w:val="auto"/>
                      <w:sz w:val="21"/>
                      <w:szCs w:val="21"/>
                      <w:highlight w:val="none"/>
                    </w:rPr>
                    <w:t>每天</w:t>
                  </w:r>
                  <w:r>
                    <w:rPr>
                      <w:rFonts w:hint="eastAsia" w:ascii="Times New Roman" w:hAnsi="Times New Roman" w:cs="Times New Roman"/>
                      <w:bCs/>
                      <w:color w:val="auto"/>
                      <w:sz w:val="21"/>
                      <w:szCs w:val="21"/>
                      <w:highlight w:val="none"/>
                      <w:lang w:val="en-US" w:eastAsia="zh-CN"/>
                    </w:rPr>
                    <w:t>3</w:t>
                  </w:r>
                  <w:r>
                    <w:rPr>
                      <w:rFonts w:hint="default" w:ascii="Times New Roman" w:hAnsi="Times New Roman" w:cs="Times New Roman"/>
                      <w:bCs/>
                      <w:color w:val="auto"/>
                      <w:sz w:val="21"/>
                      <w:szCs w:val="21"/>
                      <w:highlight w:val="none"/>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688" w:type="dxa"/>
                  <w:vMerge w:val="continue"/>
                  <w:noWrap w:val="0"/>
                  <w:vAlign w:val="center"/>
                </w:tcPr>
                <w:p>
                  <w:pPr>
                    <w:spacing w:after="0"/>
                    <w:jc w:val="center"/>
                    <w:rPr>
                      <w:rFonts w:hint="eastAsia" w:ascii="Times New Roman" w:hAnsi="Times New Roman" w:cs="Times New Roman"/>
                      <w:color w:val="auto"/>
                      <w:sz w:val="21"/>
                      <w:szCs w:val="21"/>
                      <w:highlight w:val="none"/>
                      <w:lang w:eastAsia="zh-CN"/>
                    </w:rPr>
                  </w:pPr>
                </w:p>
              </w:tc>
              <w:tc>
                <w:tcPr>
                  <w:tcW w:w="1998"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auto"/>
                      <w:sz w:val="21"/>
                      <w:szCs w:val="21"/>
                      <w:highlight w:val="none"/>
                      <w:lang w:val="en-US" w:eastAsia="zh-CN"/>
                    </w:rPr>
                  </w:pPr>
                </w:p>
              </w:tc>
              <w:tc>
                <w:tcPr>
                  <w:tcW w:w="2862"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auto"/>
                      <w:sz w:val="21"/>
                      <w:szCs w:val="21"/>
                      <w:highlight w:val="none"/>
                      <w:lang w:eastAsia="zh-CN"/>
                    </w:rPr>
                  </w:pPr>
                  <w:r>
                    <w:rPr>
                      <w:rFonts w:hint="eastAsia" w:eastAsia="宋体"/>
                      <w:color w:val="auto"/>
                      <w:sz w:val="21"/>
                      <w:szCs w:val="21"/>
                      <w:highlight w:val="none"/>
                      <w:lang w:eastAsia="zh-CN"/>
                    </w:rPr>
                    <w:t>甲苯</w:t>
                  </w:r>
                </w:p>
              </w:tc>
              <w:tc>
                <w:tcPr>
                  <w:tcW w:w="1310" w:type="dxa"/>
                  <w:vMerge w:val="continue"/>
                  <w:noWrap w:val="0"/>
                  <w:vAlign w:val="center"/>
                </w:tcPr>
                <w:p>
                  <w:pPr>
                    <w:spacing w:after="0"/>
                    <w:jc w:val="center"/>
                    <w:rPr>
                      <w:rFonts w:hint="eastAsia"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688" w:type="dxa"/>
                  <w:vMerge w:val="continue"/>
                  <w:noWrap w:val="0"/>
                  <w:vAlign w:val="center"/>
                </w:tcPr>
                <w:p>
                  <w:pPr>
                    <w:spacing w:after="0"/>
                    <w:jc w:val="center"/>
                    <w:rPr>
                      <w:rFonts w:hint="eastAsia" w:ascii="Times New Roman" w:hAnsi="Times New Roman" w:cs="Times New Roman"/>
                      <w:color w:val="auto"/>
                      <w:sz w:val="21"/>
                      <w:szCs w:val="21"/>
                      <w:highlight w:val="none"/>
                      <w:lang w:eastAsia="zh-CN"/>
                    </w:rPr>
                  </w:pPr>
                </w:p>
              </w:tc>
              <w:tc>
                <w:tcPr>
                  <w:tcW w:w="1998"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auto"/>
                      <w:sz w:val="21"/>
                      <w:szCs w:val="21"/>
                      <w:highlight w:val="none"/>
                      <w:lang w:val="en-US" w:eastAsia="zh-CN"/>
                    </w:rPr>
                  </w:pPr>
                </w:p>
              </w:tc>
              <w:tc>
                <w:tcPr>
                  <w:tcW w:w="2862" w:type="dxa"/>
                  <w:noWrap w:val="0"/>
                  <w:vAlign w:val="center"/>
                </w:tcPr>
                <w:p>
                  <w:pPr>
                    <w:spacing w:after="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二甲苯</w:t>
                  </w:r>
                </w:p>
              </w:tc>
              <w:tc>
                <w:tcPr>
                  <w:tcW w:w="1310" w:type="dxa"/>
                  <w:vMerge w:val="continue"/>
                  <w:noWrap w:val="0"/>
                  <w:vAlign w:val="center"/>
                </w:tcPr>
                <w:p>
                  <w:pPr>
                    <w:spacing w:after="0"/>
                    <w:jc w:val="center"/>
                    <w:rPr>
                      <w:rFonts w:hint="eastAsia"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688" w:type="dxa"/>
                  <w:vMerge w:val="continue"/>
                  <w:noWrap w:val="0"/>
                  <w:vAlign w:val="center"/>
                </w:tcPr>
                <w:p>
                  <w:pPr>
                    <w:spacing w:after="0"/>
                    <w:jc w:val="center"/>
                    <w:rPr>
                      <w:rFonts w:hint="eastAsia" w:ascii="Times New Roman" w:hAnsi="Times New Roman" w:eastAsia="宋体" w:cs="Times New Roman"/>
                      <w:color w:val="auto"/>
                      <w:sz w:val="21"/>
                      <w:szCs w:val="21"/>
                      <w:highlight w:val="none"/>
                      <w:lang w:eastAsia="zh-CN"/>
                    </w:rPr>
                  </w:pPr>
                </w:p>
              </w:tc>
              <w:tc>
                <w:tcPr>
                  <w:tcW w:w="1998"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auto"/>
                      <w:sz w:val="21"/>
                      <w:szCs w:val="21"/>
                      <w:highlight w:val="none"/>
                      <w:lang w:val="en-US" w:eastAsia="zh-CN"/>
                    </w:rPr>
                  </w:pPr>
                </w:p>
              </w:tc>
              <w:tc>
                <w:tcPr>
                  <w:tcW w:w="2862" w:type="dxa"/>
                  <w:noWrap w:val="0"/>
                  <w:vAlign w:val="center"/>
                </w:tcPr>
                <w:p>
                  <w:pPr>
                    <w:spacing w:after="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rPr>
                    <w:t>非甲烷总烃</w:t>
                  </w:r>
                </w:p>
              </w:tc>
              <w:tc>
                <w:tcPr>
                  <w:tcW w:w="1310" w:type="dxa"/>
                  <w:vMerge w:val="continue"/>
                  <w:noWrap w:val="0"/>
                  <w:vAlign w:val="center"/>
                </w:tcPr>
                <w:p>
                  <w:pPr>
                    <w:spacing w:after="0"/>
                    <w:jc w:val="center"/>
                    <w:rPr>
                      <w:rFonts w:hint="eastAsia" w:ascii="Times New Roman" w:hAnsi="Times New Roman" w:eastAsia="宋体" w:cs="Times New Roman"/>
                      <w:color w:val="auto"/>
                      <w:sz w:val="21"/>
                      <w:szCs w:val="21"/>
                      <w:highlight w:val="none"/>
                      <w:lang w:eastAsia="zh-CN"/>
                    </w:rPr>
                  </w:pPr>
                </w:p>
              </w:tc>
            </w:tr>
          </w:tbl>
          <w:p>
            <w:pPr>
              <w:pStyle w:val="14"/>
              <w:spacing w:before="0" w:after="0" w:line="360" w:lineRule="auto"/>
              <w:ind w:right="0" w:firstLine="442" w:firstLineChars="200"/>
              <w:jc w:val="left"/>
              <w:rPr>
                <w:rFonts w:hint="eastAsia" w:ascii="Times New Roman" w:hAnsi="Times New Roman" w:cs="Times New Roman"/>
                <w:b/>
                <w:bCs/>
                <w:color w:val="auto"/>
                <w:sz w:val="22"/>
                <w:szCs w:val="22"/>
                <w:highlight w:val="none"/>
                <w:lang w:val="en-US" w:eastAsia="zh-CN"/>
              </w:rPr>
            </w:pPr>
          </w:p>
          <w:p>
            <w:pPr>
              <w:pStyle w:val="14"/>
              <w:spacing w:before="0" w:after="0" w:line="360" w:lineRule="auto"/>
              <w:ind w:right="0" w:firstLine="442" w:firstLineChars="200"/>
              <w:jc w:val="left"/>
              <w:rPr>
                <w:rFonts w:hint="eastAsia" w:ascii="Times New Roman" w:hAnsi="Times New Roman" w:cs="Times New Roman"/>
                <w:b/>
                <w:bCs/>
                <w:color w:val="auto"/>
                <w:sz w:val="22"/>
                <w:szCs w:val="22"/>
                <w:highlight w:val="none"/>
                <w:lang w:val="en-US" w:eastAsia="zh-CN"/>
              </w:rPr>
            </w:pPr>
          </w:p>
          <w:p>
            <w:pPr>
              <w:pStyle w:val="14"/>
              <w:spacing w:before="0" w:after="0" w:line="360" w:lineRule="auto"/>
              <w:ind w:right="0" w:firstLine="442" w:firstLineChars="200"/>
              <w:jc w:val="left"/>
              <w:rPr>
                <w:rFonts w:hint="eastAsia" w:ascii="Times New Roman" w:hAnsi="Times New Roman" w:cs="Times New Roman"/>
                <w:b/>
                <w:bCs/>
                <w:color w:val="auto"/>
                <w:sz w:val="22"/>
                <w:szCs w:val="22"/>
                <w:highlight w:val="none"/>
                <w:lang w:val="en-US" w:eastAsia="zh-CN"/>
              </w:rPr>
            </w:pPr>
          </w:p>
          <w:p>
            <w:pPr>
              <w:pStyle w:val="14"/>
              <w:spacing w:before="0" w:after="0" w:line="360" w:lineRule="auto"/>
              <w:ind w:right="0" w:firstLine="442" w:firstLineChars="200"/>
              <w:jc w:val="left"/>
              <w:rPr>
                <w:rFonts w:hint="eastAsia" w:ascii="Times New Roman" w:hAnsi="Times New Roman" w:cs="Times New Roman"/>
                <w:b/>
                <w:bCs/>
                <w:color w:val="auto"/>
                <w:sz w:val="22"/>
                <w:szCs w:val="22"/>
                <w:highlight w:val="none"/>
                <w:lang w:val="en-US" w:eastAsia="zh-CN"/>
              </w:rPr>
            </w:pPr>
          </w:p>
          <w:p>
            <w:pPr>
              <w:pStyle w:val="14"/>
              <w:spacing w:before="0" w:after="0" w:line="360" w:lineRule="auto"/>
              <w:ind w:right="0" w:firstLine="442" w:firstLineChars="200"/>
              <w:jc w:val="left"/>
              <w:rPr>
                <w:rFonts w:hint="eastAsia" w:ascii="Times New Roman" w:hAnsi="Times New Roman" w:cs="Times New Roman"/>
                <w:b/>
                <w:bCs/>
                <w:color w:val="auto"/>
                <w:sz w:val="22"/>
                <w:szCs w:val="22"/>
                <w:highlight w:val="none"/>
                <w:lang w:val="en-US" w:eastAsia="zh-CN"/>
              </w:rPr>
            </w:pPr>
          </w:p>
          <w:p>
            <w:pPr>
              <w:pStyle w:val="14"/>
              <w:spacing w:before="0" w:after="0" w:line="360" w:lineRule="auto"/>
              <w:ind w:right="0" w:firstLine="442" w:firstLineChars="200"/>
              <w:jc w:val="left"/>
              <w:rPr>
                <w:rFonts w:hint="eastAsia" w:ascii="Times New Roman" w:hAnsi="Times New Roman" w:cs="Times New Roman"/>
                <w:b/>
                <w:bCs/>
                <w:color w:val="auto"/>
                <w:sz w:val="22"/>
                <w:szCs w:val="22"/>
                <w:highlight w:val="none"/>
                <w:lang w:val="en-US" w:eastAsia="zh-CN"/>
              </w:rPr>
            </w:pPr>
          </w:p>
          <w:p>
            <w:pPr>
              <w:pStyle w:val="14"/>
              <w:spacing w:before="0" w:after="0" w:line="360" w:lineRule="auto"/>
              <w:ind w:right="0" w:firstLine="442" w:firstLineChars="200"/>
              <w:jc w:val="left"/>
              <w:rPr>
                <w:rFonts w:hint="eastAsia" w:ascii="Times New Roman" w:hAnsi="Times New Roman" w:eastAsia="宋体" w:cs="Times New Roman"/>
                <w:b/>
                <w:bCs/>
                <w:color w:val="auto"/>
                <w:sz w:val="22"/>
                <w:szCs w:val="22"/>
                <w:highlight w:val="none"/>
                <w:lang w:val="en-US" w:eastAsia="zh-CN"/>
              </w:rPr>
            </w:pPr>
            <w:r>
              <w:rPr>
                <w:rFonts w:hint="eastAsia" w:ascii="Times New Roman" w:hAnsi="Times New Roman" w:cs="Times New Roman"/>
                <w:b/>
                <w:bCs/>
                <w:color w:val="auto"/>
                <w:sz w:val="22"/>
                <w:szCs w:val="22"/>
                <w:highlight w:val="none"/>
                <w:lang w:val="en-US" w:eastAsia="zh-CN"/>
              </w:rPr>
              <w:t>（2）检测结果</w:t>
            </w:r>
          </w:p>
          <w:p>
            <w:pPr>
              <w:autoSpaceDE w:val="0"/>
              <w:autoSpaceDN w:val="0"/>
              <w:adjustRightInd w:val="0"/>
              <w:jc w:val="center"/>
              <w:rPr>
                <w:rFonts w:hint="default" w:ascii="Times New Roman" w:hAnsi="Times New Roman" w:cs="Times New Roman"/>
                <w:b/>
                <w:bCs/>
                <w:color w:val="auto"/>
                <w:sz w:val="20"/>
                <w:szCs w:val="20"/>
                <w:highlight w:val="none"/>
              </w:rPr>
            </w:pPr>
            <w:r>
              <w:rPr>
                <w:rFonts w:hint="default" w:ascii="Times New Roman" w:hAnsi="Times New Roman" w:cs="Times New Roman"/>
                <w:b/>
                <w:bCs/>
                <w:color w:val="auto"/>
                <w:sz w:val="20"/>
                <w:szCs w:val="20"/>
                <w:highlight w:val="none"/>
              </w:rPr>
              <w:t>表 3-</w:t>
            </w:r>
            <w:r>
              <w:rPr>
                <w:rFonts w:hint="eastAsia" w:ascii="Times New Roman" w:hAnsi="Times New Roman" w:cs="Times New Roman"/>
                <w:b/>
                <w:bCs/>
                <w:color w:val="auto"/>
                <w:sz w:val="20"/>
                <w:szCs w:val="20"/>
                <w:highlight w:val="none"/>
                <w:lang w:val="en-US" w:eastAsia="zh-CN"/>
              </w:rPr>
              <w:t>3</w:t>
            </w:r>
            <w:r>
              <w:rPr>
                <w:rFonts w:hint="default" w:ascii="Times New Roman" w:hAnsi="Times New Roman" w:cs="Times New Roman"/>
                <w:b/>
                <w:bCs/>
                <w:color w:val="auto"/>
                <w:sz w:val="20"/>
                <w:szCs w:val="20"/>
                <w:highlight w:val="none"/>
              </w:rPr>
              <w:t xml:space="preserve"> 环境空气检测结果</w:t>
            </w:r>
          </w:p>
          <w:tbl>
            <w:tblPr>
              <w:tblStyle w:val="42"/>
              <w:tblW w:w="807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79"/>
              <w:gridCol w:w="1417"/>
              <w:gridCol w:w="1825"/>
              <w:gridCol w:w="1825"/>
              <w:gridCol w:w="183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2596" w:type="dxa"/>
                  <w:gridSpan w:val="2"/>
                  <w:noWrap w:val="0"/>
                  <w:vAlign w:val="center"/>
                </w:tcPr>
                <w:p>
                  <w:pPr>
                    <w:snapToGrid w:val="0"/>
                    <w:jc w:val="center"/>
                    <w:rPr>
                      <w:rFonts w:hint="default" w:ascii="Times New Roman" w:hAnsi="Times New Roman" w:eastAsia="宋体" w:cs="Times New Roman"/>
                      <w:b/>
                      <w:sz w:val="21"/>
                      <w:szCs w:val="21"/>
                      <w:lang w:val="en-US" w:eastAsia="zh-CN"/>
                    </w:rPr>
                  </w:pPr>
                  <w:r>
                    <w:rPr>
                      <w:rFonts w:hint="default" w:ascii="Times New Roman" w:hAnsi="Times New Roman" w:cs="Times New Roman"/>
                      <w:b/>
                      <w:sz w:val="21"/>
                      <w:szCs w:val="21"/>
                    </w:rPr>
                    <w:t>检测点位</w:t>
                  </w:r>
                </w:p>
              </w:tc>
              <w:tc>
                <w:tcPr>
                  <w:tcW w:w="5483" w:type="dxa"/>
                  <w:gridSpan w:val="3"/>
                  <w:noWrap w:val="0"/>
                  <w:vAlign w:val="center"/>
                </w:tcPr>
                <w:p>
                  <w:pPr>
                    <w:jc w:val="center"/>
                    <w:rPr>
                      <w:rFonts w:hint="default" w:ascii="Times New Roman" w:hAnsi="Times New Roman" w:eastAsia="宋体" w:cs="Times New Roman"/>
                      <w:b/>
                      <w:bCs/>
                      <w:sz w:val="21"/>
                      <w:szCs w:val="21"/>
                      <w:lang w:val="en-US" w:eastAsia="zh-CN"/>
                    </w:rPr>
                  </w:pPr>
                  <w:r>
                    <w:rPr>
                      <w:rFonts w:hint="default" w:ascii="Times New Roman" w:hAnsi="Times New Roman" w:cs="Times New Roman"/>
                      <w:bCs/>
                      <w:sz w:val="21"/>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179" w:type="dxa"/>
                  <w:vMerge w:val="restart"/>
                  <w:noWrap w:val="0"/>
                  <w:vAlign w:val="center"/>
                </w:tcPr>
                <w:p>
                  <w:pPr>
                    <w:jc w:val="center"/>
                    <w:rPr>
                      <w:rFonts w:hint="default" w:ascii="Times New Roman" w:hAnsi="Times New Roman" w:cs="Times New Roman"/>
                      <w:b/>
                      <w:sz w:val="21"/>
                      <w:szCs w:val="21"/>
                    </w:rPr>
                  </w:pPr>
                  <w:r>
                    <w:rPr>
                      <w:rFonts w:hint="default" w:ascii="Times New Roman" w:hAnsi="Times New Roman" w:cs="Times New Roman"/>
                      <w:b/>
                      <w:sz w:val="21"/>
                      <w:szCs w:val="21"/>
                    </w:rPr>
                    <w:t>检测</w:t>
                  </w:r>
                  <w:r>
                    <w:rPr>
                      <w:rFonts w:hint="default" w:ascii="Times New Roman" w:hAnsi="Times New Roman" w:cs="Times New Roman"/>
                      <w:b/>
                      <w:sz w:val="21"/>
                      <w:szCs w:val="21"/>
                      <w:lang w:val="en-US" w:eastAsia="zh-CN"/>
                    </w:rPr>
                    <w:t>项目</w:t>
                  </w:r>
                </w:p>
              </w:tc>
              <w:tc>
                <w:tcPr>
                  <w:tcW w:w="1417" w:type="dxa"/>
                  <w:vMerge w:val="restart"/>
                  <w:noWrap w:val="0"/>
                  <w:vAlign w:val="center"/>
                </w:tcPr>
                <w:p>
                  <w:pPr>
                    <w:snapToGrid w:val="0"/>
                    <w:jc w:val="center"/>
                    <w:rPr>
                      <w:rFonts w:hint="default" w:ascii="Times New Roman" w:hAnsi="Times New Roman" w:cs="Times New Roman"/>
                      <w:b/>
                      <w:sz w:val="21"/>
                      <w:szCs w:val="21"/>
                    </w:rPr>
                  </w:pPr>
                  <w:r>
                    <w:rPr>
                      <w:rFonts w:hint="default" w:ascii="Times New Roman" w:hAnsi="Times New Roman" w:cs="Times New Roman"/>
                      <w:b/>
                      <w:sz w:val="21"/>
                      <w:szCs w:val="21"/>
                    </w:rPr>
                    <w:t>检测</w:t>
                  </w:r>
                  <w:r>
                    <w:rPr>
                      <w:rFonts w:hint="default" w:ascii="Times New Roman" w:hAnsi="Times New Roman" w:cs="Times New Roman"/>
                      <w:b/>
                      <w:sz w:val="21"/>
                      <w:szCs w:val="21"/>
                      <w:lang w:val="en-US" w:eastAsia="zh-CN"/>
                    </w:rPr>
                    <w:t>日期（2023年）</w:t>
                  </w:r>
                </w:p>
              </w:tc>
              <w:tc>
                <w:tcPr>
                  <w:tcW w:w="5483" w:type="dxa"/>
                  <w:gridSpan w:val="3"/>
                  <w:noWrap w:val="0"/>
                  <w:vAlign w:val="center"/>
                </w:tcPr>
                <w:p>
                  <w:pPr>
                    <w:jc w:val="center"/>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1"/>
                      <w:szCs w:val="21"/>
                    </w:rPr>
                    <w:t>检测结果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179" w:type="dxa"/>
                  <w:vMerge w:val="continue"/>
                  <w:noWrap w:val="0"/>
                  <w:vAlign w:val="center"/>
                </w:tcPr>
                <w:p>
                  <w:pPr>
                    <w:jc w:val="center"/>
                    <w:rPr>
                      <w:rFonts w:hint="default" w:ascii="Times New Roman" w:hAnsi="Times New Roman" w:cs="Times New Roman"/>
                      <w:b/>
                      <w:bCs/>
                      <w:sz w:val="21"/>
                      <w:szCs w:val="21"/>
                    </w:rPr>
                  </w:pPr>
                </w:p>
              </w:tc>
              <w:tc>
                <w:tcPr>
                  <w:tcW w:w="1417" w:type="dxa"/>
                  <w:vMerge w:val="continue"/>
                  <w:noWrap w:val="0"/>
                  <w:vAlign w:val="center"/>
                </w:tcPr>
                <w:p>
                  <w:pPr>
                    <w:jc w:val="center"/>
                    <w:rPr>
                      <w:rFonts w:hint="default" w:ascii="Times New Roman" w:hAnsi="Times New Roman" w:cs="Times New Roman"/>
                      <w:sz w:val="21"/>
                      <w:szCs w:val="21"/>
                    </w:rPr>
                  </w:pPr>
                </w:p>
              </w:tc>
              <w:tc>
                <w:tcPr>
                  <w:tcW w:w="1825" w:type="dxa"/>
                  <w:noWrap w:val="0"/>
                  <w:vAlign w:val="center"/>
                </w:tcPr>
                <w:p>
                  <w:pPr>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第一次</w:t>
                  </w:r>
                </w:p>
              </w:tc>
              <w:tc>
                <w:tcPr>
                  <w:tcW w:w="1825" w:type="dxa"/>
                  <w:noWrap w:val="0"/>
                  <w:vAlign w:val="center"/>
                </w:tcPr>
                <w:p>
                  <w:pPr>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第二次</w:t>
                  </w:r>
                </w:p>
              </w:tc>
              <w:tc>
                <w:tcPr>
                  <w:tcW w:w="1833" w:type="dxa"/>
                  <w:noWrap w:val="0"/>
                  <w:vAlign w:val="center"/>
                </w:tcPr>
                <w:p>
                  <w:pPr>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第三次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179" w:type="dxa"/>
                  <w:vMerge w:val="restart"/>
                  <w:noWrap w:val="0"/>
                  <w:vAlign w:val="center"/>
                </w:tcPr>
                <w:p>
                  <w:pPr>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苯</w:t>
                  </w:r>
                </w:p>
                <w:p>
                  <w:pPr>
                    <w:jc w:val="center"/>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 w:val="0"/>
                      <w:bCs w:val="0"/>
                      <w:sz w:val="21"/>
                      <w:szCs w:val="21"/>
                    </w:rPr>
                    <w:t>（mg/m</w:t>
                  </w:r>
                  <w:r>
                    <w:rPr>
                      <w:rFonts w:hint="default" w:ascii="Times New Roman" w:hAnsi="Times New Roman" w:cs="Times New Roman"/>
                      <w:b w:val="0"/>
                      <w:bCs w:val="0"/>
                      <w:sz w:val="21"/>
                      <w:szCs w:val="21"/>
                      <w:vertAlign w:val="superscript"/>
                    </w:rPr>
                    <w:t>3</w:t>
                  </w:r>
                  <w:r>
                    <w:rPr>
                      <w:rFonts w:hint="default" w:ascii="Times New Roman" w:hAnsi="Times New Roman" w:cs="Times New Roman"/>
                      <w:b w:val="0"/>
                      <w:bCs w:val="0"/>
                      <w:sz w:val="21"/>
                      <w:szCs w:val="21"/>
                    </w:rPr>
                    <w:t>）</w:t>
                  </w:r>
                </w:p>
              </w:tc>
              <w:tc>
                <w:tcPr>
                  <w:tcW w:w="1417" w:type="dxa"/>
                  <w:noWrap w:val="0"/>
                  <w:vAlign w:val="center"/>
                </w:tcPr>
                <w:p>
                  <w:pPr>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03月09日</w:t>
                  </w:r>
                </w:p>
              </w:tc>
              <w:tc>
                <w:tcPr>
                  <w:tcW w:w="1825" w:type="dxa"/>
                  <w:noWrap w:val="0"/>
                  <w:vAlign w:val="center"/>
                </w:tcPr>
                <w:p>
                  <w:pPr>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ND</w:t>
                  </w:r>
                </w:p>
              </w:tc>
              <w:tc>
                <w:tcPr>
                  <w:tcW w:w="1825" w:type="dxa"/>
                  <w:noWrap w:val="0"/>
                  <w:vAlign w:val="center"/>
                </w:tcPr>
                <w:p>
                  <w:pPr>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ND</w:t>
                  </w:r>
                </w:p>
              </w:tc>
              <w:tc>
                <w:tcPr>
                  <w:tcW w:w="1833" w:type="dxa"/>
                  <w:noWrap w:val="0"/>
                  <w:vAlign w:val="center"/>
                </w:tcPr>
                <w:p>
                  <w:pPr>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ND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179" w:type="dxa"/>
                  <w:vMerge w:val="continue"/>
                  <w:noWrap w:val="0"/>
                  <w:vAlign w:val="center"/>
                </w:tcPr>
                <w:p>
                  <w:pPr>
                    <w:jc w:val="center"/>
                    <w:rPr>
                      <w:rFonts w:hint="default" w:ascii="Times New Roman" w:hAnsi="Times New Roman" w:eastAsia="宋体" w:cs="Times New Roman"/>
                      <w:b w:val="0"/>
                      <w:bCs w:val="0"/>
                      <w:sz w:val="21"/>
                      <w:szCs w:val="21"/>
                      <w:lang w:val="en-US" w:eastAsia="zh-CN"/>
                    </w:rPr>
                  </w:pPr>
                </w:p>
              </w:tc>
              <w:tc>
                <w:tcPr>
                  <w:tcW w:w="1417" w:type="dxa"/>
                  <w:noWrap w:val="0"/>
                  <w:vAlign w:val="center"/>
                </w:tcPr>
                <w:p>
                  <w:pPr>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03月10日</w:t>
                  </w:r>
                </w:p>
              </w:tc>
              <w:tc>
                <w:tcPr>
                  <w:tcW w:w="1825" w:type="dxa"/>
                  <w:noWrap w:val="0"/>
                  <w:vAlign w:val="center"/>
                </w:tcPr>
                <w:p>
                  <w:pPr>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ND</w:t>
                  </w:r>
                </w:p>
              </w:tc>
              <w:tc>
                <w:tcPr>
                  <w:tcW w:w="1825" w:type="dxa"/>
                  <w:noWrap w:val="0"/>
                  <w:vAlign w:val="center"/>
                </w:tcPr>
                <w:p>
                  <w:pPr>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ND</w:t>
                  </w:r>
                </w:p>
              </w:tc>
              <w:tc>
                <w:tcPr>
                  <w:tcW w:w="1833" w:type="dxa"/>
                  <w:noWrap w:val="0"/>
                  <w:vAlign w:val="center"/>
                </w:tcPr>
                <w:p>
                  <w:pPr>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ND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1179" w:type="dxa"/>
                  <w:vMerge w:val="continue"/>
                  <w:noWrap w:val="0"/>
                  <w:vAlign w:val="center"/>
                </w:tcPr>
                <w:p>
                  <w:pPr>
                    <w:jc w:val="center"/>
                    <w:rPr>
                      <w:rFonts w:hint="default" w:ascii="Times New Roman" w:hAnsi="Times New Roman" w:eastAsia="宋体" w:cs="Times New Roman"/>
                      <w:b w:val="0"/>
                      <w:bCs w:val="0"/>
                      <w:sz w:val="21"/>
                      <w:szCs w:val="21"/>
                      <w:lang w:val="en-US" w:eastAsia="zh-CN"/>
                    </w:rPr>
                  </w:pPr>
                </w:p>
              </w:tc>
              <w:tc>
                <w:tcPr>
                  <w:tcW w:w="1417" w:type="dxa"/>
                  <w:noWrap w:val="0"/>
                  <w:vAlign w:val="center"/>
                </w:tcPr>
                <w:p>
                  <w:pPr>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03月11日</w:t>
                  </w:r>
                </w:p>
              </w:tc>
              <w:tc>
                <w:tcPr>
                  <w:tcW w:w="1825" w:type="dxa"/>
                  <w:noWrap w:val="0"/>
                  <w:vAlign w:val="center"/>
                </w:tcPr>
                <w:p>
                  <w:pPr>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ND</w:t>
                  </w:r>
                </w:p>
              </w:tc>
              <w:tc>
                <w:tcPr>
                  <w:tcW w:w="1825" w:type="dxa"/>
                  <w:noWrap w:val="0"/>
                  <w:vAlign w:val="center"/>
                </w:tcPr>
                <w:p>
                  <w:pPr>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ND</w:t>
                  </w:r>
                </w:p>
              </w:tc>
              <w:tc>
                <w:tcPr>
                  <w:tcW w:w="1833" w:type="dxa"/>
                  <w:noWrap w:val="0"/>
                  <w:vAlign w:val="center"/>
                </w:tcPr>
                <w:p>
                  <w:pPr>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ND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179" w:type="dxa"/>
                  <w:vMerge w:val="restart"/>
                  <w:noWrap w:val="0"/>
                  <w:vAlign w:val="center"/>
                </w:tcPr>
                <w:p>
                  <w:pPr>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甲苯</w:t>
                  </w:r>
                </w:p>
                <w:p>
                  <w:pPr>
                    <w:jc w:val="center"/>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 w:val="0"/>
                      <w:bCs w:val="0"/>
                      <w:sz w:val="21"/>
                      <w:szCs w:val="21"/>
                    </w:rPr>
                    <w:t>（mg/m</w:t>
                  </w:r>
                  <w:r>
                    <w:rPr>
                      <w:rFonts w:hint="default" w:ascii="Times New Roman" w:hAnsi="Times New Roman" w:cs="Times New Roman"/>
                      <w:b w:val="0"/>
                      <w:bCs w:val="0"/>
                      <w:sz w:val="21"/>
                      <w:szCs w:val="21"/>
                      <w:vertAlign w:val="superscript"/>
                    </w:rPr>
                    <w:t>3</w:t>
                  </w:r>
                  <w:r>
                    <w:rPr>
                      <w:rFonts w:hint="default" w:ascii="Times New Roman" w:hAnsi="Times New Roman" w:cs="Times New Roman"/>
                      <w:b w:val="0"/>
                      <w:bCs w:val="0"/>
                      <w:sz w:val="21"/>
                      <w:szCs w:val="21"/>
                    </w:rPr>
                    <w:t>）</w:t>
                  </w:r>
                </w:p>
              </w:tc>
              <w:tc>
                <w:tcPr>
                  <w:tcW w:w="1417" w:type="dxa"/>
                  <w:noWrap w:val="0"/>
                  <w:vAlign w:val="center"/>
                </w:tcPr>
                <w:p>
                  <w:pPr>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03月09日</w:t>
                  </w:r>
                </w:p>
              </w:tc>
              <w:tc>
                <w:tcPr>
                  <w:tcW w:w="1825" w:type="dxa"/>
                  <w:noWrap w:val="0"/>
                  <w:vAlign w:val="center"/>
                </w:tcPr>
                <w:p>
                  <w:pPr>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0.0044</w:t>
                  </w:r>
                </w:p>
              </w:tc>
              <w:tc>
                <w:tcPr>
                  <w:tcW w:w="1825" w:type="dxa"/>
                  <w:noWrap w:val="0"/>
                  <w:vAlign w:val="center"/>
                </w:tcPr>
                <w:p>
                  <w:pPr>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0.0061</w:t>
                  </w:r>
                </w:p>
              </w:tc>
              <w:tc>
                <w:tcPr>
                  <w:tcW w:w="1833" w:type="dxa"/>
                  <w:noWrap w:val="0"/>
                  <w:vAlign w:val="center"/>
                </w:tcPr>
                <w:p>
                  <w:pPr>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0.0059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179" w:type="dxa"/>
                  <w:vMerge w:val="continue"/>
                  <w:noWrap w:val="0"/>
                  <w:vAlign w:val="center"/>
                </w:tcPr>
                <w:p>
                  <w:pPr>
                    <w:jc w:val="center"/>
                    <w:rPr>
                      <w:rFonts w:hint="default" w:ascii="Times New Roman" w:hAnsi="Times New Roman" w:eastAsia="宋体" w:cs="Times New Roman"/>
                      <w:b w:val="0"/>
                      <w:bCs w:val="0"/>
                      <w:sz w:val="21"/>
                      <w:szCs w:val="21"/>
                      <w:lang w:val="en-US" w:eastAsia="zh-CN"/>
                    </w:rPr>
                  </w:pPr>
                </w:p>
              </w:tc>
              <w:tc>
                <w:tcPr>
                  <w:tcW w:w="1417" w:type="dxa"/>
                  <w:noWrap w:val="0"/>
                  <w:vAlign w:val="center"/>
                </w:tcPr>
                <w:p>
                  <w:pPr>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03月10日</w:t>
                  </w:r>
                </w:p>
              </w:tc>
              <w:tc>
                <w:tcPr>
                  <w:tcW w:w="1825" w:type="dxa"/>
                  <w:noWrap w:val="0"/>
                  <w:vAlign w:val="center"/>
                </w:tcPr>
                <w:p>
                  <w:pPr>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0.0040</w:t>
                  </w:r>
                </w:p>
              </w:tc>
              <w:tc>
                <w:tcPr>
                  <w:tcW w:w="1825" w:type="dxa"/>
                  <w:noWrap w:val="0"/>
                  <w:vAlign w:val="center"/>
                </w:tcPr>
                <w:p>
                  <w:pPr>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0.0068</w:t>
                  </w:r>
                </w:p>
              </w:tc>
              <w:tc>
                <w:tcPr>
                  <w:tcW w:w="1833" w:type="dxa"/>
                  <w:noWrap w:val="0"/>
                  <w:vAlign w:val="center"/>
                </w:tcPr>
                <w:p>
                  <w:pPr>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0.0058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179" w:type="dxa"/>
                  <w:vMerge w:val="continue"/>
                  <w:noWrap w:val="0"/>
                  <w:vAlign w:val="center"/>
                </w:tcPr>
                <w:p>
                  <w:pPr>
                    <w:jc w:val="center"/>
                    <w:rPr>
                      <w:rFonts w:hint="default" w:ascii="Times New Roman" w:hAnsi="Times New Roman" w:eastAsia="宋体" w:cs="Times New Roman"/>
                      <w:b w:val="0"/>
                      <w:bCs w:val="0"/>
                      <w:sz w:val="21"/>
                      <w:szCs w:val="21"/>
                      <w:lang w:val="en-US" w:eastAsia="zh-CN"/>
                    </w:rPr>
                  </w:pPr>
                </w:p>
              </w:tc>
              <w:tc>
                <w:tcPr>
                  <w:tcW w:w="1417" w:type="dxa"/>
                  <w:noWrap w:val="0"/>
                  <w:vAlign w:val="center"/>
                </w:tcPr>
                <w:p>
                  <w:pPr>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03月11日</w:t>
                  </w:r>
                </w:p>
              </w:tc>
              <w:tc>
                <w:tcPr>
                  <w:tcW w:w="1825" w:type="dxa"/>
                  <w:noWrap w:val="0"/>
                  <w:vAlign w:val="center"/>
                </w:tcPr>
                <w:p>
                  <w:pPr>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0.0053</w:t>
                  </w:r>
                </w:p>
              </w:tc>
              <w:tc>
                <w:tcPr>
                  <w:tcW w:w="1825" w:type="dxa"/>
                  <w:noWrap w:val="0"/>
                  <w:vAlign w:val="center"/>
                </w:tcPr>
                <w:p>
                  <w:pPr>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0.0042</w:t>
                  </w:r>
                </w:p>
              </w:tc>
              <w:tc>
                <w:tcPr>
                  <w:tcW w:w="1833" w:type="dxa"/>
                  <w:noWrap w:val="0"/>
                  <w:vAlign w:val="center"/>
                </w:tcPr>
                <w:p>
                  <w:pPr>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0.0061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179" w:type="dxa"/>
                  <w:vMerge w:val="restart"/>
                  <w:noWrap w:val="0"/>
                  <w:vAlign w:val="center"/>
                </w:tcPr>
                <w:p>
                  <w:pPr>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二甲苯</w:t>
                  </w:r>
                </w:p>
                <w:p>
                  <w:pPr>
                    <w:jc w:val="center"/>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 w:val="0"/>
                      <w:bCs w:val="0"/>
                      <w:sz w:val="21"/>
                      <w:szCs w:val="21"/>
                    </w:rPr>
                    <w:t>（mg/m</w:t>
                  </w:r>
                  <w:r>
                    <w:rPr>
                      <w:rFonts w:hint="default" w:ascii="Times New Roman" w:hAnsi="Times New Roman" w:cs="Times New Roman"/>
                      <w:b w:val="0"/>
                      <w:bCs w:val="0"/>
                      <w:sz w:val="21"/>
                      <w:szCs w:val="21"/>
                      <w:vertAlign w:val="superscript"/>
                    </w:rPr>
                    <w:t>3</w:t>
                  </w:r>
                  <w:r>
                    <w:rPr>
                      <w:rFonts w:hint="default" w:ascii="Times New Roman" w:hAnsi="Times New Roman" w:cs="Times New Roman"/>
                      <w:b w:val="0"/>
                      <w:bCs w:val="0"/>
                      <w:sz w:val="21"/>
                      <w:szCs w:val="21"/>
                    </w:rPr>
                    <w:t>）</w:t>
                  </w:r>
                </w:p>
              </w:tc>
              <w:tc>
                <w:tcPr>
                  <w:tcW w:w="1417" w:type="dxa"/>
                  <w:noWrap w:val="0"/>
                  <w:vAlign w:val="center"/>
                </w:tcPr>
                <w:p>
                  <w:pPr>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03月09日</w:t>
                  </w:r>
                </w:p>
              </w:tc>
              <w:tc>
                <w:tcPr>
                  <w:tcW w:w="1825" w:type="dxa"/>
                  <w:noWrap w:val="0"/>
                  <w:vAlign w:val="center"/>
                </w:tcPr>
                <w:p>
                  <w:pPr>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0.0150</w:t>
                  </w:r>
                </w:p>
              </w:tc>
              <w:tc>
                <w:tcPr>
                  <w:tcW w:w="1825" w:type="dxa"/>
                  <w:noWrap w:val="0"/>
                  <w:vAlign w:val="center"/>
                </w:tcPr>
                <w:p>
                  <w:pPr>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0.0116</w:t>
                  </w:r>
                </w:p>
              </w:tc>
              <w:tc>
                <w:tcPr>
                  <w:tcW w:w="1833" w:type="dxa"/>
                  <w:noWrap w:val="0"/>
                  <w:vAlign w:val="center"/>
                </w:tcPr>
                <w:p>
                  <w:pPr>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0.0161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179" w:type="dxa"/>
                  <w:vMerge w:val="continue"/>
                  <w:noWrap w:val="0"/>
                  <w:vAlign w:val="center"/>
                </w:tcPr>
                <w:p>
                  <w:pPr>
                    <w:jc w:val="center"/>
                    <w:rPr>
                      <w:rFonts w:hint="default" w:ascii="Times New Roman" w:hAnsi="Times New Roman" w:eastAsia="宋体" w:cs="Times New Roman"/>
                      <w:b w:val="0"/>
                      <w:bCs w:val="0"/>
                      <w:sz w:val="21"/>
                      <w:szCs w:val="21"/>
                      <w:lang w:val="en-US" w:eastAsia="zh-CN"/>
                    </w:rPr>
                  </w:pPr>
                </w:p>
              </w:tc>
              <w:tc>
                <w:tcPr>
                  <w:tcW w:w="1417" w:type="dxa"/>
                  <w:noWrap w:val="0"/>
                  <w:vAlign w:val="center"/>
                </w:tcPr>
                <w:p>
                  <w:pPr>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03月10日</w:t>
                  </w:r>
                </w:p>
              </w:tc>
              <w:tc>
                <w:tcPr>
                  <w:tcW w:w="1825" w:type="dxa"/>
                  <w:noWrap w:val="0"/>
                  <w:vAlign w:val="center"/>
                </w:tcPr>
                <w:p>
                  <w:pPr>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0.0123</w:t>
                  </w:r>
                </w:p>
              </w:tc>
              <w:tc>
                <w:tcPr>
                  <w:tcW w:w="1825" w:type="dxa"/>
                  <w:noWrap w:val="0"/>
                  <w:vAlign w:val="center"/>
                </w:tcPr>
                <w:p>
                  <w:pPr>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0.0129</w:t>
                  </w:r>
                </w:p>
              </w:tc>
              <w:tc>
                <w:tcPr>
                  <w:tcW w:w="1833" w:type="dxa"/>
                  <w:noWrap w:val="0"/>
                  <w:vAlign w:val="center"/>
                </w:tcPr>
                <w:p>
                  <w:pPr>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0.0129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179" w:type="dxa"/>
                  <w:vMerge w:val="continue"/>
                  <w:noWrap w:val="0"/>
                  <w:vAlign w:val="center"/>
                </w:tcPr>
                <w:p>
                  <w:pPr>
                    <w:jc w:val="center"/>
                    <w:rPr>
                      <w:rFonts w:hint="default" w:ascii="Times New Roman" w:hAnsi="Times New Roman" w:eastAsia="宋体" w:cs="Times New Roman"/>
                      <w:b w:val="0"/>
                      <w:bCs w:val="0"/>
                      <w:sz w:val="21"/>
                      <w:szCs w:val="21"/>
                      <w:lang w:val="en-US" w:eastAsia="zh-CN"/>
                    </w:rPr>
                  </w:pPr>
                </w:p>
              </w:tc>
              <w:tc>
                <w:tcPr>
                  <w:tcW w:w="1417" w:type="dxa"/>
                  <w:noWrap w:val="0"/>
                  <w:vAlign w:val="center"/>
                </w:tcPr>
                <w:p>
                  <w:pPr>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03月11日</w:t>
                  </w:r>
                </w:p>
              </w:tc>
              <w:tc>
                <w:tcPr>
                  <w:tcW w:w="1825" w:type="dxa"/>
                  <w:noWrap w:val="0"/>
                  <w:vAlign w:val="center"/>
                </w:tcPr>
                <w:p>
                  <w:pPr>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0.0108</w:t>
                  </w:r>
                </w:p>
              </w:tc>
              <w:tc>
                <w:tcPr>
                  <w:tcW w:w="1825" w:type="dxa"/>
                  <w:noWrap w:val="0"/>
                  <w:vAlign w:val="center"/>
                </w:tcPr>
                <w:p>
                  <w:pPr>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0.0134</w:t>
                  </w:r>
                </w:p>
              </w:tc>
              <w:tc>
                <w:tcPr>
                  <w:tcW w:w="1833" w:type="dxa"/>
                  <w:noWrap w:val="0"/>
                  <w:vAlign w:val="center"/>
                </w:tcPr>
                <w:p>
                  <w:pPr>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0.0137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179" w:type="dxa"/>
                  <w:vMerge w:val="restart"/>
                  <w:noWrap w:val="0"/>
                  <w:vAlign w:val="center"/>
                </w:tcPr>
                <w:p>
                  <w:pPr>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非甲烷总烃</w:t>
                  </w:r>
                </w:p>
                <w:p>
                  <w:pPr>
                    <w:jc w:val="center"/>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 w:val="0"/>
                      <w:bCs w:val="0"/>
                      <w:sz w:val="21"/>
                      <w:szCs w:val="21"/>
                    </w:rPr>
                    <w:t>（mg/m</w:t>
                  </w:r>
                  <w:r>
                    <w:rPr>
                      <w:rFonts w:hint="default" w:ascii="Times New Roman" w:hAnsi="Times New Roman" w:cs="Times New Roman"/>
                      <w:b w:val="0"/>
                      <w:bCs w:val="0"/>
                      <w:sz w:val="21"/>
                      <w:szCs w:val="21"/>
                      <w:vertAlign w:val="superscript"/>
                    </w:rPr>
                    <w:t>3</w:t>
                  </w:r>
                  <w:r>
                    <w:rPr>
                      <w:rFonts w:hint="default" w:ascii="Times New Roman" w:hAnsi="Times New Roman" w:cs="Times New Roman"/>
                      <w:b w:val="0"/>
                      <w:bCs w:val="0"/>
                      <w:sz w:val="21"/>
                      <w:szCs w:val="21"/>
                    </w:rPr>
                    <w:t>）</w:t>
                  </w:r>
                </w:p>
              </w:tc>
              <w:tc>
                <w:tcPr>
                  <w:tcW w:w="1417" w:type="dxa"/>
                  <w:noWrap w:val="0"/>
                  <w:vAlign w:val="center"/>
                </w:tcPr>
                <w:p>
                  <w:pPr>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03月09日</w:t>
                  </w:r>
                </w:p>
              </w:tc>
              <w:tc>
                <w:tcPr>
                  <w:tcW w:w="1825" w:type="dxa"/>
                  <w:noWrap w:val="0"/>
                  <w:vAlign w:val="center"/>
                </w:tcPr>
                <w:p>
                  <w:pPr>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0.86</w:t>
                  </w:r>
                </w:p>
              </w:tc>
              <w:tc>
                <w:tcPr>
                  <w:tcW w:w="1825" w:type="dxa"/>
                  <w:noWrap w:val="0"/>
                  <w:vAlign w:val="center"/>
                </w:tcPr>
                <w:p>
                  <w:pPr>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0.79</w:t>
                  </w:r>
                </w:p>
              </w:tc>
              <w:tc>
                <w:tcPr>
                  <w:tcW w:w="1833" w:type="dxa"/>
                  <w:noWrap w:val="0"/>
                  <w:vAlign w:val="center"/>
                </w:tcPr>
                <w:p>
                  <w:pPr>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0.83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179" w:type="dxa"/>
                  <w:vMerge w:val="continue"/>
                  <w:noWrap w:val="0"/>
                  <w:vAlign w:val="center"/>
                </w:tcPr>
                <w:p>
                  <w:pPr>
                    <w:jc w:val="center"/>
                    <w:rPr>
                      <w:rFonts w:hint="default" w:ascii="Times New Roman" w:hAnsi="Times New Roman" w:eastAsia="宋体" w:cs="Times New Roman"/>
                      <w:b w:val="0"/>
                      <w:bCs w:val="0"/>
                      <w:sz w:val="21"/>
                      <w:szCs w:val="21"/>
                      <w:lang w:val="en-US" w:eastAsia="zh-CN"/>
                    </w:rPr>
                  </w:pPr>
                </w:p>
              </w:tc>
              <w:tc>
                <w:tcPr>
                  <w:tcW w:w="1417" w:type="dxa"/>
                  <w:noWrap w:val="0"/>
                  <w:vAlign w:val="center"/>
                </w:tcPr>
                <w:p>
                  <w:pPr>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03月10日</w:t>
                  </w:r>
                </w:p>
              </w:tc>
              <w:tc>
                <w:tcPr>
                  <w:tcW w:w="1825" w:type="dxa"/>
                  <w:noWrap w:val="0"/>
                  <w:vAlign w:val="center"/>
                </w:tcPr>
                <w:p>
                  <w:pPr>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0.87</w:t>
                  </w:r>
                </w:p>
              </w:tc>
              <w:tc>
                <w:tcPr>
                  <w:tcW w:w="1825" w:type="dxa"/>
                  <w:noWrap w:val="0"/>
                  <w:vAlign w:val="center"/>
                </w:tcPr>
                <w:p>
                  <w:pPr>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0.91</w:t>
                  </w:r>
                </w:p>
              </w:tc>
              <w:tc>
                <w:tcPr>
                  <w:tcW w:w="1833" w:type="dxa"/>
                  <w:noWrap w:val="0"/>
                  <w:vAlign w:val="center"/>
                </w:tcPr>
                <w:p>
                  <w:pPr>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0.88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179" w:type="dxa"/>
                  <w:vMerge w:val="continue"/>
                  <w:noWrap w:val="0"/>
                  <w:vAlign w:val="center"/>
                </w:tcPr>
                <w:p>
                  <w:pPr>
                    <w:jc w:val="center"/>
                    <w:rPr>
                      <w:rFonts w:hint="default" w:ascii="Times New Roman" w:hAnsi="Times New Roman" w:eastAsia="宋体" w:cs="Times New Roman"/>
                      <w:b w:val="0"/>
                      <w:bCs w:val="0"/>
                      <w:sz w:val="21"/>
                      <w:szCs w:val="21"/>
                      <w:lang w:val="en-US" w:eastAsia="zh-CN"/>
                    </w:rPr>
                  </w:pPr>
                </w:p>
              </w:tc>
              <w:tc>
                <w:tcPr>
                  <w:tcW w:w="1417" w:type="dxa"/>
                  <w:noWrap w:val="0"/>
                  <w:vAlign w:val="center"/>
                </w:tcPr>
                <w:p>
                  <w:pPr>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03月11日</w:t>
                  </w:r>
                </w:p>
              </w:tc>
              <w:tc>
                <w:tcPr>
                  <w:tcW w:w="1825" w:type="dxa"/>
                  <w:noWrap w:val="0"/>
                  <w:vAlign w:val="center"/>
                </w:tcPr>
                <w:p>
                  <w:pPr>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0.77</w:t>
                  </w:r>
                </w:p>
              </w:tc>
              <w:tc>
                <w:tcPr>
                  <w:tcW w:w="1825" w:type="dxa"/>
                  <w:noWrap w:val="0"/>
                  <w:vAlign w:val="center"/>
                </w:tcPr>
                <w:p>
                  <w:pPr>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0.72</w:t>
                  </w:r>
                </w:p>
              </w:tc>
              <w:tc>
                <w:tcPr>
                  <w:tcW w:w="1833" w:type="dxa"/>
                  <w:noWrap w:val="0"/>
                  <w:vAlign w:val="center"/>
                </w:tcPr>
                <w:p>
                  <w:pPr>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0.78</w:t>
                  </w:r>
                </w:p>
              </w:tc>
            </w:tr>
          </w:tbl>
          <w:p>
            <w:pPr>
              <w:pStyle w:val="14"/>
              <w:spacing w:before="0" w:after="0" w:line="360" w:lineRule="auto"/>
              <w:ind w:right="0"/>
              <w:jc w:val="left"/>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备注：“ND”表示低于方法检出限。</w:t>
            </w:r>
          </w:p>
          <w:p>
            <w:pPr>
              <w:pStyle w:val="14"/>
              <w:spacing w:before="0" w:after="0" w:line="360" w:lineRule="auto"/>
              <w:ind w:right="0" w:firstLine="442" w:firstLineChars="200"/>
              <w:jc w:val="left"/>
              <w:rPr>
                <w:rFonts w:hint="eastAsia" w:ascii="Times New Roman" w:hAnsi="Times New Roman" w:cs="Times New Roman"/>
                <w:b/>
                <w:bCs w:val="0"/>
                <w:color w:val="auto"/>
                <w:sz w:val="22"/>
                <w:szCs w:val="22"/>
                <w:highlight w:val="none"/>
                <w:lang w:val="en-US" w:eastAsia="zh-CN"/>
              </w:rPr>
            </w:pPr>
            <w:r>
              <w:rPr>
                <w:rFonts w:hint="eastAsia" w:ascii="Times New Roman" w:hAnsi="Times New Roman" w:cs="Times New Roman"/>
                <w:b/>
                <w:bCs w:val="0"/>
                <w:color w:val="auto"/>
                <w:sz w:val="22"/>
                <w:szCs w:val="22"/>
                <w:highlight w:val="none"/>
                <w:lang w:val="en-US" w:eastAsia="zh-CN"/>
              </w:rPr>
              <w:t>（3）大气环境质量现状评价</w:t>
            </w:r>
          </w:p>
          <w:p>
            <w:pPr>
              <w:pStyle w:val="14"/>
              <w:spacing w:before="0" w:after="0" w:line="360" w:lineRule="auto"/>
              <w:ind w:right="0" w:firstLine="440" w:firstLineChars="200"/>
              <w:jc w:val="left"/>
              <w:rPr>
                <w:rFonts w:hint="eastAsia" w:ascii="Times New Roman" w:hAnsi="Times New Roman" w:cs="Times New Roman"/>
                <w:bCs/>
                <w:color w:val="auto"/>
                <w:sz w:val="22"/>
                <w:szCs w:val="22"/>
                <w:highlight w:val="none"/>
                <w:lang w:val="en-US" w:eastAsia="zh-CN"/>
              </w:rPr>
            </w:pPr>
            <w:r>
              <w:rPr>
                <w:rFonts w:hint="eastAsia" w:ascii="Times New Roman" w:hAnsi="Times New Roman" w:cs="Times New Roman"/>
                <w:bCs/>
                <w:color w:val="auto"/>
                <w:sz w:val="22"/>
                <w:szCs w:val="22"/>
                <w:highlight w:val="none"/>
                <w:lang w:val="en-US" w:eastAsia="zh-CN"/>
              </w:rPr>
              <w:fldChar w:fldCharType="begin"/>
            </w:r>
            <w:r>
              <w:rPr>
                <w:rFonts w:hint="eastAsia" w:ascii="Times New Roman" w:hAnsi="Times New Roman" w:cs="Times New Roman"/>
                <w:bCs/>
                <w:color w:val="auto"/>
                <w:sz w:val="22"/>
                <w:szCs w:val="22"/>
                <w:highlight w:val="none"/>
                <w:lang w:val="en-US" w:eastAsia="zh-CN"/>
              </w:rPr>
              <w:instrText xml:space="preserve"> = 1 \* GB3 \* MERGEFORMAT </w:instrText>
            </w:r>
            <w:r>
              <w:rPr>
                <w:rFonts w:hint="eastAsia" w:ascii="Times New Roman" w:hAnsi="Times New Roman" w:cs="Times New Roman"/>
                <w:bCs/>
                <w:color w:val="auto"/>
                <w:sz w:val="22"/>
                <w:szCs w:val="22"/>
                <w:highlight w:val="none"/>
                <w:lang w:val="en-US" w:eastAsia="zh-CN"/>
              </w:rPr>
              <w:fldChar w:fldCharType="separate"/>
            </w:r>
            <w:r>
              <w:rPr>
                <w:rFonts w:hint="default" w:ascii="Times New Roman" w:hAnsi="Times New Roman" w:cs="Times New Roman"/>
                <w:bCs/>
                <w:color w:val="auto"/>
                <w:sz w:val="22"/>
                <w:szCs w:val="22"/>
                <w:highlight w:val="none"/>
                <w:lang w:val="en-US" w:eastAsia="zh-CN"/>
              </w:rPr>
              <w:t>①</w:t>
            </w:r>
            <w:r>
              <w:rPr>
                <w:rFonts w:hint="eastAsia" w:ascii="Times New Roman" w:hAnsi="Times New Roman" w:cs="Times New Roman"/>
                <w:bCs/>
                <w:color w:val="auto"/>
                <w:sz w:val="22"/>
                <w:szCs w:val="22"/>
                <w:highlight w:val="none"/>
                <w:lang w:val="en-US" w:eastAsia="zh-CN"/>
              </w:rPr>
              <w:fldChar w:fldCharType="end"/>
            </w:r>
            <w:r>
              <w:rPr>
                <w:rFonts w:hint="eastAsia" w:ascii="Times New Roman" w:hAnsi="Times New Roman" w:cs="Times New Roman"/>
                <w:bCs/>
                <w:color w:val="auto"/>
                <w:sz w:val="22"/>
                <w:szCs w:val="22"/>
                <w:highlight w:val="none"/>
                <w:lang w:val="en-US" w:eastAsia="zh-CN"/>
              </w:rPr>
              <w:t>评价标准</w:t>
            </w:r>
          </w:p>
          <w:p>
            <w:pPr>
              <w:pStyle w:val="14"/>
              <w:spacing w:before="0" w:after="0" w:line="360" w:lineRule="auto"/>
              <w:ind w:right="0" w:firstLine="440" w:firstLineChars="200"/>
              <w:jc w:val="left"/>
              <w:rPr>
                <w:rFonts w:hint="eastAsia" w:ascii="Times New Roman" w:hAnsi="Times New Roman" w:cs="Times New Roman"/>
                <w:bCs/>
                <w:color w:val="auto"/>
                <w:sz w:val="22"/>
                <w:szCs w:val="22"/>
                <w:highlight w:val="yellow"/>
                <w:lang w:val="en-US" w:eastAsia="zh-CN"/>
              </w:rPr>
            </w:pPr>
            <w:r>
              <w:rPr>
                <w:rFonts w:hint="eastAsia" w:ascii="Times New Roman" w:hAnsi="Times New Roman" w:cs="Times New Roman"/>
                <w:bCs/>
                <w:color w:val="auto"/>
                <w:sz w:val="22"/>
                <w:szCs w:val="22"/>
                <w:highlight w:val="none"/>
                <w:lang w:val="en-US" w:eastAsia="zh-CN"/>
              </w:rPr>
              <w:t>本次评价苯、甲苯、二甲苯参考《环境影响评价技术导则大气环境》（H2.2-2018）中附录D；非甲烷总经执行《大气污染物综合排放标准 详解》的限值（2mg/m</w:t>
            </w:r>
            <w:r>
              <w:rPr>
                <w:rFonts w:hint="eastAsia" w:ascii="Times New Roman" w:hAnsi="Times New Roman" w:cs="Times New Roman"/>
                <w:bCs/>
                <w:color w:val="auto"/>
                <w:sz w:val="22"/>
                <w:szCs w:val="22"/>
                <w:highlight w:val="none"/>
                <w:vertAlign w:val="superscript"/>
                <w:lang w:val="en-US" w:eastAsia="zh-CN"/>
              </w:rPr>
              <w:t>3</w:t>
            </w:r>
            <w:r>
              <w:rPr>
                <w:rFonts w:hint="eastAsia" w:ascii="Times New Roman" w:hAnsi="Times New Roman" w:cs="Times New Roman"/>
                <w:bCs/>
                <w:color w:val="auto"/>
                <w:sz w:val="22"/>
                <w:szCs w:val="22"/>
                <w:highlight w:val="none"/>
                <w:lang w:val="en-US" w:eastAsia="zh-CN"/>
              </w:rPr>
              <w:t>）。</w:t>
            </w:r>
          </w:p>
          <w:p>
            <w:pPr>
              <w:pStyle w:val="14"/>
              <w:spacing w:before="0" w:after="0" w:line="360" w:lineRule="auto"/>
              <w:ind w:right="0" w:firstLine="440" w:firstLineChars="200"/>
              <w:jc w:val="left"/>
              <w:rPr>
                <w:rFonts w:hint="eastAsia" w:ascii="Times New Roman" w:hAnsi="Times New Roman" w:cs="Times New Roman"/>
                <w:bCs/>
                <w:color w:val="auto"/>
                <w:sz w:val="22"/>
                <w:szCs w:val="22"/>
                <w:highlight w:val="none"/>
                <w:lang w:val="en-US" w:eastAsia="zh-CN"/>
              </w:rPr>
            </w:pPr>
            <w:r>
              <w:rPr>
                <w:rFonts w:hint="eastAsia" w:ascii="Times New Roman" w:hAnsi="Times New Roman" w:cs="Times New Roman"/>
                <w:bCs/>
                <w:color w:val="auto"/>
                <w:sz w:val="22"/>
                <w:szCs w:val="22"/>
                <w:highlight w:val="none"/>
                <w:lang w:val="en-US" w:eastAsia="zh-CN"/>
              </w:rPr>
              <w:fldChar w:fldCharType="begin"/>
            </w:r>
            <w:r>
              <w:rPr>
                <w:rFonts w:hint="eastAsia" w:ascii="Times New Roman" w:hAnsi="Times New Roman" w:cs="Times New Roman"/>
                <w:bCs/>
                <w:color w:val="auto"/>
                <w:sz w:val="22"/>
                <w:szCs w:val="22"/>
                <w:highlight w:val="none"/>
                <w:lang w:val="en-US" w:eastAsia="zh-CN"/>
              </w:rPr>
              <w:instrText xml:space="preserve"> = 2 \* GB3 \* MERGEFORMAT </w:instrText>
            </w:r>
            <w:r>
              <w:rPr>
                <w:rFonts w:hint="eastAsia" w:ascii="Times New Roman" w:hAnsi="Times New Roman" w:cs="Times New Roman"/>
                <w:bCs/>
                <w:color w:val="auto"/>
                <w:sz w:val="22"/>
                <w:szCs w:val="22"/>
                <w:highlight w:val="none"/>
                <w:lang w:val="en-US" w:eastAsia="zh-CN"/>
              </w:rPr>
              <w:fldChar w:fldCharType="separate"/>
            </w:r>
            <w:r>
              <w:rPr>
                <w:rFonts w:hint="default" w:ascii="Times New Roman" w:hAnsi="Times New Roman" w:cs="Times New Roman"/>
                <w:bCs/>
                <w:color w:val="auto"/>
                <w:sz w:val="22"/>
                <w:szCs w:val="22"/>
                <w:highlight w:val="none"/>
                <w:lang w:val="en-US" w:eastAsia="zh-CN"/>
              </w:rPr>
              <w:t>②</w:t>
            </w:r>
            <w:r>
              <w:rPr>
                <w:rFonts w:hint="eastAsia" w:ascii="Times New Roman" w:hAnsi="Times New Roman" w:cs="Times New Roman"/>
                <w:bCs/>
                <w:color w:val="auto"/>
                <w:sz w:val="22"/>
                <w:szCs w:val="22"/>
                <w:highlight w:val="none"/>
                <w:lang w:val="en-US" w:eastAsia="zh-CN"/>
              </w:rPr>
              <w:fldChar w:fldCharType="end"/>
            </w:r>
            <w:r>
              <w:rPr>
                <w:rFonts w:hint="eastAsia" w:ascii="Times New Roman" w:hAnsi="Times New Roman" w:cs="Times New Roman"/>
                <w:bCs/>
                <w:color w:val="auto"/>
                <w:sz w:val="22"/>
                <w:szCs w:val="22"/>
                <w:highlight w:val="none"/>
                <w:lang w:val="en-US" w:eastAsia="zh-CN"/>
              </w:rPr>
              <w:t>评价方法</w:t>
            </w:r>
          </w:p>
          <w:p>
            <w:pPr>
              <w:pStyle w:val="14"/>
              <w:spacing w:before="0" w:after="0" w:line="360" w:lineRule="auto"/>
              <w:ind w:right="0" w:firstLine="440" w:firstLineChars="200"/>
              <w:jc w:val="left"/>
              <w:rPr>
                <w:rFonts w:hint="eastAsia" w:ascii="Times New Roman" w:hAnsi="Times New Roman" w:cs="Times New Roman"/>
                <w:bCs/>
                <w:color w:val="auto"/>
                <w:sz w:val="22"/>
                <w:szCs w:val="22"/>
                <w:highlight w:val="none"/>
                <w:lang w:val="en-US" w:eastAsia="zh-CN"/>
              </w:rPr>
            </w:pPr>
            <w:r>
              <w:rPr>
                <w:rFonts w:hint="eastAsia" w:ascii="Times New Roman" w:hAnsi="Times New Roman" w:cs="Times New Roman"/>
                <w:bCs/>
                <w:color w:val="auto"/>
                <w:sz w:val="22"/>
                <w:szCs w:val="22"/>
                <w:highlight w:val="none"/>
                <w:lang w:val="en-US" w:eastAsia="zh-CN"/>
              </w:rPr>
              <w:t>评价方法采用单项评价指数法，评价指数定义为:</w:t>
            </w:r>
          </w:p>
          <w:p>
            <w:pPr>
              <w:pStyle w:val="14"/>
              <w:keepNext w:val="0"/>
              <w:keepLines w:val="0"/>
              <w:pageBreakBefore w:val="0"/>
              <w:widowControl/>
              <w:kinsoku/>
              <w:wordWrap/>
              <w:overflowPunct/>
              <w:topLinePunct w:val="0"/>
              <w:autoSpaceDE/>
              <w:autoSpaceDN/>
              <w:bidi w:val="0"/>
              <w:adjustRightInd/>
              <w:snapToGrid w:val="0"/>
              <w:spacing w:before="0" w:after="0" w:line="360" w:lineRule="auto"/>
              <w:ind w:right="0" w:firstLine="0" w:firstLineChars="0"/>
              <w:jc w:val="center"/>
              <w:textAlignment w:val="auto"/>
              <w:outlineLvl w:val="9"/>
              <w:rPr>
                <w:rFonts w:hint="eastAsia" w:ascii="Times New Roman" w:hAnsi="Times New Roman" w:cs="Times New Roman"/>
                <w:bCs/>
                <w:color w:val="auto"/>
                <w:sz w:val="22"/>
                <w:szCs w:val="22"/>
                <w:highlight w:val="none"/>
                <w:lang w:val="en-US" w:eastAsia="zh-CN"/>
              </w:rPr>
            </w:pPr>
            <w:r>
              <w:rPr>
                <w:rFonts w:hint="eastAsia" w:ascii="Times New Roman" w:hAnsi="Times New Roman" w:cs="Times New Roman"/>
                <w:bCs/>
                <w:color w:val="auto"/>
                <w:sz w:val="22"/>
                <w:szCs w:val="22"/>
                <w:highlight w:val="none"/>
                <w:lang w:val="en-US" w:eastAsia="zh-CN"/>
              </w:rPr>
              <w:t>I</w:t>
            </w:r>
            <w:r>
              <w:rPr>
                <w:rFonts w:hint="eastAsia" w:ascii="Times New Roman" w:hAnsi="Times New Roman" w:cs="Times New Roman"/>
                <w:bCs/>
                <w:color w:val="auto"/>
                <w:sz w:val="22"/>
                <w:szCs w:val="22"/>
                <w:highlight w:val="none"/>
                <w:vertAlign w:val="subscript"/>
                <w:lang w:val="en-US" w:eastAsia="zh-CN"/>
              </w:rPr>
              <w:t>i</w:t>
            </w:r>
            <w:r>
              <w:rPr>
                <w:rFonts w:hint="eastAsia" w:ascii="Times New Roman" w:hAnsi="Times New Roman" w:cs="Times New Roman"/>
                <w:bCs/>
                <w:color w:val="auto"/>
                <w:sz w:val="22"/>
                <w:szCs w:val="22"/>
                <w:highlight w:val="none"/>
                <w:lang w:val="en-US" w:eastAsia="zh-CN"/>
              </w:rPr>
              <w:t>=C</w:t>
            </w:r>
            <w:r>
              <w:rPr>
                <w:rFonts w:hint="eastAsia" w:ascii="Times New Roman" w:hAnsi="Times New Roman" w:cs="Times New Roman"/>
                <w:bCs/>
                <w:color w:val="auto"/>
                <w:sz w:val="22"/>
                <w:szCs w:val="22"/>
                <w:highlight w:val="none"/>
                <w:vertAlign w:val="subscript"/>
                <w:lang w:val="en-US" w:eastAsia="zh-CN"/>
              </w:rPr>
              <w:t>i</w:t>
            </w:r>
            <w:r>
              <w:rPr>
                <w:rFonts w:hint="eastAsia" w:ascii="Times New Roman" w:hAnsi="Times New Roman" w:cs="Times New Roman"/>
                <w:bCs/>
                <w:color w:val="auto"/>
                <w:sz w:val="22"/>
                <w:szCs w:val="22"/>
                <w:highlight w:val="none"/>
                <w:lang w:val="en-US" w:eastAsia="zh-CN"/>
              </w:rPr>
              <w:t>/C</w:t>
            </w:r>
            <w:r>
              <w:rPr>
                <w:rFonts w:hint="eastAsia" w:ascii="Times New Roman" w:hAnsi="Times New Roman" w:cs="Times New Roman"/>
                <w:bCs/>
                <w:color w:val="auto"/>
                <w:sz w:val="22"/>
                <w:szCs w:val="22"/>
                <w:highlight w:val="none"/>
                <w:vertAlign w:val="subscript"/>
                <w:lang w:val="en-US" w:eastAsia="zh-CN"/>
              </w:rPr>
              <w:t>0i</w:t>
            </w:r>
          </w:p>
          <w:p>
            <w:pPr>
              <w:pStyle w:val="14"/>
              <w:spacing w:before="0" w:after="0" w:line="360" w:lineRule="auto"/>
              <w:ind w:right="0" w:firstLine="440" w:firstLineChars="200"/>
              <w:jc w:val="left"/>
              <w:rPr>
                <w:rFonts w:hint="eastAsia" w:ascii="Times New Roman" w:hAnsi="Times New Roman" w:cs="Times New Roman"/>
                <w:bCs/>
                <w:color w:val="auto"/>
                <w:sz w:val="22"/>
                <w:szCs w:val="22"/>
                <w:highlight w:val="none"/>
                <w:lang w:val="en-US" w:eastAsia="zh-CN"/>
              </w:rPr>
            </w:pPr>
            <w:r>
              <w:rPr>
                <w:rFonts w:hint="eastAsia" w:ascii="Times New Roman" w:hAnsi="Times New Roman" w:cs="Times New Roman"/>
                <w:bCs/>
                <w:color w:val="auto"/>
                <w:sz w:val="22"/>
                <w:szCs w:val="22"/>
                <w:highlight w:val="none"/>
                <w:lang w:val="en-US" w:eastAsia="zh-CN"/>
              </w:rPr>
              <w:t>式中：C</w:t>
            </w:r>
            <w:r>
              <w:rPr>
                <w:rFonts w:hint="eastAsia" w:ascii="Times New Roman" w:hAnsi="Times New Roman" w:cs="Times New Roman"/>
                <w:bCs/>
                <w:color w:val="auto"/>
                <w:sz w:val="22"/>
                <w:szCs w:val="22"/>
                <w:highlight w:val="none"/>
                <w:vertAlign w:val="subscript"/>
                <w:lang w:val="en-US" w:eastAsia="zh-CN"/>
              </w:rPr>
              <w:t>i</w:t>
            </w:r>
            <w:r>
              <w:rPr>
                <w:rFonts w:hint="eastAsia" w:ascii="Times New Roman" w:hAnsi="Times New Roman" w:cs="Times New Roman"/>
                <w:bCs/>
                <w:color w:val="auto"/>
                <w:sz w:val="22"/>
                <w:szCs w:val="22"/>
                <w:highlight w:val="none"/>
                <w:lang w:val="en-US" w:eastAsia="zh-CN"/>
              </w:rPr>
              <w:t>---某评价因子监测浓度，mg/m</w:t>
            </w:r>
            <w:r>
              <w:rPr>
                <w:rFonts w:hint="eastAsia" w:ascii="Times New Roman" w:hAnsi="Times New Roman" w:cs="Times New Roman"/>
                <w:bCs/>
                <w:color w:val="auto"/>
                <w:sz w:val="22"/>
                <w:szCs w:val="22"/>
                <w:highlight w:val="none"/>
                <w:vertAlign w:val="superscript"/>
                <w:lang w:val="en-US" w:eastAsia="zh-CN"/>
              </w:rPr>
              <w:t>3</w:t>
            </w:r>
            <w:r>
              <w:rPr>
                <w:rFonts w:hint="eastAsia" w:ascii="Times New Roman" w:hAnsi="Times New Roman" w:cs="Times New Roman"/>
                <w:bCs/>
                <w:color w:val="auto"/>
                <w:sz w:val="22"/>
                <w:szCs w:val="22"/>
                <w:highlight w:val="none"/>
                <w:lang w:val="en-US" w:eastAsia="zh-CN"/>
              </w:rPr>
              <w:t>；</w:t>
            </w:r>
          </w:p>
          <w:p>
            <w:pPr>
              <w:pStyle w:val="14"/>
              <w:spacing w:before="0" w:after="0" w:line="360" w:lineRule="auto"/>
              <w:ind w:right="0" w:firstLine="1100" w:firstLineChars="500"/>
              <w:jc w:val="left"/>
              <w:rPr>
                <w:rFonts w:hint="eastAsia" w:ascii="Times New Roman" w:hAnsi="Times New Roman" w:cs="Times New Roman"/>
                <w:bCs/>
                <w:color w:val="auto"/>
                <w:sz w:val="22"/>
                <w:szCs w:val="22"/>
                <w:highlight w:val="none"/>
                <w:lang w:val="en-US" w:eastAsia="zh-CN"/>
              </w:rPr>
            </w:pPr>
            <w:r>
              <w:rPr>
                <w:rFonts w:hint="eastAsia" w:ascii="Times New Roman" w:hAnsi="Times New Roman" w:cs="Times New Roman"/>
                <w:bCs/>
                <w:color w:val="auto"/>
                <w:sz w:val="22"/>
                <w:szCs w:val="22"/>
                <w:highlight w:val="none"/>
                <w:lang w:val="en-US" w:eastAsia="zh-CN"/>
              </w:rPr>
              <w:t>C</w:t>
            </w:r>
            <w:r>
              <w:rPr>
                <w:rFonts w:hint="eastAsia" w:ascii="Times New Roman" w:hAnsi="Times New Roman" w:cs="Times New Roman"/>
                <w:bCs/>
                <w:color w:val="auto"/>
                <w:sz w:val="22"/>
                <w:szCs w:val="22"/>
                <w:highlight w:val="none"/>
                <w:vertAlign w:val="subscript"/>
                <w:lang w:val="en-US" w:eastAsia="zh-CN"/>
              </w:rPr>
              <w:t>0i</w:t>
            </w:r>
            <w:r>
              <w:rPr>
                <w:rFonts w:hint="eastAsia" w:ascii="Times New Roman" w:hAnsi="Times New Roman" w:cs="Times New Roman"/>
                <w:bCs/>
                <w:color w:val="auto"/>
                <w:sz w:val="22"/>
                <w:szCs w:val="22"/>
                <w:highlight w:val="none"/>
                <w:lang w:val="en-US" w:eastAsia="zh-CN"/>
              </w:rPr>
              <w:t>---某评价因子评价标准，mg/m</w:t>
            </w:r>
            <w:r>
              <w:rPr>
                <w:rFonts w:hint="eastAsia" w:ascii="Times New Roman" w:hAnsi="Times New Roman" w:cs="Times New Roman"/>
                <w:bCs/>
                <w:color w:val="auto"/>
                <w:sz w:val="22"/>
                <w:szCs w:val="22"/>
                <w:highlight w:val="none"/>
                <w:vertAlign w:val="superscript"/>
                <w:lang w:val="en-US" w:eastAsia="zh-CN"/>
              </w:rPr>
              <w:t>3</w:t>
            </w:r>
            <w:r>
              <w:rPr>
                <w:rFonts w:hint="eastAsia" w:ascii="Times New Roman" w:hAnsi="Times New Roman" w:cs="Times New Roman"/>
                <w:bCs/>
                <w:color w:val="auto"/>
                <w:sz w:val="22"/>
                <w:szCs w:val="22"/>
                <w:highlight w:val="none"/>
                <w:lang w:val="en-US" w:eastAsia="zh-CN"/>
              </w:rPr>
              <w:t>；</w:t>
            </w:r>
          </w:p>
          <w:p>
            <w:pPr>
              <w:pStyle w:val="14"/>
              <w:spacing w:before="0" w:after="0" w:line="360" w:lineRule="auto"/>
              <w:ind w:right="0" w:firstLine="440" w:firstLineChars="200"/>
              <w:jc w:val="left"/>
              <w:rPr>
                <w:rFonts w:hint="eastAsia" w:ascii="Times New Roman" w:hAnsi="Times New Roman" w:cs="Times New Roman"/>
                <w:bCs/>
                <w:color w:val="auto"/>
                <w:sz w:val="22"/>
                <w:szCs w:val="22"/>
                <w:highlight w:val="none"/>
                <w:lang w:val="en-US" w:eastAsia="zh-CN"/>
              </w:rPr>
            </w:pPr>
            <w:r>
              <w:rPr>
                <w:rFonts w:hint="eastAsia" w:ascii="Times New Roman" w:hAnsi="Times New Roman" w:cs="Times New Roman"/>
                <w:bCs/>
                <w:color w:val="auto"/>
                <w:sz w:val="22"/>
                <w:szCs w:val="22"/>
                <w:highlight w:val="none"/>
                <w:lang w:val="en-US" w:eastAsia="zh-CN"/>
              </w:rPr>
              <w:t>当I</w:t>
            </w:r>
            <w:r>
              <w:rPr>
                <w:rFonts w:hint="eastAsia" w:ascii="Times New Roman" w:hAnsi="Times New Roman" w:cs="Times New Roman"/>
                <w:bCs/>
                <w:color w:val="auto"/>
                <w:sz w:val="22"/>
                <w:szCs w:val="22"/>
                <w:highlight w:val="none"/>
                <w:vertAlign w:val="subscript"/>
                <w:lang w:val="en-US" w:eastAsia="zh-CN"/>
              </w:rPr>
              <w:t>i</w:t>
            </w:r>
            <w:r>
              <w:rPr>
                <w:rFonts w:hint="eastAsia" w:ascii="Times New Roman" w:hAnsi="Times New Roman" w:cs="Times New Roman"/>
                <w:bCs/>
                <w:color w:val="auto"/>
                <w:sz w:val="22"/>
                <w:szCs w:val="22"/>
                <w:highlight w:val="none"/>
                <w:lang w:val="en-US" w:eastAsia="zh-CN"/>
              </w:rPr>
              <w:t>值大于1.0时，表明评价区域空气受到该项目评价因子所表征的污染物的污染，I</w:t>
            </w:r>
            <w:r>
              <w:rPr>
                <w:rFonts w:hint="eastAsia" w:ascii="Times New Roman" w:hAnsi="Times New Roman" w:cs="Times New Roman"/>
                <w:bCs/>
                <w:color w:val="auto"/>
                <w:sz w:val="22"/>
                <w:szCs w:val="22"/>
                <w:highlight w:val="none"/>
                <w:vertAlign w:val="subscript"/>
                <w:lang w:val="en-US" w:eastAsia="zh-CN"/>
              </w:rPr>
              <w:t>i</w:t>
            </w:r>
            <w:r>
              <w:rPr>
                <w:rFonts w:hint="eastAsia" w:ascii="Times New Roman" w:hAnsi="Times New Roman" w:cs="Times New Roman"/>
                <w:bCs/>
                <w:color w:val="auto"/>
                <w:sz w:val="22"/>
                <w:szCs w:val="22"/>
                <w:highlight w:val="none"/>
                <w:lang w:val="en-US" w:eastAsia="zh-CN"/>
              </w:rPr>
              <w:t>值愈大，受污染程度越重，否则反之。</w:t>
            </w:r>
          </w:p>
          <w:p>
            <w:pPr>
              <w:pStyle w:val="14"/>
              <w:spacing w:before="0" w:after="0" w:line="360" w:lineRule="auto"/>
              <w:ind w:right="0" w:firstLine="442" w:firstLineChars="200"/>
              <w:jc w:val="left"/>
              <w:rPr>
                <w:rFonts w:hint="eastAsia" w:ascii="Times New Roman" w:hAnsi="Times New Roman" w:cs="Times New Roman"/>
                <w:b/>
                <w:bCs w:val="0"/>
                <w:color w:val="auto"/>
                <w:sz w:val="22"/>
                <w:szCs w:val="22"/>
                <w:highlight w:val="none"/>
                <w:lang w:val="en-US" w:eastAsia="zh-CN"/>
              </w:rPr>
            </w:pPr>
            <w:r>
              <w:rPr>
                <w:rFonts w:hint="eastAsia" w:ascii="Times New Roman" w:hAnsi="Times New Roman" w:cs="Times New Roman"/>
                <w:b/>
                <w:bCs w:val="0"/>
                <w:color w:val="auto"/>
                <w:sz w:val="22"/>
                <w:szCs w:val="22"/>
                <w:highlight w:val="none"/>
                <w:lang w:val="en-US" w:eastAsia="zh-CN"/>
              </w:rPr>
              <w:t>（4）评价结果</w:t>
            </w:r>
          </w:p>
          <w:p>
            <w:pPr>
              <w:pStyle w:val="14"/>
              <w:spacing w:before="0" w:after="0" w:line="360" w:lineRule="auto"/>
              <w:ind w:right="0" w:firstLine="440" w:firstLineChars="200"/>
              <w:jc w:val="left"/>
              <w:rPr>
                <w:rFonts w:hint="default" w:ascii="Times New Roman" w:hAnsi="Times New Roman" w:eastAsia="宋体" w:cs="Times New Roman"/>
                <w:bCs/>
                <w:color w:val="auto"/>
                <w:sz w:val="22"/>
                <w:szCs w:val="22"/>
                <w:highlight w:val="none"/>
                <w:lang w:val="en-US" w:eastAsia="zh-CN"/>
              </w:rPr>
            </w:pPr>
            <w:r>
              <w:rPr>
                <w:rFonts w:hint="eastAsia" w:ascii="Times New Roman" w:hAnsi="Times New Roman" w:cs="Times New Roman"/>
                <w:bCs/>
                <w:color w:val="auto"/>
                <w:sz w:val="22"/>
                <w:szCs w:val="22"/>
                <w:highlight w:val="none"/>
                <w:lang w:val="en-US" w:eastAsia="zh-CN"/>
              </w:rPr>
              <w:t>检测结果评价：苯、甲苯、二甲苯符合《环境影响评价技术导则大气环境》（H2.2-2018）中附录D；非甲烷总烃符合《大气污染物综合排放标准 详解》的限值（2mg/m</w:t>
            </w:r>
            <w:r>
              <w:rPr>
                <w:rFonts w:hint="eastAsia" w:ascii="Times New Roman" w:hAnsi="Times New Roman" w:cs="Times New Roman"/>
                <w:bCs/>
                <w:color w:val="auto"/>
                <w:sz w:val="22"/>
                <w:szCs w:val="22"/>
                <w:highlight w:val="none"/>
                <w:vertAlign w:val="superscript"/>
                <w:lang w:val="en-US" w:eastAsia="zh-CN"/>
              </w:rPr>
              <w:t>3</w:t>
            </w:r>
            <w:r>
              <w:rPr>
                <w:rFonts w:hint="eastAsia" w:ascii="Times New Roman" w:hAnsi="Times New Roman" w:cs="Times New Roman"/>
                <w:bCs/>
                <w:color w:val="auto"/>
                <w:sz w:val="22"/>
                <w:szCs w:val="22"/>
                <w:highlight w:val="none"/>
                <w:lang w:val="en-US" w:eastAsia="zh-CN"/>
              </w:rPr>
              <w:t>）要求。</w:t>
            </w:r>
          </w:p>
          <w:p>
            <w:pPr>
              <w:pStyle w:val="14"/>
              <w:spacing w:before="0" w:after="0" w:line="360" w:lineRule="auto"/>
              <w:ind w:right="0" w:firstLine="442" w:firstLineChars="200"/>
              <w:jc w:val="left"/>
              <w:rPr>
                <w:rFonts w:hint="default" w:ascii="Times New Roman" w:hAnsi="Times New Roman" w:cs="Times New Roman"/>
                <w:bCs/>
                <w:color w:val="auto"/>
                <w:sz w:val="22"/>
                <w:szCs w:val="22"/>
                <w:highlight w:val="none"/>
                <w:lang w:val="en-US" w:eastAsia="zh-CN"/>
              </w:rPr>
            </w:pPr>
            <w:r>
              <w:rPr>
                <w:rFonts w:hint="default" w:ascii="Times New Roman" w:hAnsi="Times New Roman" w:cs="Times New Roman"/>
                <w:b/>
                <w:bCs/>
                <w:color w:val="auto"/>
                <w:sz w:val="22"/>
                <w:szCs w:val="22"/>
                <w:highlight w:val="none"/>
              </w:rPr>
              <w:t>2、地表水环境</w:t>
            </w:r>
          </w:p>
          <w:p>
            <w:pPr>
              <w:pStyle w:val="14"/>
              <w:spacing w:before="0" w:after="0" w:line="360" w:lineRule="auto"/>
              <w:ind w:right="0" w:firstLine="440" w:firstLineChars="200"/>
              <w:jc w:val="left"/>
              <w:rPr>
                <w:rFonts w:hint="eastAsia" w:ascii="Times New Roman" w:hAnsi="Times New Roman" w:eastAsia="宋体" w:cs="Times New Roman"/>
                <w:color w:val="auto"/>
                <w:kern w:val="0"/>
                <w:sz w:val="22"/>
                <w:szCs w:val="22"/>
                <w:highlight w:val="none"/>
                <w:lang w:val="en-US" w:eastAsia="zh-CN"/>
              </w:rPr>
            </w:pPr>
            <w:r>
              <w:rPr>
                <w:rFonts w:hint="default" w:ascii="Times New Roman" w:hAnsi="Times New Roman" w:eastAsia="宋体" w:cs="Times New Roman"/>
                <w:color w:val="auto"/>
                <w:kern w:val="0"/>
                <w:sz w:val="22"/>
                <w:szCs w:val="22"/>
                <w:highlight w:val="none"/>
                <w:lang w:val="en-US" w:eastAsia="zh-CN"/>
              </w:rPr>
              <w:t>本项目</w:t>
            </w:r>
            <w:r>
              <w:rPr>
                <w:rFonts w:hint="eastAsia" w:ascii="Times New Roman" w:hAnsi="Times New Roman" w:eastAsia="宋体" w:cs="Times New Roman"/>
                <w:color w:val="auto"/>
                <w:kern w:val="0"/>
                <w:sz w:val="22"/>
                <w:szCs w:val="22"/>
                <w:highlight w:val="none"/>
                <w:lang w:val="en-US" w:eastAsia="zh-CN"/>
              </w:rPr>
              <w:t>雨污分流，雨水经雨水管接入市政雨水管网；磨边、清洗、冷却水循环使用，不外排；水帘柜废水循环使用，一年更换一次，排入乐山市工业集中区污水处理厂；生活污水经预处理后排入乐山市工业集中区污水处理厂处理后达标排放。</w:t>
            </w:r>
          </w:p>
          <w:p>
            <w:pPr>
              <w:pStyle w:val="14"/>
              <w:spacing w:before="0" w:after="0" w:line="360" w:lineRule="auto"/>
              <w:ind w:right="0" w:firstLine="440" w:firstLineChars="200"/>
              <w:jc w:val="left"/>
              <w:rPr>
                <w:rFonts w:hint="default" w:ascii="Times New Roman" w:hAnsi="Times New Roman" w:cs="Times New Roman"/>
                <w:bCs/>
                <w:color w:val="auto"/>
                <w:sz w:val="22"/>
                <w:szCs w:val="22"/>
                <w:highlight w:val="none"/>
                <w:lang w:val="en-US" w:eastAsia="zh-CN"/>
              </w:rPr>
            </w:pPr>
            <w:r>
              <w:rPr>
                <w:rFonts w:hint="default" w:ascii="Times New Roman" w:hAnsi="Times New Roman" w:eastAsia="宋体" w:cs="Times New Roman"/>
                <w:color w:val="auto"/>
                <w:kern w:val="0"/>
                <w:sz w:val="22"/>
                <w:szCs w:val="22"/>
                <w:highlight w:val="none"/>
              </w:rPr>
              <w:t>根据乐山市生态环境局于2023年3月8日发布的《乐山市地表水水质质量月报（2023年2月）》</w:t>
            </w:r>
            <w:r>
              <w:rPr>
                <w:rFonts w:hint="eastAsia" w:ascii="Times New Roman" w:hAnsi="Times New Roman" w:eastAsia="宋体" w:cs="Times New Roman"/>
                <w:color w:val="auto"/>
                <w:kern w:val="0"/>
                <w:sz w:val="22"/>
                <w:szCs w:val="22"/>
                <w:highlight w:val="none"/>
                <w:lang w:eastAsia="zh-CN"/>
              </w:rPr>
              <w:t>：2023年2月，列入国家考核的6个断面和省考核的8个断面水质均符合《地表水环境质量标准》（GB3838－2002）Ⅲ类标准，断面达标率为100％，水质状况良好</w:t>
            </w:r>
            <w:r>
              <w:rPr>
                <w:rFonts w:hint="default" w:ascii="Times New Roman" w:hAnsi="Times New Roman" w:cs="Times New Roman"/>
                <w:bCs/>
                <w:color w:val="auto"/>
                <w:sz w:val="22"/>
                <w:szCs w:val="22"/>
                <w:highlight w:val="none"/>
                <w:lang w:val="en-US" w:eastAsia="zh-CN"/>
              </w:rPr>
              <w:t>。</w:t>
            </w:r>
          </w:p>
          <w:p>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outlineLvl w:val="9"/>
            </w:pPr>
            <w:r>
              <w:drawing>
                <wp:inline distT="0" distB="0" distL="114300" distR="114300">
                  <wp:extent cx="5062220" cy="4519930"/>
                  <wp:effectExtent l="0" t="0" r="5080" b="13970"/>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pic:cNvPicPr>
                        </pic:nvPicPr>
                        <pic:blipFill>
                          <a:blip r:embed="rId33"/>
                          <a:stretch>
                            <a:fillRect/>
                          </a:stretch>
                        </pic:blipFill>
                        <pic:spPr>
                          <a:xfrm>
                            <a:off x="0" y="0"/>
                            <a:ext cx="5062220" cy="4519930"/>
                          </a:xfrm>
                          <a:prstGeom prst="rect">
                            <a:avLst/>
                          </a:prstGeom>
                          <a:noFill/>
                          <a:ln>
                            <a:noFill/>
                          </a:ln>
                        </pic:spPr>
                      </pic:pic>
                    </a:graphicData>
                  </a:graphic>
                </wp:inline>
              </w:drawing>
            </w:r>
          </w:p>
          <w:p>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outlineLvl w:val="9"/>
              <w:rPr>
                <w:rFonts w:hint="default"/>
                <w:lang w:val="en-US"/>
              </w:rPr>
            </w:pPr>
            <w:r>
              <w:rPr>
                <w:rFonts w:hint="default" w:ascii="Times New Roman" w:hAnsi="Times New Roman" w:cs="Times New Roman"/>
                <w:b/>
                <w:bCs/>
                <w:color w:val="auto"/>
                <w:sz w:val="20"/>
                <w:szCs w:val="20"/>
                <w:highlight w:val="none"/>
                <w:lang w:eastAsia="zh-CN"/>
              </w:rPr>
              <w:t>图</w:t>
            </w:r>
            <w:r>
              <w:rPr>
                <w:rFonts w:hint="default" w:ascii="Times New Roman" w:hAnsi="Times New Roman" w:cs="Times New Roman"/>
                <w:b/>
                <w:bCs/>
                <w:color w:val="auto"/>
                <w:sz w:val="20"/>
                <w:szCs w:val="20"/>
                <w:highlight w:val="none"/>
              </w:rPr>
              <w:t xml:space="preserve">3-1  </w:t>
            </w:r>
            <w:r>
              <w:rPr>
                <w:rFonts w:hint="eastAsia" w:ascii="Times New Roman" w:hAnsi="Times New Roman" w:cs="Times New Roman"/>
                <w:b/>
                <w:bCs/>
                <w:color w:val="auto"/>
                <w:sz w:val="20"/>
                <w:szCs w:val="20"/>
                <w:highlight w:val="none"/>
                <w:lang w:val="en-US" w:eastAsia="zh-CN"/>
              </w:rPr>
              <w:t>乐山市地表水水质质量月报（2023年2月）</w:t>
            </w:r>
          </w:p>
          <w:p>
            <w:pPr>
              <w:pStyle w:val="14"/>
              <w:spacing w:before="0" w:after="0" w:line="360" w:lineRule="auto"/>
              <w:ind w:right="0" w:firstLine="442" w:firstLineChars="200"/>
              <w:jc w:val="left"/>
              <w:rPr>
                <w:rFonts w:hint="default" w:ascii="Times New Roman" w:hAnsi="Times New Roman" w:cs="Times New Roman"/>
                <w:bCs/>
                <w:color w:val="auto"/>
                <w:sz w:val="22"/>
                <w:szCs w:val="22"/>
                <w:highlight w:val="none"/>
                <w:lang w:val="en-US" w:eastAsia="zh-CN"/>
              </w:rPr>
            </w:pPr>
            <w:r>
              <w:rPr>
                <w:rFonts w:hint="default" w:ascii="Times New Roman" w:hAnsi="Times New Roman" w:cs="Times New Roman"/>
                <w:b/>
                <w:bCs/>
                <w:color w:val="auto"/>
                <w:sz w:val="22"/>
                <w:szCs w:val="22"/>
                <w:highlight w:val="none"/>
                <w:lang w:val="en-US" w:eastAsia="zh-CN"/>
              </w:rPr>
              <w:t>3</w:t>
            </w:r>
            <w:r>
              <w:rPr>
                <w:rFonts w:hint="default" w:ascii="Times New Roman" w:hAnsi="Times New Roman" w:cs="Times New Roman"/>
                <w:b/>
                <w:bCs/>
                <w:color w:val="auto"/>
                <w:sz w:val="22"/>
                <w:szCs w:val="22"/>
                <w:highlight w:val="none"/>
              </w:rPr>
              <w:t>、</w:t>
            </w:r>
            <w:r>
              <w:rPr>
                <w:rFonts w:hint="default" w:ascii="Times New Roman" w:hAnsi="Times New Roman" w:cs="Times New Roman"/>
                <w:b/>
                <w:bCs/>
                <w:color w:val="auto"/>
                <w:sz w:val="22"/>
                <w:szCs w:val="22"/>
                <w:highlight w:val="none"/>
                <w:lang w:eastAsia="zh-CN"/>
              </w:rPr>
              <w:t>声</w:t>
            </w:r>
            <w:r>
              <w:rPr>
                <w:rFonts w:hint="default" w:ascii="Times New Roman" w:hAnsi="Times New Roman" w:cs="Times New Roman"/>
                <w:b/>
                <w:bCs/>
                <w:color w:val="auto"/>
                <w:sz w:val="22"/>
                <w:szCs w:val="22"/>
                <w:highlight w:val="none"/>
              </w:rPr>
              <w:t>环境</w:t>
            </w:r>
          </w:p>
          <w:p>
            <w:pPr>
              <w:pStyle w:val="14"/>
              <w:spacing w:before="0" w:after="0" w:line="360" w:lineRule="auto"/>
              <w:ind w:right="0" w:firstLine="440" w:firstLineChars="200"/>
              <w:jc w:val="left"/>
              <w:rPr>
                <w:rFonts w:hint="default" w:ascii="Times New Roman" w:hAnsi="Times New Roman" w:cs="Times New Roman"/>
                <w:bCs/>
                <w:color w:val="auto"/>
                <w:sz w:val="22"/>
                <w:szCs w:val="22"/>
                <w:highlight w:val="none"/>
                <w:lang w:val="en-US" w:eastAsia="zh-CN"/>
              </w:rPr>
            </w:pPr>
            <w:r>
              <w:rPr>
                <w:rFonts w:hint="default" w:ascii="Times New Roman" w:hAnsi="Times New Roman" w:cs="Times New Roman"/>
                <w:bCs/>
                <w:color w:val="auto"/>
                <w:sz w:val="22"/>
                <w:szCs w:val="22"/>
                <w:highlight w:val="none"/>
                <w:lang w:val="en-US" w:eastAsia="zh-CN"/>
              </w:rPr>
              <w:t>本次委托</w:t>
            </w:r>
            <w:r>
              <w:rPr>
                <w:rFonts w:hint="eastAsia" w:ascii="Times New Roman" w:hAnsi="Times New Roman" w:cs="Times New Roman"/>
                <w:bCs/>
                <w:color w:val="auto"/>
                <w:sz w:val="22"/>
                <w:szCs w:val="22"/>
                <w:highlight w:val="none"/>
                <w:lang w:val="en-US" w:eastAsia="zh-CN"/>
              </w:rPr>
              <w:t>四川瑞兴环保检测有限公司</w:t>
            </w:r>
            <w:r>
              <w:rPr>
                <w:rFonts w:hint="default" w:ascii="Times New Roman" w:hAnsi="Times New Roman" w:cs="Times New Roman"/>
                <w:bCs/>
                <w:color w:val="auto"/>
                <w:sz w:val="22"/>
                <w:szCs w:val="22"/>
                <w:highlight w:val="none"/>
                <w:lang w:val="en-US" w:eastAsia="zh-CN"/>
              </w:rPr>
              <w:t>于202</w:t>
            </w:r>
            <w:r>
              <w:rPr>
                <w:rFonts w:hint="eastAsia" w:ascii="Times New Roman" w:hAnsi="Times New Roman" w:cs="Times New Roman"/>
                <w:bCs/>
                <w:color w:val="auto"/>
                <w:sz w:val="22"/>
                <w:szCs w:val="22"/>
                <w:highlight w:val="none"/>
                <w:lang w:val="en-US" w:eastAsia="zh-CN"/>
              </w:rPr>
              <w:t>3</w:t>
            </w:r>
            <w:r>
              <w:rPr>
                <w:rFonts w:hint="default" w:ascii="Times New Roman" w:hAnsi="Times New Roman" w:cs="Times New Roman"/>
                <w:bCs/>
                <w:color w:val="auto"/>
                <w:sz w:val="22"/>
                <w:szCs w:val="22"/>
                <w:highlight w:val="none"/>
                <w:lang w:val="en-US" w:eastAsia="zh-CN"/>
              </w:rPr>
              <w:t>年</w:t>
            </w:r>
            <w:r>
              <w:rPr>
                <w:rFonts w:hint="eastAsia" w:ascii="Times New Roman" w:hAnsi="Times New Roman" w:cs="Times New Roman"/>
                <w:bCs/>
                <w:color w:val="auto"/>
                <w:sz w:val="22"/>
                <w:szCs w:val="22"/>
                <w:highlight w:val="none"/>
                <w:lang w:val="en-US" w:eastAsia="zh-CN"/>
              </w:rPr>
              <w:t>3</w:t>
            </w:r>
            <w:r>
              <w:rPr>
                <w:rFonts w:hint="default" w:ascii="Times New Roman" w:hAnsi="Times New Roman" w:cs="Times New Roman"/>
                <w:bCs/>
                <w:color w:val="auto"/>
                <w:sz w:val="22"/>
                <w:szCs w:val="22"/>
                <w:highlight w:val="none"/>
                <w:lang w:val="en-US" w:eastAsia="zh-CN"/>
              </w:rPr>
              <w:t>月</w:t>
            </w:r>
            <w:r>
              <w:rPr>
                <w:rFonts w:hint="eastAsia" w:ascii="Times New Roman" w:hAnsi="Times New Roman" w:cs="Times New Roman"/>
                <w:bCs/>
                <w:color w:val="auto"/>
                <w:sz w:val="22"/>
                <w:szCs w:val="22"/>
                <w:highlight w:val="none"/>
                <w:lang w:val="en-US" w:eastAsia="zh-CN"/>
              </w:rPr>
              <w:t>9</w:t>
            </w:r>
            <w:r>
              <w:rPr>
                <w:rFonts w:hint="default" w:ascii="Times New Roman" w:hAnsi="Times New Roman" w:cs="Times New Roman"/>
                <w:bCs/>
                <w:color w:val="auto"/>
                <w:sz w:val="22"/>
                <w:szCs w:val="22"/>
                <w:highlight w:val="none"/>
                <w:lang w:val="en-US" w:eastAsia="zh-CN"/>
              </w:rPr>
              <w:t>日对项目所在地声环境质量现状进行了</w:t>
            </w:r>
            <w:r>
              <w:rPr>
                <w:rFonts w:hint="eastAsia" w:ascii="Times New Roman" w:hAnsi="Times New Roman" w:cs="Times New Roman"/>
                <w:bCs/>
                <w:color w:val="auto"/>
                <w:sz w:val="22"/>
                <w:szCs w:val="22"/>
                <w:highlight w:val="none"/>
                <w:lang w:val="en-US" w:eastAsia="zh-CN"/>
              </w:rPr>
              <w:t>监测</w:t>
            </w:r>
            <w:r>
              <w:rPr>
                <w:rFonts w:hint="default" w:ascii="Times New Roman" w:hAnsi="Times New Roman" w:cs="Times New Roman"/>
                <w:bCs/>
                <w:color w:val="auto"/>
                <w:sz w:val="22"/>
                <w:szCs w:val="22"/>
                <w:highlight w:val="none"/>
                <w:lang w:val="en-US" w:eastAsia="zh-CN"/>
              </w:rPr>
              <w:t>，具体内容如下：</w:t>
            </w:r>
          </w:p>
          <w:p>
            <w:pPr>
              <w:pStyle w:val="40"/>
              <w:ind w:firstLine="221"/>
              <w:rPr>
                <w:rFonts w:hint="default" w:ascii="Times New Roman" w:hAnsi="Times New Roman" w:cs="Times New Roman"/>
                <w:b/>
                <w:bCs/>
                <w:color w:val="auto"/>
                <w:sz w:val="22"/>
                <w:szCs w:val="22"/>
                <w:highlight w:val="none"/>
              </w:rPr>
            </w:pPr>
            <w:bookmarkStart w:id="8" w:name="_Toc9889"/>
          </w:p>
          <w:p>
            <w:pPr>
              <w:pStyle w:val="40"/>
              <w:ind w:firstLine="221"/>
              <w:rPr>
                <w:rFonts w:hint="default" w:ascii="Times New Roman" w:hAnsi="Times New Roman" w:cs="Times New Roman"/>
                <w:b/>
                <w:bCs/>
                <w:color w:val="auto"/>
                <w:sz w:val="22"/>
                <w:szCs w:val="22"/>
                <w:highlight w:val="none"/>
              </w:rPr>
            </w:pPr>
          </w:p>
          <w:p>
            <w:pPr>
              <w:pStyle w:val="40"/>
              <w:ind w:firstLine="221"/>
              <w:rPr>
                <w:rFonts w:hint="default" w:ascii="Times New Roman" w:hAnsi="Times New Roman" w:cs="Times New Roman"/>
                <w:b/>
                <w:bCs/>
                <w:color w:val="auto"/>
                <w:sz w:val="22"/>
                <w:szCs w:val="22"/>
                <w:highlight w:val="none"/>
              </w:rPr>
            </w:pPr>
            <w:r>
              <w:rPr>
                <w:rFonts w:hint="default" w:ascii="Times New Roman" w:hAnsi="Times New Roman" w:cs="Times New Roman"/>
                <w:b/>
                <w:bCs/>
                <w:color w:val="auto"/>
                <w:sz w:val="22"/>
                <w:szCs w:val="22"/>
                <w:highlight w:val="none"/>
              </w:rPr>
              <w:t>（1）</w:t>
            </w:r>
            <w:bookmarkEnd w:id="8"/>
            <w:r>
              <w:rPr>
                <w:rFonts w:hint="eastAsia" w:cs="Times New Roman"/>
                <w:b/>
                <w:bCs/>
                <w:color w:val="auto"/>
                <w:sz w:val="22"/>
                <w:szCs w:val="22"/>
                <w:highlight w:val="none"/>
                <w:lang w:eastAsia="zh-CN"/>
              </w:rPr>
              <w:t>检测项目</w:t>
            </w:r>
          </w:p>
          <w:p>
            <w:pPr>
              <w:adjustRightInd w:val="0"/>
              <w:snapToGrid w:val="0"/>
              <w:jc w:val="center"/>
              <w:outlineLvl w:val="4"/>
              <w:rPr>
                <w:rFonts w:hint="eastAsia" w:ascii="Times New Roman" w:hAnsi="Times New Roman" w:eastAsia="宋体" w:cs="Times New Roman"/>
                <w:b/>
                <w:color w:val="auto"/>
                <w:szCs w:val="21"/>
                <w:highlight w:val="none"/>
                <w:lang w:eastAsia="zh-CN"/>
              </w:rPr>
            </w:pPr>
            <w:r>
              <w:rPr>
                <w:rFonts w:hint="default" w:ascii="Times New Roman" w:hAnsi="Times New Roman" w:cs="Times New Roman"/>
                <w:b/>
                <w:color w:val="auto"/>
                <w:szCs w:val="21"/>
                <w:highlight w:val="none"/>
              </w:rPr>
              <w:t>表3-</w:t>
            </w:r>
            <w:r>
              <w:rPr>
                <w:rFonts w:hint="eastAsia" w:ascii="Times New Roman" w:hAnsi="Times New Roman" w:cs="Times New Roman"/>
                <w:b/>
                <w:color w:val="auto"/>
                <w:szCs w:val="21"/>
                <w:highlight w:val="none"/>
                <w:lang w:val="en-US" w:eastAsia="zh-CN"/>
              </w:rPr>
              <w:t>4</w:t>
            </w:r>
            <w:r>
              <w:rPr>
                <w:rFonts w:hint="default" w:ascii="Times New Roman" w:hAnsi="Times New Roman" w:cs="Times New Roman"/>
                <w:b/>
                <w:color w:val="auto"/>
                <w:szCs w:val="21"/>
                <w:highlight w:val="none"/>
              </w:rPr>
              <w:t xml:space="preserve">  </w:t>
            </w:r>
            <w:r>
              <w:rPr>
                <w:rFonts w:hint="eastAsia" w:ascii="Times New Roman" w:hAnsi="Times New Roman" w:cs="Times New Roman"/>
                <w:b/>
                <w:color w:val="auto"/>
                <w:szCs w:val="21"/>
                <w:highlight w:val="none"/>
                <w:lang w:eastAsia="zh-CN"/>
              </w:rPr>
              <w:t>噪声检测项目</w:t>
            </w:r>
          </w:p>
          <w:tbl>
            <w:tblPr>
              <w:tblStyle w:val="42"/>
              <w:tblW w:w="785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03"/>
              <w:gridCol w:w="2647"/>
              <w:gridCol w:w="2327"/>
              <w:gridCol w:w="168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9" w:hRule="atLeast"/>
                <w:jc w:val="center"/>
              </w:trPr>
              <w:tc>
                <w:tcPr>
                  <w:tcW w:w="1203" w:type="dxa"/>
                  <w:noWrap w:val="0"/>
                  <w:vAlign w:val="center"/>
                </w:tcPr>
                <w:p>
                  <w:pPr>
                    <w:adjustRightInd w:val="0"/>
                    <w:snapToGrid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检测类别</w:t>
                  </w:r>
                </w:p>
              </w:tc>
              <w:tc>
                <w:tcPr>
                  <w:tcW w:w="2647" w:type="dxa"/>
                  <w:noWrap w:val="0"/>
                  <w:vAlign w:val="center"/>
                </w:tcPr>
                <w:p>
                  <w:pPr>
                    <w:adjustRightInd w:val="0"/>
                    <w:snapToGrid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检测点位</w:t>
                  </w:r>
                </w:p>
              </w:tc>
              <w:tc>
                <w:tcPr>
                  <w:tcW w:w="2327" w:type="dxa"/>
                  <w:noWrap w:val="0"/>
                  <w:vAlign w:val="center"/>
                </w:tcPr>
                <w:p>
                  <w:pPr>
                    <w:adjustRightInd w:val="0"/>
                    <w:snapToGrid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检测项目</w:t>
                  </w:r>
                </w:p>
              </w:tc>
              <w:tc>
                <w:tcPr>
                  <w:tcW w:w="1681" w:type="dxa"/>
                  <w:noWrap w:val="0"/>
                  <w:vAlign w:val="center"/>
                </w:tcPr>
                <w:p>
                  <w:pPr>
                    <w:adjustRightInd w:val="0"/>
                    <w:snapToGrid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检测频次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1203" w:type="dxa"/>
                  <w:vMerge w:val="restart"/>
                  <w:noWrap w:val="0"/>
                  <w:vAlign w:val="center"/>
                </w:tcPr>
                <w:p>
                  <w:pPr>
                    <w:adjustRightInd w:val="0"/>
                    <w:snapToGrid w:val="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噪声</w:t>
                  </w:r>
                </w:p>
              </w:tc>
              <w:tc>
                <w:tcPr>
                  <w:tcW w:w="2647" w:type="dxa"/>
                  <w:noWrap w:val="0"/>
                  <w:vAlign w:val="center"/>
                </w:tcPr>
                <w:p>
                  <w:pPr>
                    <w:adjustRightInd w:val="0"/>
                    <w:snapToGrid w:val="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1#：项目东侧厂界外1m处</w:t>
                  </w:r>
                </w:p>
              </w:tc>
              <w:tc>
                <w:tcPr>
                  <w:tcW w:w="2327" w:type="dxa"/>
                  <w:vMerge w:val="restart"/>
                  <w:noWrap w:val="0"/>
                  <w:vAlign w:val="center"/>
                </w:tcPr>
                <w:p>
                  <w:pPr>
                    <w:adjustRightInd w:val="0"/>
                    <w:snapToGrid w:val="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color w:val="auto"/>
                      <w:kern w:val="0"/>
                      <w:sz w:val="21"/>
                      <w:szCs w:val="21"/>
                    </w:rPr>
                    <w:t>工业企业厂界噪声</w:t>
                  </w:r>
                </w:p>
              </w:tc>
              <w:tc>
                <w:tcPr>
                  <w:tcW w:w="1681" w:type="dxa"/>
                  <w:vMerge w:val="restart"/>
                  <w:noWrap w:val="0"/>
                  <w:vAlign w:val="center"/>
                </w:tcPr>
                <w:p>
                  <w:pPr>
                    <w:adjustRightInd w:val="0"/>
                    <w:snapToGrid w:val="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检测1天，</w:t>
                  </w:r>
                </w:p>
                <w:p>
                  <w:pPr>
                    <w:adjustRightInd w:val="0"/>
                    <w:snapToGrid w:val="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昼间检测1次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1203" w:type="dxa"/>
                  <w:vMerge w:val="continue"/>
                  <w:noWrap w:val="0"/>
                  <w:vAlign w:val="center"/>
                </w:tcPr>
                <w:p>
                  <w:pPr>
                    <w:adjustRightInd w:val="0"/>
                    <w:snapToGrid w:val="0"/>
                    <w:jc w:val="center"/>
                    <w:rPr>
                      <w:rFonts w:hint="default" w:ascii="Times New Roman" w:hAnsi="Times New Roman" w:eastAsia="宋体" w:cs="Times New Roman"/>
                      <w:bCs/>
                      <w:color w:val="auto"/>
                      <w:sz w:val="21"/>
                      <w:szCs w:val="21"/>
                      <w:lang w:val="en-US" w:eastAsia="zh-CN"/>
                    </w:rPr>
                  </w:pPr>
                </w:p>
              </w:tc>
              <w:tc>
                <w:tcPr>
                  <w:tcW w:w="2647" w:type="dxa"/>
                  <w:noWrap w:val="0"/>
                  <w:vAlign w:val="center"/>
                </w:tcPr>
                <w:p>
                  <w:pPr>
                    <w:adjustRightInd w:val="0"/>
                    <w:snapToGrid w:val="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2#：项目南侧厂界外1m处</w:t>
                  </w:r>
                </w:p>
              </w:tc>
              <w:tc>
                <w:tcPr>
                  <w:tcW w:w="2327" w:type="dxa"/>
                  <w:vMerge w:val="continue"/>
                  <w:noWrap w:val="0"/>
                  <w:vAlign w:val="center"/>
                </w:tcPr>
                <w:p>
                  <w:pPr>
                    <w:adjustRightInd w:val="0"/>
                    <w:snapToGrid w:val="0"/>
                    <w:jc w:val="center"/>
                    <w:rPr>
                      <w:rFonts w:hint="default" w:ascii="Times New Roman" w:hAnsi="Times New Roman" w:eastAsia="宋体" w:cs="Times New Roman"/>
                      <w:bCs/>
                      <w:color w:val="auto"/>
                      <w:sz w:val="21"/>
                      <w:szCs w:val="21"/>
                      <w:lang w:val="en-US" w:eastAsia="zh-CN"/>
                    </w:rPr>
                  </w:pPr>
                </w:p>
              </w:tc>
              <w:tc>
                <w:tcPr>
                  <w:tcW w:w="1681" w:type="dxa"/>
                  <w:vMerge w:val="continue"/>
                  <w:noWrap w:val="0"/>
                  <w:vAlign w:val="center"/>
                </w:tcPr>
                <w:p>
                  <w:pPr>
                    <w:adjustRightInd w:val="0"/>
                    <w:snapToGrid w:val="0"/>
                    <w:jc w:val="center"/>
                    <w:rPr>
                      <w:rFonts w:hint="default" w:ascii="Times New Roman" w:hAnsi="Times New Roman" w:eastAsia="宋体" w:cs="Times New Roman"/>
                      <w:bCs/>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1203" w:type="dxa"/>
                  <w:vMerge w:val="continue"/>
                  <w:noWrap w:val="0"/>
                  <w:vAlign w:val="center"/>
                </w:tcPr>
                <w:p>
                  <w:pPr>
                    <w:adjustRightInd w:val="0"/>
                    <w:snapToGrid w:val="0"/>
                    <w:jc w:val="center"/>
                    <w:rPr>
                      <w:rFonts w:hint="default" w:ascii="Times New Roman" w:hAnsi="Times New Roman" w:eastAsia="宋体" w:cs="Times New Roman"/>
                      <w:bCs/>
                      <w:color w:val="auto"/>
                      <w:sz w:val="21"/>
                      <w:szCs w:val="21"/>
                      <w:lang w:val="en-US" w:eastAsia="zh-CN"/>
                    </w:rPr>
                  </w:pPr>
                </w:p>
              </w:tc>
              <w:tc>
                <w:tcPr>
                  <w:tcW w:w="2647" w:type="dxa"/>
                  <w:noWrap w:val="0"/>
                  <w:vAlign w:val="center"/>
                </w:tcPr>
                <w:p>
                  <w:pPr>
                    <w:adjustRightInd w:val="0"/>
                    <w:snapToGrid w:val="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3#：项目西侧厂界外1m处</w:t>
                  </w:r>
                </w:p>
              </w:tc>
              <w:tc>
                <w:tcPr>
                  <w:tcW w:w="2327" w:type="dxa"/>
                  <w:vMerge w:val="continue"/>
                  <w:noWrap w:val="0"/>
                  <w:vAlign w:val="center"/>
                </w:tcPr>
                <w:p>
                  <w:pPr>
                    <w:adjustRightInd w:val="0"/>
                    <w:snapToGrid w:val="0"/>
                    <w:jc w:val="center"/>
                    <w:rPr>
                      <w:rFonts w:hint="default" w:ascii="Times New Roman" w:hAnsi="Times New Roman" w:eastAsia="宋体" w:cs="Times New Roman"/>
                      <w:bCs/>
                      <w:color w:val="auto"/>
                      <w:sz w:val="21"/>
                      <w:szCs w:val="21"/>
                      <w:lang w:val="en-US" w:eastAsia="zh-CN"/>
                    </w:rPr>
                  </w:pPr>
                </w:p>
              </w:tc>
              <w:tc>
                <w:tcPr>
                  <w:tcW w:w="1681" w:type="dxa"/>
                  <w:vMerge w:val="continue"/>
                  <w:noWrap w:val="0"/>
                  <w:vAlign w:val="center"/>
                </w:tcPr>
                <w:p>
                  <w:pPr>
                    <w:adjustRightInd w:val="0"/>
                    <w:snapToGrid w:val="0"/>
                    <w:jc w:val="center"/>
                    <w:rPr>
                      <w:rFonts w:hint="default" w:ascii="Times New Roman" w:hAnsi="Times New Roman" w:eastAsia="宋体" w:cs="Times New Roman"/>
                      <w:bCs/>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03" w:type="dxa"/>
                  <w:vMerge w:val="continue"/>
                  <w:noWrap w:val="0"/>
                  <w:vAlign w:val="center"/>
                </w:tcPr>
                <w:p>
                  <w:pPr>
                    <w:adjustRightInd w:val="0"/>
                    <w:snapToGrid w:val="0"/>
                    <w:jc w:val="center"/>
                    <w:rPr>
                      <w:rFonts w:hint="default" w:ascii="Times New Roman" w:hAnsi="Times New Roman" w:eastAsia="宋体" w:cs="Times New Roman"/>
                      <w:bCs/>
                      <w:color w:val="auto"/>
                      <w:sz w:val="21"/>
                      <w:szCs w:val="21"/>
                      <w:lang w:val="en-US" w:eastAsia="zh-CN"/>
                    </w:rPr>
                  </w:pPr>
                </w:p>
              </w:tc>
              <w:tc>
                <w:tcPr>
                  <w:tcW w:w="2647" w:type="dxa"/>
                  <w:noWrap w:val="0"/>
                  <w:vAlign w:val="center"/>
                </w:tcPr>
                <w:p>
                  <w:pPr>
                    <w:adjustRightInd w:val="0"/>
                    <w:snapToGrid w:val="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4#：项目北侧厂界外1m处</w:t>
                  </w:r>
                </w:p>
              </w:tc>
              <w:tc>
                <w:tcPr>
                  <w:tcW w:w="2327" w:type="dxa"/>
                  <w:vMerge w:val="continue"/>
                  <w:noWrap w:val="0"/>
                  <w:vAlign w:val="center"/>
                </w:tcPr>
                <w:p>
                  <w:pPr>
                    <w:adjustRightInd w:val="0"/>
                    <w:snapToGrid w:val="0"/>
                    <w:jc w:val="center"/>
                    <w:rPr>
                      <w:rFonts w:hint="default" w:ascii="Times New Roman" w:hAnsi="Times New Roman" w:eastAsia="宋体" w:cs="Times New Roman"/>
                      <w:bCs/>
                      <w:color w:val="auto"/>
                      <w:sz w:val="21"/>
                      <w:szCs w:val="21"/>
                      <w:lang w:val="en-US" w:eastAsia="zh-CN"/>
                    </w:rPr>
                  </w:pPr>
                </w:p>
              </w:tc>
              <w:tc>
                <w:tcPr>
                  <w:tcW w:w="1681" w:type="dxa"/>
                  <w:vMerge w:val="continue"/>
                  <w:noWrap w:val="0"/>
                  <w:vAlign w:val="center"/>
                </w:tcPr>
                <w:p>
                  <w:pPr>
                    <w:adjustRightInd w:val="0"/>
                    <w:snapToGrid w:val="0"/>
                    <w:jc w:val="center"/>
                    <w:rPr>
                      <w:rFonts w:hint="default" w:ascii="Times New Roman" w:hAnsi="Times New Roman" w:eastAsia="宋体" w:cs="Times New Roman"/>
                      <w:bCs/>
                      <w:color w:val="auto"/>
                      <w:sz w:val="21"/>
                      <w:szCs w:val="21"/>
                      <w:lang w:val="en-US" w:eastAsia="zh-CN"/>
                    </w:rPr>
                  </w:pPr>
                </w:p>
              </w:tc>
            </w:tr>
          </w:tbl>
          <w:p>
            <w:pPr>
              <w:pStyle w:val="40"/>
              <w:ind w:firstLine="221"/>
              <w:rPr>
                <w:rFonts w:hint="default" w:ascii="Times New Roman" w:hAnsi="Times New Roman" w:cs="Times New Roman"/>
                <w:b/>
                <w:bCs/>
                <w:color w:val="auto"/>
                <w:kern w:val="2"/>
                <w:sz w:val="22"/>
                <w:szCs w:val="22"/>
                <w:highlight w:val="none"/>
              </w:rPr>
            </w:pPr>
            <w:r>
              <w:rPr>
                <w:rFonts w:hint="default" w:ascii="Times New Roman" w:hAnsi="Times New Roman" w:cs="Times New Roman"/>
                <w:b/>
                <w:bCs/>
                <w:color w:val="auto"/>
                <w:kern w:val="2"/>
                <w:sz w:val="22"/>
                <w:szCs w:val="22"/>
                <w:highlight w:val="none"/>
              </w:rPr>
              <w:t>（2）评价标准</w:t>
            </w:r>
          </w:p>
          <w:p>
            <w:pPr>
              <w:pStyle w:val="14"/>
              <w:spacing w:before="0" w:after="0" w:line="360" w:lineRule="auto"/>
              <w:ind w:right="0" w:firstLine="440" w:firstLineChars="200"/>
              <w:jc w:val="left"/>
              <w:rPr>
                <w:rFonts w:hint="default" w:ascii="Times New Roman" w:hAnsi="Times New Roman" w:cs="Times New Roman"/>
                <w:bCs/>
                <w:color w:val="auto"/>
                <w:sz w:val="22"/>
                <w:szCs w:val="22"/>
                <w:highlight w:val="none"/>
                <w:lang w:val="en-US" w:eastAsia="zh-CN"/>
              </w:rPr>
            </w:pPr>
            <w:r>
              <w:rPr>
                <w:rFonts w:hint="default" w:ascii="Times New Roman" w:hAnsi="Times New Roman" w:cs="Times New Roman"/>
                <w:color w:val="auto"/>
                <w:sz w:val="22"/>
                <w:szCs w:val="22"/>
                <w:highlight w:val="none"/>
              </w:rPr>
              <w:t>执行《声环境质量标准》（GB3096-2008）</w:t>
            </w:r>
            <w:r>
              <w:rPr>
                <w:rFonts w:hint="default" w:ascii="Times New Roman" w:hAnsi="Times New Roman" w:cs="Times New Roman"/>
                <w:color w:val="auto"/>
                <w:sz w:val="22"/>
                <w:szCs w:val="22"/>
                <w:highlight w:val="none"/>
                <w:lang w:eastAsia="zh-CN"/>
              </w:rPr>
              <w:t>表</w:t>
            </w:r>
            <w:r>
              <w:rPr>
                <w:rFonts w:hint="default" w:ascii="Times New Roman" w:hAnsi="Times New Roman" w:cs="Times New Roman"/>
                <w:color w:val="auto"/>
                <w:sz w:val="22"/>
                <w:szCs w:val="22"/>
                <w:highlight w:val="none"/>
                <w:lang w:val="en-US" w:eastAsia="zh-CN"/>
              </w:rPr>
              <w:t>1</w:t>
            </w:r>
            <w:r>
              <w:rPr>
                <w:rFonts w:hint="default" w:ascii="Times New Roman" w:hAnsi="Times New Roman" w:cs="Times New Roman"/>
                <w:color w:val="auto"/>
                <w:sz w:val="22"/>
                <w:szCs w:val="22"/>
                <w:highlight w:val="none"/>
              </w:rPr>
              <w:t>中</w:t>
            </w:r>
            <w:r>
              <w:rPr>
                <w:rFonts w:hint="eastAsia" w:ascii="Times New Roman" w:hAnsi="Times New Roman" w:cs="Times New Roman"/>
                <w:color w:val="auto"/>
                <w:sz w:val="22"/>
                <w:szCs w:val="22"/>
                <w:highlight w:val="none"/>
                <w:lang w:val="en-US" w:eastAsia="zh-CN"/>
              </w:rPr>
              <w:t>3</w:t>
            </w:r>
            <w:r>
              <w:rPr>
                <w:rFonts w:hint="default" w:ascii="Times New Roman" w:hAnsi="Times New Roman" w:cs="Times New Roman"/>
                <w:color w:val="auto"/>
                <w:sz w:val="22"/>
                <w:szCs w:val="22"/>
                <w:highlight w:val="none"/>
              </w:rPr>
              <w:t>类标准限值。</w:t>
            </w:r>
          </w:p>
          <w:p>
            <w:pPr>
              <w:pStyle w:val="40"/>
              <w:ind w:firstLine="221"/>
              <w:rPr>
                <w:rFonts w:hint="default" w:ascii="Times New Roman" w:hAnsi="Times New Roman" w:cs="Times New Roman"/>
                <w:b/>
                <w:bCs/>
                <w:color w:val="auto"/>
                <w:kern w:val="2"/>
                <w:sz w:val="22"/>
                <w:szCs w:val="22"/>
                <w:highlight w:val="none"/>
              </w:rPr>
            </w:pPr>
            <w:r>
              <w:rPr>
                <w:rFonts w:hint="default" w:ascii="Times New Roman" w:hAnsi="Times New Roman" w:cs="Times New Roman"/>
                <w:b/>
                <w:bCs/>
                <w:color w:val="auto"/>
                <w:kern w:val="2"/>
                <w:sz w:val="22"/>
                <w:szCs w:val="22"/>
                <w:highlight w:val="none"/>
              </w:rPr>
              <w:t>（</w:t>
            </w:r>
            <w:r>
              <w:rPr>
                <w:rFonts w:hint="eastAsia" w:cs="Times New Roman"/>
                <w:b/>
                <w:bCs/>
                <w:color w:val="auto"/>
                <w:kern w:val="2"/>
                <w:sz w:val="22"/>
                <w:szCs w:val="22"/>
                <w:highlight w:val="none"/>
                <w:lang w:val="en-US" w:eastAsia="zh-CN"/>
              </w:rPr>
              <w:t>3</w:t>
            </w:r>
            <w:r>
              <w:rPr>
                <w:rFonts w:hint="default" w:ascii="Times New Roman" w:hAnsi="Times New Roman" w:cs="Times New Roman"/>
                <w:b/>
                <w:bCs/>
                <w:color w:val="auto"/>
                <w:kern w:val="2"/>
                <w:sz w:val="22"/>
                <w:szCs w:val="22"/>
                <w:highlight w:val="none"/>
              </w:rPr>
              <w:t>）</w:t>
            </w:r>
            <w:r>
              <w:rPr>
                <w:rFonts w:hint="eastAsia" w:cs="Times New Roman"/>
                <w:b/>
                <w:bCs/>
                <w:color w:val="auto"/>
                <w:kern w:val="2"/>
                <w:sz w:val="22"/>
                <w:szCs w:val="22"/>
                <w:highlight w:val="none"/>
                <w:lang w:eastAsia="zh-CN"/>
              </w:rPr>
              <w:t>检测</w:t>
            </w:r>
            <w:r>
              <w:rPr>
                <w:rFonts w:hint="default" w:ascii="Times New Roman" w:hAnsi="Times New Roman" w:cs="Times New Roman"/>
                <w:b/>
                <w:bCs/>
                <w:color w:val="auto"/>
                <w:kern w:val="2"/>
                <w:sz w:val="22"/>
                <w:szCs w:val="22"/>
                <w:highlight w:val="none"/>
              </w:rPr>
              <w:t>结果</w:t>
            </w:r>
          </w:p>
          <w:p>
            <w:pPr>
              <w:adjustRightInd w:val="0"/>
              <w:snapToGrid w:val="0"/>
              <w:jc w:val="center"/>
              <w:outlineLvl w:val="4"/>
              <w:rPr>
                <w:rFonts w:hint="default" w:ascii="Times New Roman" w:hAnsi="Times New Roman" w:cs="Times New Roman"/>
                <w:b/>
                <w:color w:val="auto"/>
                <w:szCs w:val="21"/>
                <w:highlight w:val="none"/>
                <w:lang w:val="en-US"/>
              </w:rPr>
            </w:pPr>
            <w:r>
              <w:rPr>
                <w:rFonts w:hint="default" w:ascii="Times New Roman" w:hAnsi="Times New Roman" w:cs="Times New Roman"/>
                <w:b/>
                <w:color w:val="auto"/>
                <w:szCs w:val="21"/>
                <w:highlight w:val="none"/>
              </w:rPr>
              <w:t>表3-</w:t>
            </w:r>
            <w:r>
              <w:rPr>
                <w:rFonts w:hint="eastAsia" w:ascii="Times New Roman" w:hAnsi="Times New Roman" w:cs="Times New Roman"/>
                <w:b/>
                <w:color w:val="auto"/>
                <w:szCs w:val="21"/>
                <w:highlight w:val="none"/>
                <w:lang w:val="en-US" w:eastAsia="zh-CN"/>
              </w:rPr>
              <w:t>5</w:t>
            </w:r>
            <w:r>
              <w:rPr>
                <w:rFonts w:hint="default" w:ascii="Times New Roman" w:hAnsi="Times New Roman" w:cs="Times New Roman"/>
                <w:b/>
                <w:color w:val="auto"/>
                <w:szCs w:val="21"/>
                <w:highlight w:val="none"/>
              </w:rPr>
              <w:t xml:space="preserve">   </w:t>
            </w:r>
            <w:r>
              <w:rPr>
                <w:rFonts w:hint="default" w:ascii="Times New Roman" w:hAnsi="Times New Roman" w:cs="Times New Roman"/>
                <w:b/>
                <w:color w:val="auto"/>
                <w:szCs w:val="21"/>
                <w:highlight w:val="none"/>
                <w:lang w:eastAsia="zh-CN"/>
              </w:rPr>
              <w:t>噪声检测结果</w:t>
            </w:r>
          </w:p>
          <w:tbl>
            <w:tblPr>
              <w:tblStyle w:val="42"/>
              <w:tblW w:w="769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58"/>
              <w:gridCol w:w="1288"/>
              <w:gridCol w:w="445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1958" w:type="dxa"/>
                  <w:vMerge w:val="restart"/>
                  <w:noWrap w:val="0"/>
                  <w:vAlign w:val="center"/>
                </w:tcPr>
                <w:p>
                  <w:pPr>
                    <w:jc w:val="center"/>
                    <w:rPr>
                      <w:rFonts w:hint="default" w:ascii="Times New Roman" w:hAnsi="Times New Roman" w:eastAsia="宋体" w:cs="Times New Roman"/>
                      <w:b/>
                      <w:sz w:val="21"/>
                      <w:szCs w:val="21"/>
                      <w:lang w:val="en-US" w:eastAsia="zh-CN"/>
                    </w:rPr>
                  </w:pPr>
                  <w:r>
                    <w:rPr>
                      <w:rFonts w:hint="default" w:ascii="Times New Roman" w:hAnsi="Times New Roman" w:cs="Times New Roman"/>
                      <w:b/>
                      <w:sz w:val="21"/>
                      <w:szCs w:val="21"/>
                    </w:rPr>
                    <w:t>检测</w:t>
                  </w:r>
                  <w:r>
                    <w:rPr>
                      <w:rFonts w:hint="default" w:ascii="Times New Roman" w:hAnsi="Times New Roman" w:cs="Times New Roman"/>
                      <w:b/>
                      <w:sz w:val="21"/>
                      <w:szCs w:val="21"/>
                      <w:lang w:val="en-US" w:eastAsia="zh-CN"/>
                    </w:rPr>
                    <w:t>日期</w:t>
                  </w:r>
                </w:p>
              </w:tc>
              <w:tc>
                <w:tcPr>
                  <w:tcW w:w="1288" w:type="dxa"/>
                  <w:vMerge w:val="restart"/>
                  <w:noWrap w:val="0"/>
                  <w:vAlign w:val="center"/>
                </w:tcPr>
                <w:p>
                  <w:pPr>
                    <w:snapToGrid w:val="0"/>
                    <w:jc w:val="center"/>
                    <w:rPr>
                      <w:rFonts w:hint="default" w:ascii="Times New Roman" w:hAnsi="Times New Roman" w:cs="Times New Roman"/>
                      <w:b/>
                      <w:sz w:val="21"/>
                      <w:szCs w:val="21"/>
                    </w:rPr>
                  </w:pPr>
                  <w:r>
                    <w:rPr>
                      <w:rFonts w:hint="default" w:ascii="Times New Roman" w:hAnsi="Times New Roman" w:cs="Times New Roman"/>
                      <w:b/>
                      <w:sz w:val="21"/>
                      <w:szCs w:val="21"/>
                    </w:rPr>
                    <w:t>检测点位</w:t>
                  </w:r>
                </w:p>
              </w:tc>
              <w:tc>
                <w:tcPr>
                  <w:tcW w:w="4452" w:type="dxa"/>
                  <w:noWrap w:val="0"/>
                  <w:vAlign w:val="center"/>
                </w:tcPr>
                <w:p>
                  <w:pPr>
                    <w:jc w:val="center"/>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1"/>
                      <w:szCs w:val="21"/>
                    </w:rPr>
                    <w:t>检测结果[dB(A)]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1958" w:type="dxa"/>
                  <w:vMerge w:val="continue"/>
                  <w:noWrap w:val="0"/>
                  <w:vAlign w:val="center"/>
                </w:tcPr>
                <w:p>
                  <w:pPr>
                    <w:jc w:val="center"/>
                    <w:rPr>
                      <w:rFonts w:hint="default" w:ascii="Times New Roman" w:hAnsi="Times New Roman" w:cs="Times New Roman"/>
                      <w:sz w:val="21"/>
                      <w:szCs w:val="21"/>
                    </w:rPr>
                  </w:pPr>
                </w:p>
              </w:tc>
              <w:tc>
                <w:tcPr>
                  <w:tcW w:w="1288" w:type="dxa"/>
                  <w:vMerge w:val="continue"/>
                  <w:noWrap w:val="0"/>
                  <w:vAlign w:val="center"/>
                </w:tcPr>
                <w:p>
                  <w:pPr>
                    <w:jc w:val="center"/>
                    <w:rPr>
                      <w:rFonts w:hint="default" w:ascii="Times New Roman" w:hAnsi="Times New Roman" w:cs="Times New Roman"/>
                      <w:sz w:val="21"/>
                      <w:szCs w:val="21"/>
                    </w:rPr>
                  </w:pPr>
                </w:p>
              </w:tc>
              <w:tc>
                <w:tcPr>
                  <w:tcW w:w="4452" w:type="dxa"/>
                  <w:noWrap w:val="0"/>
                  <w:vAlign w:val="center"/>
                </w:tcPr>
                <w:p>
                  <w:pPr>
                    <w:jc w:val="center"/>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昼间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4" w:hRule="atLeast"/>
                <w:jc w:val="center"/>
              </w:trPr>
              <w:tc>
                <w:tcPr>
                  <w:tcW w:w="1958" w:type="dxa"/>
                  <w:vMerge w:val="restart"/>
                  <w:noWrap w:val="0"/>
                  <w:vAlign w:val="center"/>
                </w:tcPr>
                <w:p>
                  <w:pPr>
                    <w:jc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2023</w:t>
                  </w:r>
                  <w:r>
                    <w:rPr>
                      <w:rFonts w:hint="default" w:ascii="Times New Roman" w:hAnsi="Times New Roman" w:eastAsia="宋体" w:cs="Times New Roman"/>
                      <w:bCs/>
                      <w:sz w:val="21"/>
                      <w:szCs w:val="21"/>
                      <w:lang w:val="en-US" w:eastAsia="zh-CN"/>
                    </w:rPr>
                    <w:t>年</w:t>
                  </w:r>
                  <w:r>
                    <w:rPr>
                      <w:rFonts w:hint="eastAsia" w:ascii="Times New Roman" w:hAnsi="Times New Roman" w:eastAsia="宋体" w:cs="Times New Roman"/>
                      <w:bCs/>
                      <w:sz w:val="21"/>
                      <w:szCs w:val="21"/>
                      <w:lang w:val="en-US" w:eastAsia="zh-CN"/>
                    </w:rPr>
                    <w:t>03月09日</w:t>
                  </w:r>
                </w:p>
              </w:tc>
              <w:tc>
                <w:tcPr>
                  <w:tcW w:w="1288" w:type="dxa"/>
                  <w:noWrap w:val="0"/>
                  <w:vAlign w:val="center"/>
                </w:tcPr>
                <w:p>
                  <w:pPr>
                    <w:jc w:val="center"/>
                    <w:rPr>
                      <w:rFonts w:hint="default" w:ascii="Times New Roman" w:hAnsi="Times New Roman" w:cs="Times New Roman"/>
                      <w:bCs/>
                      <w:sz w:val="21"/>
                      <w:szCs w:val="21"/>
                    </w:rPr>
                  </w:pPr>
                  <w:r>
                    <w:rPr>
                      <w:rFonts w:hint="default" w:ascii="Times New Roman" w:hAnsi="Times New Roman" w:cs="Times New Roman"/>
                      <w:bCs/>
                      <w:sz w:val="21"/>
                      <w:szCs w:val="21"/>
                    </w:rPr>
                    <w:t>1#</w:t>
                  </w:r>
                </w:p>
              </w:tc>
              <w:tc>
                <w:tcPr>
                  <w:tcW w:w="4452" w:type="dxa"/>
                  <w:noWrap w:val="0"/>
                  <w:vAlign w:val="center"/>
                </w:tcPr>
                <w:p>
                  <w:pPr>
                    <w:jc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4" w:hRule="atLeast"/>
                <w:jc w:val="center"/>
              </w:trPr>
              <w:tc>
                <w:tcPr>
                  <w:tcW w:w="1958" w:type="dxa"/>
                  <w:vMerge w:val="continue"/>
                  <w:noWrap w:val="0"/>
                  <w:vAlign w:val="center"/>
                </w:tcPr>
                <w:p>
                  <w:pPr>
                    <w:jc w:val="center"/>
                    <w:rPr>
                      <w:rFonts w:hint="default" w:ascii="Times New Roman" w:hAnsi="Times New Roman" w:cs="Times New Roman"/>
                      <w:bCs/>
                      <w:sz w:val="21"/>
                      <w:szCs w:val="21"/>
                    </w:rPr>
                  </w:pPr>
                </w:p>
              </w:tc>
              <w:tc>
                <w:tcPr>
                  <w:tcW w:w="1288" w:type="dxa"/>
                  <w:noWrap w:val="0"/>
                  <w:vAlign w:val="center"/>
                </w:tcPr>
                <w:p>
                  <w:pPr>
                    <w:jc w:val="center"/>
                    <w:rPr>
                      <w:rFonts w:hint="default" w:ascii="Times New Roman" w:hAnsi="Times New Roman" w:eastAsia="宋体" w:cs="Times New Roman"/>
                      <w:bCs/>
                      <w:sz w:val="21"/>
                      <w:szCs w:val="21"/>
                      <w:lang w:val="en-US" w:eastAsia="zh-CN"/>
                    </w:rPr>
                  </w:pPr>
                  <w:r>
                    <w:rPr>
                      <w:rFonts w:hint="default" w:ascii="Times New Roman" w:hAnsi="Times New Roman" w:cs="Times New Roman"/>
                      <w:bCs/>
                      <w:sz w:val="21"/>
                      <w:szCs w:val="21"/>
                      <w:lang w:val="en-US" w:eastAsia="zh-CN"/>
                    </w:rPr>
                    <w:t>2#</w:t>
                  </w:r>
                </w:p>
              </w:tc>
              <w:tc>
                <w:tcPr>
                  <w:tcW w:w="4452" w:type="dxa"/>
                  <w:noWrap w:val="0"/>
                  <w:vAlign w:val="center"/>
                </w:tcPr>
                <w:p>
                  <w:pPr>
                    <w:jc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51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4" w:hRule="atLeast"/>
                <w:jc w:val="center"/>
              </w:trPr>
              <w:tc>
                <w:tcPr>
                  <w:tcW w:w="1958" w:type="dxa"/>
                  <w:vMerge w:val="continue"/>
                  <w:noWrap w:val="0"/>
                  <w:vAlign w:val="center"/>
                </w:tcPr>
                <w:p>
                  <w:pPr>
                    <w:jc w:val="center"/>
                    <w:rPr>
                      <w:rFonts w:hint="default" w:ascii="Times New Roman" w:hAnsi="Times New Roman" w:cs="Times New Roman"/>
                      <w:bCs/>
                      <w:sz w:val="21"/>
                      <w:szCs w:val="21"/>
                    </w:rPr>
                  </w:pPr>
                </w:p>
              </w:tc>
              <w:tc>
                <w:tcPr>
                  <w:tcW w:w="1288" w:type="dxa"/>
                  <w:noWrap w:val="0"/>
                  <w:vAlign w:val="center"/>
                </w:tcPr>
                <w:p>
                  <w:pPr>
                    <w:jc w:val="center"/>
                    <w:rPr>
                      <w:rFonts w:hint="default" w:ascii="Times New Roman" w:hAnsi="Times New Roman" w:cs="Times New Roman"/>
                      <w:bCs/>
                      <w:sz w:val="21"/>
                      <w:szCs w:val="21"/>
                      <w:lang w:val="en-US" w:eastAsia="zh-CN"/>
                    </w:rPr>
                  </w:pPr>
                  <w:r>
                    <w:rPr>
                      <w:rFonts w:hint="default" w:ascii="Times New Roman" w:hAnsi="Times New Roman" w:cs="Times New Roman"/>
                      <w:bCs/>
                      <w:sz w:val="21"/>
                      <w:szCs w:val="21"/>
                      <w:lang w:val="en-US" w:eastAsia="zh-CN"/>
                    </w:rPr>
                    <w:t>3#</w:t>
                  </w:r>
                </w:p>
              </w:tc>
              <w:tc>
                <w:tcPr>
                  <w:tcW w:w="4452" w:type="dxa"/>
                  <w:noWrap w:val="0"/>
                  <w:vAlign w:val="center"/>
                </w:tcPr>
                <w:p>
                  <w:pPr>
                    <w:jc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51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8" w:hRule="atLeast"/>
                <w:jc w:val="center"/>
              </w:trPr>
              <w:tc>
                <w:tcPr>
                  <w:tcW w:w="1958" w:type="dxa"/>
                  <w:vMerge w:val="continue"/>
                  <w:noWrap w:val="0"/>
                  <w:vAlign w:val="center"/>
                </w:tcPr>
                <w:p>
                  <w:pPr>
                    <w:jc w:val="center"/>
                    <w:rPr>
                      <w:rFonts w:hint="default" w:ascii="Times New Roman" w:hAnsi="Times New Roman" w:cs="Times New Roman"/>
                      <w:bCs/>
                      <w:sz w:val="21"/>
                      <w:szCs w:val="21"/>
                    </w:rPr>
                  </w:pPr>
                </w:p>
              </w:tc>
              <w:tc>
                <w:tcPr>
                  <w:tcW w:w="1288" w:type="dxa"/>
                  <w:noWrap w:val="0"/>
                  <w:vAlign w:val="center"/>
                </w:tcPr>
                <w:p>
                  <w:pPr>
                    <w:jc w:val="center"/>
                    <w:rPr>
                      <w:rFonts w:hint="default" w:ascii="Times New Roman" w:hAnsi="Times New Roman" w:cs="Times New Roman"/>
                      <w:bCs/>
                      <w:sz w:val="21"/>
                      <w:szCs w:val="21"/>
                      <w:lang w:val="en-US" w:eastAsia="zh-CN"/>
                    </w:rPr>
                  </w:pPr>
                  <w:r>
                    <w:rPr>
                      <w:rFonts w:hint="default" w:ascii="Times New Roman" w:hAnsi="Times New Roman" w:cs="Times New Roman"/>
                      <w:bCs/>
                      <w:sz w:val="21"/>
                      <w:szCs w:val="21"/>
                      <w:lang w:val="en-US" w:eastAsia="zh-CN"/>
                    </w:rPr>
                    <w:t>4#</w:t>
                  </w:r>
                </w:p>
              </w:tc>
              <w:tc>
                <w:tcPr>
                  <w:tcW w:w="4452" w:type="dxa"/>
                  <w:noWrap w:val="0"/>
                  <w:vAlign w:val="center"/>
                </w:tcPr>
                <w:p>
                  <w:pPr>
                    <w:jc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49</w:t>
                  </w:r>
                </w:p>
              </w:tc>
            </w:tr>
          </w:tbl>
          <w:p>
            <w:pPr>
              <w:pStyle w:val="14"/>
              <w:spacing w:before="0" w:after="0" w:line="360" w:lineRule="auto"/>
              <w:ind w:right="0" w:firstLine="440" w:firstLineChars="200"/>
              <w:jc w:val="left"/>
              <w:rPr>
                <w:rFonts w:hint="default" w:ascii="Times New Roman" w:hAnsi="Times New Roman" w:eastAsia="宋体" w:cs="Times New Roman"/>
                <w:bCs/>
                <w:color w:val="auto"/>
                <w:sz w:val="22"/>
                <w:szCs w:val="22"/>
                <w:highlight w:val="none"/>
                <w:lang w:eastAsia="zh-CN"/>
              </w:rPr>
            </w:pPr>
            <w:r>
              <w:rPr>
                <w:rFonts w:hint="eastAsia" w:ascii="Times New Roman" w:hAnsi="Times New Roman" w:cs="Times New Roman"/>
                <w:color w:val="auto"/>
                <w:sz w:val="22"/>
                <w:szCs w:val="22"/>
                <w:highlight w:val="none"/>
                <w:lang w:eastAsia="zh-CN"/>
              </w:rPr>
              <w:t>本次所检项目检测结果表明：声环境噪声检测结果符合</w:t>
            </w:r>
            <w:r>
              <w:rPr>
                <w:rFonts w:hint="default" w:ascii="Times New Roman" w:hAnsi="Times New Roman" w:cs="Times New Roman"/>
                <w:color w:val="auto"/>
                <w:sz w:val="22"/>
                <w:szCs w:val="22"/>
                <w:highlight w:val="none"/>
              </w:rPr>
              <w:t>《声环境质量标准》（GB3096-2008）</w:t>
            </w:r>
            <w:r>
              <w:rPr>
                <w:rFonts w:hint="eastAsia" w:ascii="Times New Roman" w:hAnsi="Times New Roman" w:cs="Times New Roman"/>
                <w:color w:val="auto"/>
                <w:sz w:val="22"/>
                <w:szCs w:val="22"/>
                <w:highlight w:val="none"/>
                <w:lang w:val="en-US" w:eastAsia="zh-CN"/>
              </w:rPr>
              <w:t>3</w:t>
            </w:r>
            <w:r>
              <w:rPr>
                <w:rFonts w:hint="default" w:ascii="Times New Roman" w:hAnsi="Times New Roman" w:cs="Times New Roman"/>
                <w:color w:val="auto"/>
                <w:sz w:val="22"/>
                <w:szCs w:val="22"/>
                <w:highlight w:val="none"/>
              </w:rPr>
              <w:t>类</w:t>
            </w:r>
            <w:r>
              <w:rPr>
                <w:rFonts w:hint="eastAsia" w:ascii="Times New Roman" w:hAnsi="Times New Roman" w:cs="Times New Roman"/>
                <w:color w:val="auto"/>
                <w:sz w:val="22"/>
                <w:szCs w:val="22"/>
                <w:highlight w:val="none"/>
                <w:lang w:eastAsia="zh-CN"/>
              </w:rPr>
              <w:t>声环境功能区标准限值。</w:t>
            </w:r>
          </w:p>
          <w:p>
            <w:pPr>
              <w:pStyle w:val="14"/>
              <w:spacing w:before="0" w:after="0" w:line="360" w:lineRule="auto"/>
              <w:ind w:right="0" w:firstLine="442" w:firstLineChars="200"/>
              <w:jc w:val="left"/>
              <w:rPr>
                <w:rFonts w:hint="default" w:ascii="Times New Roman" w:hAnsi="Times New Roman" w:cs="Times New Roman"/>
                <w:bCs/>
                <w:color w:val="auto"/>
                <w:sz w:val="22"/>
                <w:szCs w:val="22"/>
                <w:highlight w:val="none"/>
                <w:lang w:val="en-US" w:eastAsia="zh-CN"/>
              </w:rPr>
            </w:pPr>
            <w:r>
              <w:rPr>
                <w:rFonts w:hint="default" w:ascii="Times New Roman" w:hAnsi="Times New Roman" w:cs="Times New Roman"/>
                <w:b/>
                <w:bCs/>
                <w:color w:val="auto"/>
                <w:sz w:val="22"/>
                <w:szCs w:val="22"/>
                <w:highlight w:val="none"/>
                <w:lang w:val="en-US" w:eastAsia="zh-CN"/>
              </w:rPr>
              <w:t>4</w:t>
            </w:r>
            <w:r>
              <w:rPr>
                <w:rFonts w:hint="default" w:ascii="Times New Roman" w:hAnsi="Times New Roman" w:cs="Times New Roman"/>
                <w:b/>
                <w:bCs/>
                <w:color w:val="auto"/>
                <w:sz w:val="22"/>
                <w:szCs w:val="22"/>
                <w:highlight w:val="none"/>
              </w:rPr>
              <w:t>、</w:t>
            </w:r>
            <w:r>
              <w:rPr>
                <w:rFonts w:hint="default" w:ascii="Times New Roman" w:hAnsi="Times New Roman" w:cs="Times New Roman"/>
                <w:b/>
                <w:bCs/>
                <w:color w:val="auto"/>
                <w:sz w:val="22"/>
                <w:szCs w:val="22"/>
                <w:highlight w:val="none"/>
                <w:lang w:eastAsia="zh-CN"/>
              </w:rPr>
              <w:t>生态</w:t>
            </w:r>
            <w:r>
              <w:rPr>
                <w:rFonts w:hint="default" w:ascii="Times New Roman" w:hAnsi="Times New Roman" w:cs="Times New Roman"/>
                <w:b/>
                <w:bCs/>
                <w:color w:val="auto"/>
                <w:sz w:val="22"/>
                <w:szCs w:val="22"/>
                <w:highlight w:val="none"/>
              </w:rPr>
              <w:t>环境</w:t>
            </w:r>
          </w:p>
          <w:p>
            <w:pPr>
              <w:pStyle w:val="14"/>
              <w:spacing w:before="0" w:after="0" w:line="360" w:lineRule="auto"/>
              <w:ind w:right="0" w:firstLine="440" w:firstLineChars="200"/>
              <w:jc w:val="left"/>
              <w:rPr>
                <w:rFonts w:hint="default" w:ascii="Times New Roman" w:hAnsi="Times New Roman" w:cs="Times New Roman"/>
                <w:bCs/>
                <w:color w:val="auto"/>
                <w:sz w:val="22"/>
                <w:szCs w:val="22"/>
                <w:highlight w:val="none"/>
                <w:lang w:val="en-US" w:eastAsia="zh-CN"/>
              </w:rPr>
            </w:pPr>
            <w:r>
              <w:rPr>
                <w:rFonts w:hint="default" w:ascii="Times New Roman" w:hAnsi="Times New Roman" w:cs="Times New Roman"/>
                <w:bCs/>
                <w:color w:val="auto"/>
                <w:sz w:val="22"/>
                <w:szCs w:val="22"/>
                <w:highlight w:val="none"/>
                <w:lang w:val="en-US" w:eastAsia="zh-CN"/>
              </w:rPr>
              <w:t>本项目</w:t>
            </w:r>
            <w:r>
              <w:rPr>
                <w:rFonts w:hint="eastAsia" w:ascii="Times New Roman" w:hAnsi="Times New Roman" w:cs="Times New Roman"/>
                <w:bCs/>
                <w:color w:val="auto"/>
                <w:sz w:val="22"/>
                <w:szCs w:val="22"/>
                <w:highlight w:val="none"/>
                <w:lang w:val="en-US" w:eastAsia="zh-CN"/>
              </w:rPr>
              <w:t>位于工业园区内，用地性质为工业用地</w:t>
            </w:r>
            <w:r>
              <w:rPr>
                <w:rFonts w:hint="eastAsia" w:ascii="Times New Roman" w:hAnsi="Times New Roman" w:cs="Times New Roman"/>
                <w:color w:val="auto"/>
                <w:kern w:val="0"/>
                <w:sz w:val="22"/>
                <w:szCs w:val="22"/>
                <w:highlight w:val="none"/>
                <w:lang w:val="en-US" w:eastAsia="zh-CN"/>
              </w:rPr>
              <w:t>，</w:t>
            </w:r>
            <w:r>
              <w:rPr>
                <w:rFonts w:hint="eastAsia" w:ascii="Times New Roman" w:hAnsi="Times New Roman" w:cs="Times New Roman"/>
                <w:bCs/>
                <w:color w:val="auto"/>
                <w:sz w:val="22"/>
                <w:szCs w:val="22"/>
                <w:highlight w:val="none"/>
                <w:lang w:val="en-US" w:eastAsia="zh-CN"/>
              </w:rPr>
              <w:t>周围</w:t>
            </w:r>
            <w:r>
              <w:rPr>
                <w:rFonts w:hint="default" w:ascii="Times New Roman" w:hAnsi="Times New Roman" w:cs="Times New Roman"/>
                <w:bCs/>
                <w:color w:val="auto"/>
                <w:sz w:val="22"/>
                <w:szCs w:val="22"/>
                <w:highlight w:val="none"/>
                <w:lang w:val="en-US" w:eastAsia="zh-CN"/>
              </w:rPr>
              <w:t>无生态环境保护目标，因此，无需进行生态现状调查。</w:t>
            </w:r>
          </w:p>
          <w:p>
            <w:pPr>
              <w:pStyle w:val="14"/>
              <w:spacing w:before="0" w:after="0" w:line="360" w:lineRule="auto"/>
              <w:ind w:right="0" w:firstLine="442" w:firstLineChars="200"/>
              <w:jc w:val="left"/>
              <w:rPr>
                <w:rFonts w:hint="default" w:ascii="Times New Roman" w:hAnsi="Times New Roman" w:cs="Times New Roman"/>
                <w:b/>
                <w:bCs/>
                <w:color w:val="auto"/>
                <w:sz w:val="22"/>
                <w:szCs w:val="22"/>
                <w:highlight w:val="none"/>
                <w:lang w:val="en-US" w:eastAsia="zh-CN"/>
              </w:rPr>
            </w:pPr>
            <w:r>
              <w:rPr>
                <w:rFonts w:hint="eastAsia" w:ascii="Times New Roman" w:hAnsi="Times New Roman" w:cs="Times New Roman"/>
                <w:b/>
                <w:bCs/>
                <w:color w:val="auto"/>
                <w:sz w:val="22"/>
                <w:szCs w:val="22"/>
                <w:highlight w:val="none"/>
                <w:lang w:val="en-US" w:eastAsia="zh-CN"/>
              </w:rPr>
              <w:t>5、电磁辐射</w:t>
            </w:r>
          </w:p>
          <w:p>
            <w:pPr>
              <w:pStyle w:val="14"/>
              <w:spacing w:before="0" w:after="0" w:line="360" w:lineRule="auto"/>
              <w:ind w:right="0" w:firstLine="440" w:firstLineChars="200"/>
              <w:jc w:val="left"/>
              <w:rPr>
                <w:rFonts w:hint="default" w:ascii="Times New Roman" w:hAnsi="Times New Roman" w:cs="Times New Roman"/>
                <w:bCs/>
                <w:color w:val="auto"/>
                <w:sz w:val="22"/>
                <w:szCs w:val="22"/>
                <w:highlight w:val="none"/>
                <w:lang w:val="en-US" w:eastAsia="zh-CN"/>
              </w:rPr>
            </w:pPr>
            <w:r>
              <w:rPr>
                <w:rFonts w:hint="eastAsia" w:ascii="Times New Roman" w:hAnsi="Times New Roman" w:cs="Times New Roman"/>
                <w:bCs/>
                <w:color w:val="auto"/>
                <w:sz w:val="22"/>
                <w:szCs w:val="22"/>
                <w:highlight w:val="none"/>
                <w:lang w:val="en-US" w:eastAsia="zh-CN"/>
              </w:rPr>
              <w:t>本项目不属于电磁辐射类项目，本次不进行电磁辐射现状调查及评价。</w:t>
            </w:r>
          </w:p>
          <w:p>
            <w:pPr>
              <w:pStyle w:val="14"/>
              <w:spacing w:before="0" w:after="0" w:line="360" w:lineRule="auto"/>
              <w:ind w:right="0" w:firstLine="442" w:firstLineChars="200"/>
              <w:jc w:val="left"/>
              <w:rPr>
                <w:rFonts w:hint="default" w:ascii="Times New Roman" w:hAnsi="Times New Roman" w:cs="Times New Roman"/>
                <w:bCs/>
                <w:color w:val="auto"/>
                <w:sz w:val="22"/>
                <w:szCs w:val="22"/>
                <w:highlight w:val="none"/>
                <w:lang w:val="en-US" w:eastAsia="zh-CN"/>
              </w:rPr>
            </w:pPr>
            <w:r>
              <w:rPr>
                <w:rFonts w:hint="eastAsia" w:ascii="Times New Roman" w:hAnsi="Times New Roman" w:cs="Times New Roman"/>
                <w:b/>
                <w:bCs/>
                <w:color w:val="auto"/>
                <w:sz w:val="22"/>
                <w:szCs w:val="22"/>
                <w:highlight w:val="none"/>
                <w:lang w:val="en-US" w:eastAsia="zh-CN"/>
              </w:rPr>
              <w:t>6</w:t>
            </w:r>
            <w:r>
              <w:rPr>
                <w:rFonts w:hint="default" w:ascii="Times New Roman" w:hAnsi="Times New Roman" w:cs="Times New Roman"/>
                <w:b/>
                <w:bCs/>
                <w:color w:val="auto"/>
                <w:sz w:val="22"/>
                <w:szCs w:val="22"/>
                <w:highlight w:val="none"/>
              </w:rPr>
              <w:t>、</w:t>
            </w:r>
            <w:r>
              <w:rPr>
                <w:rFonts w:hint="default" w:ascii="Times New Roman" w:hAnsi="Times New Roman" w:cs="Times New Roman"/>
                <w:b/>
                <w:bCs/>
                <w:color w:val="auto"/>
                <w:sz w:val="22"/>
                <w:szCs w:val="22"/>
                <w:highlight w:val="none"/>
                <w:lang w:eastAsia="zh-CN"/>
              </w:rPr>
              <w:t>地下水、土壤</w:t>
            </w:r>
            <w:r>
              <w:rPr>
                <w:rFonts w:hint="default" w:ascii="Times New Roman" w:hAnsi="Times New Roman" w:cs="Times New Roman"/>
                <w:b/>
                <w:bCs/>
                <w:color w:val="auto"/>
                <w:sz w:val="22"/>
                <w:szCs w:val="22"/>
                <w:highlight w:val="none"/>
              </w:rPr>
              <w:t>环境</w:t>
            </w:r>
          </w:p>
          <w:p>
            <w:pPr>
              <w:pStyle w:val="14"/>
              <w:spacing w:before="0" w:after="0" w:line="360" w:lineRule="auto"/>
              <w:ind w:right="0" w:firstLine="440" w:firstLineChars="200"/>
              <w:jc w:val="left"/>
              <w:rPr>
                <w:rFonts w:hint="eastAsia" w:ascii="Times New Roman" w:hAnsi="Times New Roman" w:eastAsia="宋体" w:cs="Times New Roman"/>
                <w:bCs/>
                <w:color w:val="auto"/>
                <w:sz w:val="22"/>
                <w:szCs w:val="22"/>
                <w:highlight w:val="none"/>
                <w:lang w:val="en-US" w:eastAsia="zh-CN"/>
              </w:rPr>
            </w:pPr>
            <w:r>
              <w:rPr>
                <w:rFonts w:hint="eastAsia" w:ascii="Times New Roman" w:hAnsi="Times New Roman" w:eastAsia="宋体" w:cs="Times New Roman"/>
                <w:bCs/>
                <w:color w:val="auto"/>
                <w:sz w:val="22"/>
                <w:szCs w:val="22"/>
                <w:highlight w:val="none"/>
                <w:lang w:val="en-US" w:eastAsia="zh-CN"/>
              </w:rPr>
              <w:t>根据《建设项目环境影响报告表编制技术指南（污染影响类）（试行）》中地下水、土壤调查的原则：“原则上不开展环境质量现状调查。建设项目存在土壤、地下水环境污染途径的，应结合污染源、保护目标分布情况开展现状调查以留作背景值”。</w:t>
            </w:r>
          </w:p>
          <w:p>
            <w:pPr>
              <w:pStyle w:val="14"/>
              <w:spacing w:before="0" w:after="0" w:line="360" w:lineRule="auto"/>
              <w:ind w:right="0" w:firstLine="440" w:firstLineChars="200"/>
              <w:jc w:val="left"/>
              <w:rPr>
                <w:rFonts w:hint="eastAsia" w:ascii="Times New Roman" w:hAnsi="Times New Roman" w:eastAsia="宋体" w:cs="Times New Roman"/>
                <w:bCs/>
                <w:color w:val="auto"/>
                <w:sz w:val="22"/>
                <w:szCs w:val="22"/>
                <w:highlight w:val="none"/>
                <w:lang w:val="en-US" w:eastAsia="zh-CN"/>
              </w:rPr>
            </w:pPr>
            <w:r>
              <w:rPr>
                <w:rFonts w:hint="eastAsia" w:ascii="Times New Roman" w:hAnsi="Times New Roman" w:eastAsia="宋体" w:cs="Times New Roman"/>
                <w:bCs/>
                <w:color w:val="auto"/>
                <w:sz w:val="22"/>
                <w:szCs w:val="22"/>
                <w:highlight w:val="none"/>
                <w:lang w:val="en-US" w:eastAsia="zh-CN"/>
              </w:rPr>
              <w:t>项目位于嘉州工业园水口园区内，根据现场勘查，目前周边多为工业企业，项目新建厂房，对地面进行硬化和防腐防渗后，项目对地下水、土壤环境影响很小，因此，本评价不对项目地下水、土壤环境质量进行补充监测。</w:t>
            </w:r>
            <w:bookmarkEnd w:id="6"/>
            <w:bookmarkEnd w:id="7"/>
          </w:p>
          <w:p>
            <w:pPr>
              <w:pStyle w:val="14"/>
              <w:spacing w:before="0" w:after="0" w:line="360" w:lineRule="auto"/>
              <w:ind w:right="0" w:firstLine="440" w:firstLineChars="200"/>
              <w:jc w:val="left"/>
              <w:rPr>
                <w:rFonts w:hint="eastAsia" w:ascii="Times New Roman" w:hAnsi="Times New Roman" w:eastAsia="宋体" w:cs="Times New Roman"/>
                <w:bCs/>
                <w:color w:val="auto"/>
                <w:sz w:val="22"/>
                <w:szCs w:val="22"/>
                <w:highlight w:val="none"/>
                <w:lang w:val="en-US" w:eastAsia="zh-CN"/>
              </w:rPr>
            </w:pPr>
          </w:p>
          <w:p>
            <w:pPr>
              <w:pStyle w:val="14"/>
              <w:spacing w:before="0" w:after="0" w:line="360" w:lineRule="auto"/>
              <w:ind w:right="0" w:firstLine="480" w:firstLineChars="200"/>
              <w:jc w:val="left"/>
              <w:rPr>
                <w:rFonts w:hint="default" w:ascii="Times New Roman" w:hAnsi="Times New Roman" w:eastAsia="宋体" w:cs="Times New Roman"/>
                <w:color w:val="auto"/>
                <w:kern w:val="0"/>
                <w:szCs w:val="21"/>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72" w:hRule="atLeast"/>
          <w:jc w:val="center"/>
        </w:trPr>
        <w:tc>
          <w:tcPr>
            <w:tcW w:w="800" w:type="dxa"/>
            <w:noWrap w:val="0"/>
            <w:vAlign w:val="center"/>
          </w:tcPr>
          <w:p>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环境</w:t>
            </w:r>
          </w:p>
          <w:p>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保护</w:t>
            </w:r>
          </w:p>
          <w:p>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目标</w:t>
            </w:r>
          </w:p>
        </w:tc>
        <w:tc>
          <w:tcPr>
            <w:tcW w:w="8190"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uto"/>
              <w:ind w:firstLine="440" w:firstLineChars="200"/>
              <w:jc w:val="left"/>
              <w:textAlignment w:val="auto"/>
              <w:outlineLvl w:val="9"/>
              <w:rPr>
                <w:rFonts w:hint="eastAsia" w:ascii="Times New Roman" w:hAnsi="Times New Roman" w:cs="Times New Roman"/>
                <w:color w:val="auto"/>
                <w:kern w:val="0"/>
                <w:sz w:val="22"/>
                <w:szCs w:val="22"/>
                <w:highlight w:val="none"/>
                <w:lang w:val="en-US" w:eastAsia="zh-CN"/>
              </w:rPr>
            </w:pPr>
            <w:r>
              <w:rPr>
                <w:rFonts w:hint="default" w:ascii="Times New Roman" w:hAnsi="Times New Roman" w:eastAsia="宋体" w:cs="Times New Roman"/>
                <w:color w:val="auto"/>
                <w:kern w:val="0"/>
                <w:sz w:val="22"/>
                <w:szCs w:val="22"/>
                <w:highlight w:val="none"/>
                <w:lang w:val="en-US" w:eastAsia="zh-CN"/>
              </w:rPr>
              <w:t>经现场调查，项目</w:t>
            </w:r>
            <w:r>
              <w:rPr>
                <w:rFonts w:hint="eastAsia" w:ascii="Times New Roman" w:hAnsi="Times New Roman" w:eastAsia="宋体" w:cs="Times New Roman"/>
                <w:color w:val="auto"/>
                <w:kern w:val="0"/>
                <w:sz w:val="22"/>
                <w:szCs w:val="22"/>
                <w:highlight w:val="none"/>
                <w:lang w:val="en-US" w:eastAsia="zh-CN"/>
              </w:rPr>
              <w:t>南侧75m-500m为白玉村村民75户（230人），西侧260m有住户2户（5人），290m有住户1户（3人），430m有住户1户（3人），600m有住户3户（10人）；北侧410m为四川华构住宅工业有限公司；东侧紧邻乐山平信建材有限公司，130m为乐山杭加节能新材料有限公司，330m为苏新投新型建材，390m为乐山义博建材有限公司，595m为嘉美志达商混站，1020m为大渡河。</w:t>
            </w:r>
          </w:p>
          <w:p>
            <w:pPr>
              <w:autoSpaceDE w:val="0"/>
              <w:autoSpaceDN w:val="0"/>
              <w:adjustRightInd w:val="0"/>
              <w:spacing w:line="360" w:lineRule="auto"/>
              <w:ind w:firstLine="440" w:firstLineChars="200"/>
              <w:rPr>
                <w:rFonts w:hint="default" w:ascii="Times New Roman" w:hAnsi="Times New Roman" w:cs="Times New Roman"/>
                <w:color w:val="auto"/>
                <w:sz w:val="22"/>
                <w:szCs w:val="22"/>
                <w:highlight w:val="none"/>
                <w:lang w:eastAsia="zh-CN"/>
              </w:rPr>
            </w:pPr>
            <w:r>
              <w:rPr>
                <w:rFonts w:hint="default" w:ascii="Times New Roman" w:hAnsi="Times New Roman" w:cs="Times New Roman"/>
                <w:color w:val="auto"/>
                <w:kern w:val="0"/>
                <w:sz w:val="22"/>
                <w:szCs w:val="22"/>
                <w:highlight w:val="none"/>
                <w:lang w:val="en-US" w:eastAsia="zh-CN"/>
              </w:rPr>
              <w:t>调查显示区域内无饮用水水源保护区、</w:t>
            </w:r>
            <w:r>
              <w:rPr>
                <w:rFonts w:hint="eastAsia" w:ascii="Times New Roman" w:hAnsi="Times New Roman" w:cs="Times New Roman"/>
                <w:color w:val="auto"/>
                <w:kern w:val="0"/>
                <w:sz w:val="22"/>
                <w:szCs w:val="22"/>
                <w:highlight w:val="none"/>
                <w:lang w:val="en-US" w:eastAsia="zh-CN"/>
              </w:rPr>
              <w:t>风景名胜区、</w:t>
            </w:r>
            <w:r>
              <w:rPr>
                <w:rFonts w:hint="default" w:ascii="Times New Roman" w:hAnsi="Times New Roman" w:cs="Times New Roman"/>
                <w:color w:val="auto"/>
                <w:kern w:val="0"/>
                <w:sz w:val="22"/>
                <w:szCs w:val="22"/>
                <w:highlight w:val="none"/>
                <w:lang w:val="en-US" w:eastAsia="zh-CN"/>
              </w:rPr>
              <w:t>名胜古迹、自然保护区等敏感保护目标</w:t>
            </w:r>
            <w:r>
              <w:rPr>
                <w:rFonts w:hint="eastAsia" w:ascii="Times New Roman" w:hAnsi="Times New Roman" w:cs="Times New Roman"/>
                <w:color w:val="auto"/>
                <w:kern w:val="0"/>
                <w:sz w:val="22"/>
                <w:szCs w:val="22"/>
                <w:highlight w:val="none"/>
                <w:lang w:val="en-US" w:eastAsia="zh-CN"/>
              </w:rPr>
              <w:t>，</w:t>
            </w:r>
            <w:r>
              <w:rPr>
                <w:rFonts w:hint="default" w:ascii="Times New Roman" w:hAnsi="Times New Roman" w:cs="Times New Roman"/>
                <w:color w:val="auto"/>
                <w:sz w:val="22"/>
                <w:szCs w:val="21"/>
                <w:highlight w:val="none"/>
                <w:lang w:eastAsia="zh-CN"/>
              </w:rPr>
              <w:t>项目</w:t>
            </w:r>
            <w:r>
              <w:rPr>
                <w:rFonts w:hint="default" w:ascii="Times New Roman" w:hAnsi="Times New Roman" w:cs="Times New Roman"/>
                <w:color w:val="auto"/>
                <w:sz w:val="22"/>
                <w:szCs w:val="21"/>
                <w:highlight w:val="none"/>
              </w:rPr>
              <w:t>在做好废气、废水、噪声、固废防治措施的情况下，对周围</w:t>
            </w:r>
            <w:r>
              <w:rPr>
                <w:rFonts w:hint="default" w:ascii="Times New Roman" w:hAnsi="Times New Roman" w:cs="Times New Roman"/>
                <w:color w:val="auto"/>
                <w:sz w:val="22"/>
                <w:szCs w:val="21"/>
                <w:highlight w:val="none"/>
                <w:lang w:eastAsia="zh-CN"/>
              </w:rPr>
              <w:t>环境产生</w:t>
            </w:r>
            <w:r>
              <w:rPr>
                <w:rFonts w:hint="default" w:ascii="Times New Roman" w:hAnsi="Times New Roman" w:cs="Times New Roman"/>
                <w:color w:val="auto"/>
                <w:sz w:val="22"/>
                <w:szCs w:val="21"/>
                <w:highlight w:val="none"/>
              </w:rPr>
              <w:t>影响较小。</w:t>
            </w:r>
          </w:p>
          <w:p>
            <w:pPr>
              <w:keepNext w:val="0"/>
              <w:keepLines w:val="0"/>
              <w:pageBreakBefore w:val="0"/>
              <w:widowControl w:val="0"/>
              <w:kinsoku/>
              <w:wordWrap/>
              <w:overflowPunct/>
              <w:topLinePunct w:val="0"/>
              <w:autoSpaceDE/>
              <w:autoSpaceDN/>
              <w:bidi w:val="0"/>
              <w:adjustRightInd w:val="0"/>
              <w:snapToGrid w:val="0"/>
              <w:jc w:val="center"/>
              <w:textAlignment w:val="auto"/>
              <w:outlineLvl w:val="4"/>
              <w:rPr>
                <w:rFonts w:hint="default" w:ascii="Times New Roman" w:hAnsi="Times New Roman" w:cs="Times New Roman"/>
                <w:bCs/>
                <w:color w:val="auto"/>
                <w:sz w:val="22"/>
                <w:szCs w:val="22"/>
                <w:highlight w:val="none"/>
              </w:rPr>
            </w:pPr>
            <w:r>
              <w:rPr>
                <w:rFonts w:hint="default" w:ascii="Times New Roman" w:hAnsi="Times New Roman" w:cs="Times New Roman"/>
                <w:b/>
                <w:color w:val="auto"/>
                <w:szCs w:val="21"/>
                <w:highlight w:val="none"/>
              </w:rPr>
              <w:t>表3-</w:t>
            </w:r>
            <w:r>
              <w:rPr>
                <w:rFonts w:hint="eastAsia" w:ascii="Times New Roman" w:hAnsi="Times New Roman" w:cs="Times New Roman"/>
                <w:b/>
                <w:color w:val="auto"/>
                <w:szCs w:val="21"/>
                <w:highlight w:val="none"/>
                <w:lang w:val="en-US" w:eastAsia="zh-CN"/>
              </w:rPr>
              <w:t>6</w:t>
            </w:r>
            <w:r>
              <w:rPr>
                <w:rFonts w:hint="default" w:ascii="Times New Roman" w:hAnsi="Times New Roman" w:cs="Times New Roman"/>
                <w:b/>
                <w:color w:val="auto"/>
                <w:szCs w:val="21"/>
                <w:highlight w:val="none"/>
              </w:rPr>
              <w:t xml:space="preserve"> </w:t>
            </w:r>
            <w:r>
              <w:rPr>
                <w:rFonts w:hint="default" w:ascii="Times New Roman" w:hAnsi="Times New Roman" w:cs="Times New Roman"/>
                <w:b/>
                <w:color w:val="auto"/>
                <w:szCs w:val="21"/>
                <w:highlight w:val="none"/>
                <w:lang w:eastAsia="zh-CN"/>
              </w:rPr>
              <w:t>项目主要环境保护目标</w:t>
            </w:r>
          </w:p>
          <w:tbl>
            <w:tblPr>
              <w:tblStyle w:val="42"/>
              <w:tblW w:w="8120"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406"/>
              <w:gridCol w:w="1140"/>
              <w:gridCol w:w="659"/>
              <w:gridCol w:w="1"/>
              <w:gridCol w:w="1474"/>
              <w:gridCol w:w="839"/>
              <w:gridCol w:w="260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406" w:type="dxa"/>
                  <w:noWrap w:val="0"/>
                  <w:vAlign w:val="center"/>
                </w:tcPr>
                <w:p>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环境要素</w:t>
                  </w:r>
                </w:p>
              </w:tc>
              <w:tc>
                <w:tcPr>
                  <w:tcW w:w="1140" w:type="dxa"/>
                  <w:noWrap w:val="0"/>
                  <w:vAlign w:val="center"/>
                </w:tcPr>
                <w:p>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保护目标</w:t>
                  </w:r>
                </w:p>
              </w:tc>
              <w:tc>
                <w:tcPr>
                  <w:tcW w:w="659" w:type="dxa"/>
                  <w:noWrap w:val="0"/>
                  <w:vAlign w:val="center"/>
                </w:tcPr>
                <w:p>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方位</w:t>
                  </w:r>
                </w:p>
              </w:tc>
              <w:tc>
                <w:tcPr>
                  <w:tcW w:w="1475" w:type="dxa"/>
                  <w:gridSpan w:val="2"/>
                  <w:noWrap w:val="0"/>
                  <w:vAlign w:val="center"/>
                </w:tcPr>
                <w:p>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距离/高差</w:t>
                  </w:r>
                </w:p>
              </w:tc>
              <w:tc>
                <w:tcPr>
                  <w:tcW w:w="839" w:type="dxa"/>
                  <w:noWrap w:val="0"/>
                  <w:vAlign w:val="center"/>
                </w:tcPr>
                <w:p>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规模</w:t>
                  </w:r>
                </w:p>
              </w:tc>
              <w:tc>
                <w:tcPr>
                  <w:tcW w:w="2601" w:type="dxa"/>
                  <w:noWrap w:val="0"/>
                  <w:vAlign w:val="center"/>
                </w:tcPr>
                <w:p>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保护级别</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406" w:type="dxa"/>
                  <w:vMerge w:val="restart"/>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大气环境</w:t>
                  </w:r>
                </w:p>
              </w:tc>
              <w:tc>
                <w:tcPr>
                  <w:tcW w:w="1140" w:type="dxa"/>
                  <w:vMerge w:val="restart"/>
                  <w:noWrap w:val="0"/>
                  <w:vAlign w:val="center"/>
                </w:tcPr>
                <w:p>
                  <w:pPr>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lang w:eastAsia="zh-CN"/>
                    </w:rPr>
                    <w:t>住户</w:t>
                  </w:r>
                </w:p>
              </w:tc>
              <w:tc>
                <w:tcPr>
                  <w:tcW w:w="659" w:type="dxa"/>
                  <w:noWrap w:val="0"/>
                  <w:vAlign w:val="center"/>
                </w:tcPr>
                <w:p>
                  <w:pPr>
                    <w:jc w:val="center"/>
                    <w:rPr>
                      <w:rFonts w:hint="default" w:ascii="Times New Roman" w:hAnsi="Times New Roman" w:eastAsia="宋体" w:cs="Times New Roman"/>
                      <w:color w:val="auto"/>
                      <w:szCs w:val="21"/>
                      <w:highlight w:val="none"/>
                      <w:lang w:eastAsia="zh-CN"/>
                    </w:rPr>
                  </w:pPr>
                  <w:r>
                    <w:rPr>
                      <w:rFonts w:hint="eastAsia" w:ascii="Times New Roman" w:hAnsi="Times New Roman" w:cs="Times New Roman"/>
                      <w:color w:val="auto"/>
                      <w:szCs w:val="21"/>
                      <w:highlight w:val="none"/>
                      <w:lang w:val="en-US" w:eastAsia="zh-CN"/>
                    </w:rPr>
                    <w:t>南</w:t>
                  </w:r>
                </w:p>
              </w:tc>
              <w:tc>
                <w:tcPr>
                  <w:tcW w:w="1475" w:type="dxa"/>
                  <w:gridSpan w:val="2"/>
                  <w:noWrap w:val="0"/>
                  <w:vAlign w:val="center"/>
                </w:tcPr>
                <w:p>
                  <w:pPr>
                    <w:jc w:val="center"/>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75-500</w:t>
                  </w:r>
                  <w:r>
                    <w:rPr>
                      <w:rFonts w:hint="default" w:ascii="Times New Roman" w:hAnsi="Times New Roman" w:cs="Times New Roman"/>
                      <w:color w:val="auto"/>
                      <w:szCs w:val="21"/>
                      <w:highlight w:val="none"/>
                    </w:rPr>
                    <w:t>m/</w:t>
                  </w:r>
                  <w:r>
                    <w:rPr>
                      <w:rFonts w:hint="eastAsia" w:ascii="Times New Roman" w:hAnsi="Times New Roman" w:cs="Times New Roman"/>
                      <w:color w:val="auto"/>
                      <w:szCs w:val="21"/>
                      <w:highlight w:val="none"/>
                      <w:lang w:val="en-US" w:eastAsia="zh-CN"/>
                    </w:rPr>
                    <w:t>-1</w:t>
                  </w:r>
                  <w:r>
                    <w:rPr>
                      <w:rFonts w:hint="default" w:ascii="Times New Roman" w:hAnsi="Times New Roman" w:cs="Times New Roman"/>
                      <w:color w:val="auto"/>
                      <w:szCs w:val="21"/>
                      <w:highlight w:val="none"/>
                    </w:rPr>
                    <w:t>m</w:t>
                  </w:r>
                </w:p>
              </w:tc>
              <w:tc>
                <w:tcPr>
                  <w:tcW w:w="839" w:type="dxa"/>
                  <w:noWrap w:val="0"/>
                  <w:vAlign w:val="center"/>
                </w:tcPr>
                <w:p>
                  <w:pPr>
                    <w:jc w:val="center"/>
                    <w:rPr>
                      <w:rFonts w:hint="default" w:ascii="Times New Roman" w:hAnsi="Times New Roman" w:cs="Times New Roman"/>
                      <w:color w:val="auto"/>
                      <w:szCs w:val="21"/>
                      <w:highlight w:val="none"/>
                      <w:lang w:val="en-US"/>
                    </w:rPr>
                  </w:pPr>
                  <w:r>
                    <w:rPr>
                      <w:rFonts w:hint="eastAsia" w:ascii="Times New Roman" w:hAnsi="Times New Roman" w:cs="Times New Roman"/>
                      <w:color w:val="auto"/>
                      <w:szCs w:val="21"/>
                      <w:highlight w:val="none"/>
                      <w:lang w:val="en-US" w:eastAsia="zh-CN"/>
                    </w:rPr>
                    <w:t>230人</w:t>
                  </w:r>
                </w:p>
              </w:tc>
              <w:tc>
                <w:tcPr>
                  <w:tcW w:w="2601" w:type="dxa"/>
                  <w:vMerge w:val="restart"/>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bCs/>
                      <w:color w:val="auto"/>
                      <w:szCs w:val="21"/>
                      <w:highlight w:val="none"/>
                    </w:rPr>
                    <w:t>《环境空气质量标准》（GB3095-2012）及其修改清单（2018年7月通过）二级标准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406" w:type="dxa"/>
                  <w:vMerge w:val="continue"/>
                  <w:noWrap w:val="0"/>
                  <w:vAlign w:val="center"/>
                </w:tcPr>
                <w:p>
                  <w:pPr>
                    <w:jc w:val="center"/>
                    <w:rPr>
                      <w:rFonts w:hint="default" w:ascii="Times New Roman" w:hAnsi="Times New Roman" w:cs="Times New Roman"/>
                      <w:color w:val="auto"/>
                      <w:szCs w:val="21"/>
                      <w:highlight w:val="none"/>
                    </w:rPr>
                  </w:pPr>
                </w:p>
              </w:tc>
              <w:tc>
                <w:tcPr>
                  <w:tcW w:w="1140" w:type="dxa"/>
                  <w:vMerge w:val="continue"/>
                  <w:noWrap w:val="0"/>
                  <w:vAlign w:val="center"/>
                </w:tcPr>
                <w:p>
                  <w:pPr>
                    <w:jc w:val="center"/>
                    <w:rPr>
                      <w:rFonts w:hint="default" w:ascii="Times New Roman" w:hAnsi="Times New Roman" w:cs="Times New Roman"/>
                      <w:color w:val="auto"/>
                      <w:szCs w:val="21"/>
                      <w:highlight w:val="none"/>
                    </w:rPr>
                  </w:pPr>
                </w:p>
              </w:tc>
              <w:tc>
                <w:tcPr>
                  <w:tcW w:w="659" w:type="dxa"/>
                  <w:noWrap w:val="0"/>
                  <w:vAlign w:val="center"/>
                </w:tcPr>
                <w:p>
                  <w:pPr>
                    <w:jc w:val="center"/>
                    <w:rPr>
                      <w:rFonts w:hint="default" w:ascii="Times New Roman" w:hAnsi="Times New Roman" w:eastAsia="宋体" w:cs="Times New Roman"/>
                      <w:color w:val="auto"/>
                      <w:szCs w:val="21"/>
                      <w:highlight w:val="none"/>
                      <w:lang w:eastAsia="zh-CN"/>
                    </w:rPr>
                  </w:pPr>
                  <w:r>
                    <w:rPr>
                      <w:rFonts w:hint="eastAsia" w:ascii="Times New Roman" w:hAnsi="Times New Roman" w:cs="Times New Roman"/>
                      <w:color w:val="auto"/>
                      <w:szCs w:val="21"/>
                      <w:highlight w:val="none"/>
                      <w:lang w:val="en-US" w:eastAsia="zh-CN"/>
                    </w:rPr>
                    <w:t>西</w:t>
                  </w:r>
                </w:p>
              </w:tc>
              <w:tc>
                <w:tcPr>
                  <w:tcW w:w="1475" w:type="dxa"/>
                  <w:gridSpan w:val="2"/>
                  <w:noWrap w:val="0"/>
                  <w:vAlign w:val="center"/>
                </w:tcPr>
                <w:p>
                  <w:pPr>
                    <w:jc w:val="center"/>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260</w:t>
                  </w: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lang w:val="en-US" w:eastAsia="zh-CN"/>
                    </w:rPr>
                    <w:t>+</w:t>
                  </w:r>
                  <w:r>
                    <w:rPr>
                      <w:rFonts w:hint="eastAsia" w:ascii="Times New Roman" w:hAnsi="Times New Roman" w:cs="Times New Roman"/>
                      <w:color w:val="auto"/>
                      <w:szCs w:val="21"/>
                      <w:highlight w:val="none"/>
                      <w:lang w:val="en-US" w:eastAsia="zh-CN"/>
                    </w:rPr>
                    <w:t>5</w:t>
                  </w:r>
                  <w:r>
                    <w:rPr>
                      <w:rFonts w:hint="default" w:ascii="Times New Roman" w:hAnsi="Times New Roman" w:cs="Times New Roman"/>
                      <w:color w:val="auto"/>
                      <w:szCs w:val="21"/>
                      <w:highlight w:val="none"/>
                    </w:rPr>
                    <w:t>m</w:t>
                  </w:r>
                </w:p>
              </w:tc>
              <w:tc>
                <w:tcPr>
                  <w:tcW w:w="839" w:type="dxa"/>
                  <w:noWrap w:val="0"/>
                  <w:vAlign w:val="center"/>
                </w:tcPr>
                <w:p>
                  <w:pPr>
                    <w:jc w:val="center"/>
                    <w:rPr>
                      <w:rFonts w:hint="default" w:ascii="Times New Roman" w:hAnsi="Times New Roman" w:cs="Times New Roman"/>
                      <w:color w:val="auto"/>
                      <w:szCs w:val="21"/>
                      <w:highlight w:val="none"/>
                      <w:lang w:val="en-US"/>
                    </w:rPr>
                  </w:pPr>
                  <w:r>
                    <w:rPr>
                      <w:rFonts w:hint="eastAsia" w:ascii="Times New Roman" w:hAnsi="Times New Roman" w:cs="Times New Roman"/>
                      <w:color w:val="auto"/>
                      <w:szCs w:val="21"/>
                      <w:highlight w:val="none"/>
                      <w:lang w:val="en-US" w:eastAsia="zh-CN"/>
                    </w:rPr>
                    <w:t>5人</w:t>
                  </w:r>
                </w:p>
              </w:tc>
              <w:tc>
                <w:tcPr>
                  <w:tcW w:w="2601" w:type="dxa"/>
                  <w:vMerge w:val="continue"/>
                  <w:noWrap w:val="0"/>
                  <w:vAlign w:val="center"/>
                </w:tcPr>
                <w:p>
                  <w:pPr>
                    <w:jc w:val="center"/>
                    <w:rPr>
                      <w:rFonts w:hint="default" w:ascii="Times New Roman" w:hAnsi="Times New Roman" w:cs="Times New Roman"/>
                      <w:color w:val="auto"/>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406" w:type="dxa"/>
                  <w:vMerge w:val="continue"/>
                  <w:noWrap w:val="0"/>
                  <w:vAlign w:val="center"/>
                </w:tcPr>
                <w:p>
                  <w:pPr>
                    <w:jc w:val="center"/>
                    <w:rPr>
                      <w:rFonts w:hint="default" w:ascii="Times New Roman" w:hAnsi="Times New Roman" w:cs="Times New Roman"/>
                      <w:color w:val="auto"/>
                      <w:szCs w:val="21"/>
                      <w:highlight w:val="none"/>
                    </w:rPr>
                  </w:pPr>
                </w:p>
              </w:tc>
              <w:tc>
                <w:tcPr>
                  <w:tcW w:w="1140" w:type="dxa"/>
                  <w:vMerge w:val="continue"/>
                  <w:noWrap w:val="0"/>
                  <w:vAlign w:val="center"/>
                </w:tcPr>
                <w:p>
                  <w:pPr>
                    <w:jc w:val="center"/>
                    <w:rPr>
                      <w:rFonts w:hint="default" w:ascii="Times New Roman" w:hAnsi="Times New Roman" w:cs="Times New Roman"/>
                      <w:color w:val="auto"/>
                      <w:szCs w:val="21"/>
                      <w:highlight w:val="none"/>
                    </w:rPr>
                  </w:pPr>
                </w:p>
              </w:tc>
              <w:tc>
                <w:tcPr>
                  <w:tcW w:w="659" w:type="dxa"/>
                  <w:noWrap w:val="0"/>
                  <w:vAlign w:val="center"/>
                </w:tcPr>
                <w:p>
                  <w:pPr>
                    <w:jc w:val="center"/>
                    <w:rPr>
                      <w:rFonts w:hint="eastAsia" w:ascii="Times New Roman" w:hAnsi="Times New Roman" w:eastAsia="宋体" w:cs="Times New Roman"/>
                      <w:color w:val="auto"/>
                      <w:szCs w:val="21"/>
                      <w:highlight w:val="none"/>
                      <w:lang w:eastAsia="zh-CN"/>
                    </w:rPr>
                  </w:pPr>
                  <w:r>
                    <w:rPr>
                      <w:rFonts w:hint="eastAsia" w:ascii="Times New Roman" w:hAnsi="Times New Roman" w:cs="Times New Roman"/>
                      <w:color w:val="auto"/>
                      <w:szCs w:val="21"/>
                      <w:highlight w:val="none"/>
                      <w:lang w:val="en-US" w:eastAsia="zh-CN"/>
                    </w:rPr>
                    <w:t>西</w:t>
                  </w:r>
                </w:p>
              </w:tc>
              <w:tc>
                <w:tcPr>
                  <w:tcW w:w="1475" w:type="dxa"/>
                  <w:gridSpan w:val="2"/>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290</w:t>
                  </w: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lang w:val="en-US" w:eastAsia="zh-CN"/>
                    </w:rPr>
                    <w:t>+</w:t>
                  </w:r>
                  <w:r>
                    <w:rPr>
                      <w:rFonts w:hint="eastAsia" w:ascii="Times New Roman" w:hAnsi="Times New Roman" w:cs="Times New Roman"/>
                      <w:color w:val="auto"/>
                      <w:szCs w:val="21"/>
                      <w:highlight w:val="none"/>
                      <w:lang w:val="en-US" w:eastAsia="zh-CN"/>
                    </w:rPr>
                    <w:t>5</w:t>
                  </w:r>
                  <w:r>
                    <w:rPr>
                      <w:rFonts w:hint="default" w:ascii="Times New Roman" w:hAnsi="Times New Roman" w:cs="Times New Roman"/>
                      <w:color w:val="auto"/>
                      <w:szCs w:val="21"/>
                      <w:highlight w:val="none"/>
                    </w:rPr>
                    <w:t>m</w:t>
                  </w:r>
                </w:p>
              </w:tc>
              <w:tc>
                <w:tcPr>
                  <w:tcW w:w="839" w:type="dxa"/>
                  <w:noWrap w:val="0"/>
                  <w:vAlign w:val="center"/>
                </w:tcPr>
                <w:p>
                  <w:pPr>
                    <w:jc w:val="center"/>
                    <w:rPr>
                      <w:rFonts w:hint="default" w:ascii="Times New Roman" w:hAnsi="Times New Roman" w:cs="Times New Roman"/>
                      <w:color w:val="auto"/>
                      <w:szCs w:val="21"/>
                      <w:highlight w:val="none"/>
                      <w:lang w:val="en-US"/>
                    </w:rPr>
                  </w:pPr>
                  <w:r>
                    <w:rPr>
                      <w:rFonts w:hint="eastAsia" w:ascii="Times New Roman" w:hAnsi="Times New Roman" w:cs="Times New Roman"/>
                      <w:color w:val="auto"/>
                      <w:szCs w:val="21"/>
                      <w:highlight w:val="none"/>
                      <w:lang w:val="en-US" w:eastAsia="zh-CN"/>
                    </w:rPr>
                    <w:t>3人</w:t>
                  </w:r>
                </w:p>
              </w:tc>
              <w:tc>
                <w:tcPr>
                  <w:tcW w:w="2601" w:type="dxa"/>
                  <w:vMerge w:val="continue"/>
                  <w:noWrap w:val="0"/>
                  <w:vAlign w:val="center"/>
                </w:tcPr>
                <w:p>
                  <w:pPr>
                    <w:jc w:val="center"/>
                    <w:rPr>
                      <w:rFonts w:hint="default" w:ascii="Times New Roman" w:hAnsi="Times New Roman" w:cs="Times New Roman"/>
                      <w:color w:val="auto"/>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406" w:type="dxa"/>
                  <w:vMerge w:val="continue"/>
                  <w:noWrap w:val="0"/>
                  <w:vAlign w:val="center"/>
                </w:tcPr>
                <w:p>
                  <w:pPr>
                    <w:jc w:val="center"/>
                    <w:rPr>
                      <w:rFonts w:hint="default" w:ascii="Times New Roman" w:hAnsi="Times New Roman" w:cs="Times New Roman"/>
                      <w:color w:val="auto"/>
                      <w:szCs w:val="21"/>
                      <w:highlight w:val="none"/>
                    </w:rPr>
                  </w:pPr>
                </w:p>
              </w:tc>
              <w:tc>
                <w:tcPr>
                  <w:tcW w:w="1140" w:type="dxa"/>
                  <w:vMerge w:val="continue"/>
                  <w:noWrap w:val="0"/>
                  <w:vAlign w:val="center"/>
                </w:tcPr>
                <w:p>
                  <w:pPr>
                    <w:jc w:val="center"/>
                    <w:rPr>
                      <w:rFonts w:hint="default" w:ascii="Times New Roman" w:hAnsi="Times New Roman" w:cs="Times New Roman"/>
                      <w:color w:val="auto"/>
                      <w:szCs w:val="21"/>
                      <w:highlight w:val="none"/>
                    </w:rPr>
                  </w:pPr>
                </w:p>
              </w:tc>
              <w:tc>
                <w:tcPr>
                  <w:tcW w:w="659" w:type="dxa"/>
                  <w:noWrap w:val="0"/>
                  <w:vAlign w:val="center"/>
                </w:tcPr>
                <w:p>
                  <w:pPr>
                    <w:jc w:val="center"/>
                    <w:rPr>
                      <w:rFonts w:hint="eastAsia" w:ascii="Times New Roman" w:hAnsi="Times New Roman" w:eastAsia="宋体" w:cs="Times New Roman"/>
                      <w:color w:val="auto"/>
                      <w:szCs w:val="21"/>
                      <w:highlight w:val="none"/>
                      <w:lang w:eastAsia="zh-CN"/>
                    </w:rPr>
                  </w:pPr>
                  <w:r>
                    <w:rPr>
                      <w:rFonts w:hint="eastAsia" w:ascii="Times New Roman" w:hAnsi="Times New Roman" w:cs="Times New Roman"/>
                      <w:color w:val="auto"/>
                      <w:szCs w:val="21"/>
                      <w:highlight w:val="none"/>
                      <w:lang w:val="en-US" w:eastAsia="zh-CN"/>
                    </w:rPr>
                    <w:t>西</w:t>
                  </w:r>
                </w:p>
              </w:tc>
              <w:tc>
                <w:tcPr>
                  <w:tcW w:w="1475" w:type="dxa"/>
                  <w:gridSpan w:val="2"/>
                  <w:noWrap w:val="0"/>
                  <w:vAlign w:val="center"/>
                </w:tcPr>
                <w:p>
                  <w:pPr>
                    <w:jc w:val="center"/>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430</w:t>
                  </w: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lang w:val="en-US" w:eastAsia="zh-CN"/>
                    </w:rPr>
                    <w:t>+</w:t>
                  </w:r>
                  <w:r>
                    <w:rPr>
                      <w:rFonts w:hint="eastAsia" w:ascii="Times New Roman" w:hAnsi="Times New Roman" w:cs="Times New Roman"/>
                      <w:color w:val="auto"/>
                      <w:szCs w:val="21"/>
                      <w:highlight w:val="none"/>
                      <w:lang w:val="en-US" w:eastAsia="zh-CN"/>
                    </w:rPr>
                    <w:t>6</w:t>
                  </w:r>
                  <w:r>
                    <w:rPr>
                      <w:rFonts w:hint="default" w:ascii="Times New Roman" w:hAnsi="Times New Roman" w:cs="Times New Roman"/>
                      <w:color w:val="auto"/>
                      <w:szCs w:val="21"/>
                      <w:highlight w:val="none"/>
                    </w:rPr>
                    <w:t>m</w:t>
                  </w:r>
                </w:p>
              </w:tc>
              <w:tc>
                <w:tcPr>
                  <w:tcW w:w="839" w:type="dxa"/>
                  <w:noWrap w:val="0"/>
                  <w:vAlign w:val="center"/>
                </w:tcPr>
                <w:p>
                  <w:pPr>
                    <w:jc w:val="center"/>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3人</w:t>
                  </w:r>
                </w:p>
              </w:tc>
              <w:tc>
                <w:tcPr>
                  <w:tcW w:w="2601" w:type="dxa"/>
                  <w:vMerge w:val="continue"/>
                  <w:noWrap w:val="0"/>
                  <w:vAlign w:val="center"/>
                </w:tcPr>
                <w:p>
                  <w:pPr>
                    <w:jc w:val="center"/>
                    <w:rPr>
                      <w:rFonts w:hint="default" w:ascii="Times New Roman" w:hAnsi="Times New Roman" w:cs="Times New Roman"/>
                      <w:color w:val="auto"/>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97" w:hRule="atLeast"/>
                <w:jc w:val="center"/>
              </w:trPr>
              <w:tc>
                <w:tcPr>
                  <w:tcW w:w="1406"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声环境</w:t>
                  </w:r>
                </w:p>
              </w:tc>
              <w:tc>
                <w:tcPr>
                  <w:tcW w:w="4113" w:type="dxa"/>
                  <w:gridSpan w:val="5"/>
                  <w:noWrap w:val="0"/>
                  <w:vAlign w:val="center"/>
                </w:tcPr>
                <w:p>
                  <w:pPr>
                    <w:jc w:val="center"/>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eastAsia="zh-CN"/>
                    </w:rPr>
                    <w:t>厂界外</w:t>
                  </w:r>
                  <w:r>
                    <w:rPr>
                      <w:rFonts w:hint="eastAsia" w:ascii="Times New Roman" w:hAnsi="Times New Roman" w:cs="Times New Roman"/>
                      <w:color w:val="auto"/>
                      <w:szCs w:val="21"/>
                      <w:highlight w:val="none"/>
                      <w:lang w:val="en-US" w:eastAsia="zh-CN"/>
                    </w:rPr>
                    <w:t>50米范围内无声环境保护目标。</w:t>
                  </w:r>
                </w:p>
              </w:tc>
              <w:tc>
                <w:tcPr>
                  <w:tcW w:w="2601"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bCs/>
                      <w:color w:val="auto"/>
                      <w:szCs w:val="21"/>
                      <w:highlight w:val="none"/>
                    </w:rPr>
                    <w:t>《声环境质量标准》</w:t>
                  </w:r>
                  <w:r>
                    <w:rPr>
                      <w:rFonts w:hint="eastAsia" w:ascii="Times New Roman" w:hAnsi="Times New Roman" w:cs="Times New Roman"/>
                      <w:bCs/>
                      <w:color w:val="auto"/>
                      <w:szCs w:val="21"/>
                      <w:highlight w:val="none"/>
                      <w:lang w:eastAsia="zh-CN"/>
                    </w:rPr>
                    <w:t>（</w:t>
                  </w:r>
                  <w:r>
                    <w:rPr>
                      <w:rFonts w:hint="default" w:ascii="Times New Roman" w:hAnsi="Times New Roman" w:cs="Times New Roman"/>
                      <w:bCs/>
                      <w:color w:val="auto"/>
                      <w:szCs w:val="21"/>
                      <w:highlight w:val="none"/>
                    </w:rPr>
                    <w:t>GB3096-2008</w:t>
                  </w:r>
                  <w:r>
                    <w:rPr>
                      <w:rFonts w:hint="eastAsia" w:ascii="Times New Roman" w:hAnsi="Times New Roman" w:cs="Times New Roman"/>
                      <w:bCs/>
                      <w:color w:val="auto"/>
                      <w:szCs w:val="21"/>
                      <w:highlight w:val="none"/>
                      <w:lang w:eastAsia="zh-CN"/>
                    </w:rPr>
                    <w:t>）</w:t>
                  </w:r>
                  <w:r>
                    <w:rPr>
                      <w:rFonts w:hint="eastAsia" w:ascii="Times New Roman" w:hAnsi="Times New Roman" w:cs="Times New Roman"/>
                      <w:bCs/>
                      <w:color w:val="auto"/>
                      <w:szCs w:val="21"/>
                      <w:highlight w:val="none"/>
                      <w:lang w:val="en-US" w:eastAsia="zh-CN"/>
                    </w:rPr>
                    <w:t>3</w:t>
                  </w:r>
                  <w:r>
                    <w:rPr>
                      <w:rFonts w:hint="default" w:ascii="Times New Roman" w:hAnsi="Times New Roman" w:cs="Times New Roman"/>
                      <w:bCs/>
                      <w:color w:val="auto"/>
                      <w:szCs w:val="21"/>
                      <w:highlight w:val="none"/>
                    </w:rPr>
                    <w:t>类</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170" w:hRule="atLeast"/>
                <w:jc w:val="center"/>
              </w:trPr>
              <w:tc>
                <w:tcPr>
                  <w:tcW w:w="1406"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地表水环境</w:t>
                  </w:r>
                </w:p>
              </w:tc>
              <w:tc>
                <w:tcPr>
                  <w:tcW w:w="1140" w:type="dxa"/>
                  <w:noWrap w:val="0"/>
                  <w:vAlign w:val="center"/>
                </w:tcPr>
                <w:p>
                  <w:pPr>
                    <w:jc w:val="center"/>
                    <w:rPr>
                      <w:rFonts w:hint="default" w:ascii="Times New Roman" w:hAnsi="Times New Roman" w:eastAsia="宋体" w:cs="Times New Roman"/>
                      <w:color w:val="auto"/>
                      <w:szCs w:val="21"/>
                      <w:highlight w:val="none"/>
                      <w:lang w:eastAsia="zh-CN"/>
                    </w:rPr>
                  </w:pPr>
                  <w:r>
                    <w:rPr>
                      <w:rFonts w:hint="eastAsia" w:ascii="Times New Roman" w:hAnsi="Times New Roman" w:cs="Times New Roman"/>
                      <w:color w:val="auto"/>
                      <w:szCs w:val="21"/>
                      <w:highlight w:val="none"/>
                      <w:lang w:val="en-US" w:eastAsia="zh-CN"/>
                    </w:rPr>
                    <w:t>大渡河</w:t>
                  </w:r>
                </w:p>
              </w:tc>
              <w:tc>
                <w:tcPr>
                  <w:tcW w:w="660" w:type="dxa"/>
                  <w:gridSpan w:val="2"/>
                  <w:noWrap w:val="0"/>
                  <w:vAlign w:val="center"/>
                </w:tcPr>
                <w:p>
                  <w:pPr>
                    <w:jc w:val="center"/>
                    <w:rPr>
                      <w:rFonts w:hint="eastAsia" w:ascii="Times New Roman" w:hAnsi="Times New Roman" w:eastAsia="宋体" w:cs="Times New Roman"/>
                      <w:color w:val="auto"/>
                      <w:szCs w:val="21"/>
                      <w:highlight w:val="none"/>
                      <w:lang w:eastAsia="zh-CN"/>
                    </w:rPr>
                  </w:pPr>
                  <w:r>
                    <w:rPr>
                      <w:rFonts w:hint="eastAsia" w:ascii="Times New Roman" w:hAnsi="Times New Roman" w:cs="Times New Roman"/>
                      <w:color w:val="auto"/>
                      <w:szCs w:val="21"/>
                      <w:highlight w:val="none"/>
                      <w:lang w:val="en-US" w:eastAsia="zh-CN"/>
                    </w:rPr>
                    <w:t>东</w:t>
                  </w:r>
                </w:p>
              </w:tc>
              <w:tc>
                <w:tcPr>
                  <w:tcW w:w="1474" w:type="dxa"/>
                  <w:noWrap w:val="0"/>
                  <w:vAlign w:val="center"/>
                </w:tcPr>
                <w:p>
                  <w:pPr>
                    <w:jc w:val="center"/>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1020</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val="en-US" w:eastAsia="zh-CN"/>
                    </w:rPr>
                    <w:t>-</w:t>
                  </w:r>
                  <w:r>
                    <w:rPr>
                      <w:rFonts w:hint="eastAsia" w:ascii="Times New Roman" w:hAnsi="Times New Roman" w:cs="Times New Roman"/>
                      <w:color w:val="auto"/>
                      <w:szCs w:val="21"/>
                      <w:highlight w:val="none"/>
                      <w:lang w:val="en-US" w:eastAsia="zh-CN"/>
                    </w:rPr>
                    <w:t>14</w:t>
                  </w:r>
                  <w:r>
                    <w:rPr>
                      <w:rFonts w:hint="default" w:ascii="Times New Roman" w:hAnsi="Times New Roman" w:cs="Times New Roman"/>
                      <w:color w:val="auto"/>
                      <w:szCs w:val="21"/>
                      <w:highlight w:val="none"/>
                    </w:rPr>
                    <w:t>m</w:t>
                  </w:r>
                </w:p>
              </w:tc>
              <w:tc>
                <w:tcPr>
                  <w:tcW w:w="839"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2601"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bCs/>
                      <w:color w:val="auto"/>
                      <w:szCs w:val="21"/>
                      <w:highlight w:val="none"/>
                    </w:rPr>
                    <w:t>《地表水环境质量标准》（GB3838-2002）Ⅲ类</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62" w:hRule="atLeast"/>
                <w:jc w:val="center"/>
              </w:trPr>
              <w:tc>
                <w:tcPr>
                  <w:tcW w:w="1406" w:type="dxa"/>
                  <w:noWrap w:val="0"/>
                  <w:vAlign w:val="center"/>
                </w:tcPr>
                <w:p>
                  <w:pPr>
                    <w:pStyle w:val="40"/>
                    <w:ind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bCs/>
                      <w:color w:val="auto"/>
                      <w:sz w:val="21"/>
                      <w:szCs w:val="21"/>
                      <w:highlight w:val="none"/>
                    </w:rPr>
                    <w:t>地下水环境</w:t>
                  </w:r>
                </w:p>
              </w:tc>
              <w:tc>
                <w:tcPr>
                  <w:tcW w:w="4113" w:type="dxa"/>
                  <w:gridSpan w:val="5"/>
                  <w:noWrap w:val="0"/>
                  <w:vAlign w:val="center"/>
                </w:tcPr>
                <w:p>
                  <w:pPr>
                    <w:autoSpaceDE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eastAsia="zh-CN"/>
                    </w:rPr>
                    <w:t>项目厂界外</w:t>
                  </w:r>
                  <w:r>
                    <w:rPr>
                      <w:rFonts w:hint="default" w:ascii="Times New Roman" w:hAnsi="Times New Roman" w:cs="Times New Roman"/>
                      <w:color w:val="auto"/>
                      <w:szCs w:val="21"/>
                      <w:highlight w:val="none"/>
                      <w:lang w:val="en-US" w:eastAsia="zh-CN"/>
                    </w:rPr>
                    <w:t>500米范围内无地下水集中式饮用水水源地和热水、矿泉水、温泉等特殊地下水资源。</w:t>
                  </w:r>
                </w:p>
              </w:tc>
              <w:tc>
                <w:tcPr>
                  <w:tcW w:w="2601" w:type="dxa"/>
                  <w:noWrap w:val="0"/>
                  <w:vAlign w:val="center"/>
                </w:tcPr>
                <w:p>
                  <w:pPr>
                    <w:autoSpaceDE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color w:val="auto"/>
                      <w:highlight w:val="none"/>
                    </w:rPr>
                    <w:t>《地下水质量标准》（GB14848/T-2017）Ⅲ类</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79" w:hRule="atLeast"/>
                <w:jc w:val="center"/>
              </w:trPr>
              <w:tc>
                <w:tcPr>
                  <w:tcW w:w="1406" w:type="dxa"/>
                  <w:noWrap w:val="0"/>
                  <w:vAlign w:val="center"/>
                </w:tcPr>
                <w:p>
                  <w:pPr>
                    <w:pStyle w:val="40"/>
                    <w:ind w:firstLine="0" w:firstLineChars="0"/>
                    <w:jc w:val="center"/>
                    <w:rPr>
                      <w:rFonts w:hint="default" w:ascii="Times New Roman" w:hAnsi="Times New Roman" w:eastAsia="宋体" w:cs="Times New Roman"/>
                      <w:bCs/>
                      <w:color w:val="auto"/>
                      <w:sz w:val="21"/>
                      <w:szCs w:val="21"/>
                      <w:highlight w:val="none"/>
                      <w:lang w:eastAsia="zh-CN"/>
                    </w:rPr>
                  </w:pPr>
                  <w:r>
                    <w:rPr>
                      <w:rFonts w:hint="default" w:ascii="Times New Roman" w:hAnsi="Times New Roman" w:cs="Times New Roman"/>
                      <w:bCs/>
                      <w:color w:val="auto"/>
                      <w:sz w:val="21"/>
                      <w:szCs w:val="21"/>
                      <w:highlight w:val="none"/>
                      <w:lang w:eastAsia="zh-CN"/>
                    </w:rPr>
                    <w:t>生态环境</w:t>
                  </w:r>
                </w:p>
              </w:tc>
              <w:tc>
                <w:tcPr>
                  <w:tcW w:w="4113" w:type="dxa"/>
                  <w:gridSpan w:val="5"/>
                  <w:noWrap w:val="0"/>
                  <w:vAlign w:val="center"/>
                </w:tcPr>
                <w:p>
                  <w:pPr>
                    <w:autoSpaceDE w:val="0"/>
                    <w:snapToGrid w:val="0"/>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lang w:eastAsia="zh-CN"/>
                    </w:rPr>
                    <w:t>本项目用地范围内无生态环境保护目标。</w:t>
                  </w:r>
                </w:p>
              </w:tc>
              <w:tc>
                <w:tcPr>
                  <w:tcW w:w="2601" w:type="dxa"/>
                  <w:noWrap w:val="0"/>
                  <w:vAlign w:val="center"/>
                </w:tcPr>
                <w:p>
                  <w:pPr>
                    <w:autoSpaceDE w:val="0"/>
                    <w:snapToGrid w:val="0"/>
                    <w:jc w:val="center"/>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eastAsia="zh-CN"/>
                    </w:rPr>
                    <w:t>土地原有的使用功能和性质不下降，防止水土流失</w:t>
                  </w:r>
                </w:p>
              </w:tc>
            </w:tr>
          </w:tbl>
          <w:p>
            <w:pPr>
              <w:adjustRightInd w:val="0"/>
              <w:snapToGrid w:val="0"/>
              <w:jc w:val="both"/>
              <w:rPr>
                <w:rFonts w:hint="default" w:ascii="Times New Roman" w:hAnsi="Times New Roman" w:cs="Times New Roman"/>
                <w:color w:val="auto"/>
                <w:kern w:val="0"/>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9" w:hRule="atLeast"/>
          <w:jc w:val="center"/>
        </w:trPr>
        <w:tc>
          <w:tcPr>
            <w:tcW w:w="800" w:type="dxa"/>
            <w:noWrap w:val="0"/>
            <w:tcMar>
              <w:left w:w="28" w:type="dxa"/>
              <w:right w:w="28" w:type="dxa"/>
            </w:tcMar>
            <w:vAlign w:val="center"/>
          </w:tcPr>
          <w:p>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污染</w:t>
            </w:r>
          </w:p>
          <w:p>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物排</w:t>
            </w:r>
          </w:p>
          <w:p>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放控</w:t>
            </w:r>
          </w:p>
          <w:p>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制标</w:t>
            </w:r>
          </w:p>
          <w:p>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准</w:t>
            </w:r>
          </w:p>
        </w:tc>
        <w:tc>
          <w:tcPr>
            <w:tcW w:w="8190" w:type="dxa"/>
            <w:noWrap w:val="0"/>
            <w:vAlign w:val="center"/>
          </w:tcPr>
          <w:p>
            <w:pPr>
              <w:pStyle w:val="113"/>
              <w:spacing w:line="360" w:lineRule="auto"/>
              <w:ind w:firstLine="442"/>
              <w:rPr>
                <w:rFonts w:hint="default" w:ascii="Times New Roman" w:hAnsi="Times New Roman" w:cs="Times New Roman"/>
                <w:b/>
                <w:bCs/>
                <w:color w:val="auto"/>
                <w:sz w:val="22"/>
                <w:szCs w:val="22"/>
                <w:highlight w:val="none"/>
                <w:lang w:val="en-US"/>
              </w:rPr>
            </w:pPr>
            <w:r>
              <w:rPr>
                <w:rFonts w:hint="default" w:ascii="Times New Roman" w:hAnsi="Times New Roman" w:cs="Times New Roman"/>
                <w:b/>
                <w:bCs/>
                <w:color w:val="auto"/>
                <w:sz w:val="22"/>
                <w:szCs w:val="22"/>
                <w:highlight w:val="none"/>
                <w:lang w:val="en-US"/>
              </w:rPr>
              <w:t>1、废气排放标准</w:t>
            </w:r>
          </w:p>
          <w:p>
            <w:pPr>
              <w:pStyle w:val="40"/>
              <w:keepNext w:val="0"/>
              <w:keepLines w:val="0"/>
              <w:pageBreakBefore w:val="0"/>
              <w:widowControl w:val="0"/>
              <w:kinsoku/>
              <w:wordWrap/>
              <w:overflowPunct/>
              <w:topLinePunct w:val="0"/>
              <w:autoSpaceDE/>
              <w:autoSpaceDN/>
              <w:bidi w:val="0"/>
              <w:adjustRightInd/>
              <w:snapToGrid/>
              <w:spacing w:before="0" w:after="0" w:line="360" w:lineRule="auto"/>
              <w:ind w:right="0" w:firstLine="480" w:firstLineChars="200"/>
              <w:jc w:val="left"/>
              <w:textAlignment w:val="auto"/>
              <w:outlineLvl w:val="9"/>
              <w:rPr>
                <w:rFonts w:hint="eastAsia" w:ascii="Times New Roman" w:hAnsi="Times New Roman" w:eastAsia="宋体" w:cs="Times New Roman"/>
                <w:color w:val="auto"/>
                <w:kern w:val="2"/>
                <w:sz w:val="22"/>
                <w:szCs w:val="21"/>
                <w:highlight w:val="none"/>
                <w:lang w:val="zh-CN" w:eastAsia="zh-CN"/>
              </w:rPr>
            </w:pPr>
            <w:r>
              <w:rPr>
                <w:rFonts w:hint="eastAsia" w:ascii="Times New Roman" w:hAnsi="Times New Roman" w:eastAsia="宋体" w:cs="Times New Roman"/>
                <w:color w:val="auto"/>
                <w:kern w:val="2"/>
                <w:sz w:val="22"/>
                <w:szCs w:val="21"/>
                <w:highlight w:val="none"/>
                <w:lang w:val="zh-CN" w:eastAsia="zh-CN"/>
              </w:rPr>
              <w:t>（</w:t>
            </w:r>
            <w:r>
              <w:rPr>
                <w:rFonts w:hint="eastAsia" w:ascii="Times New Roman" w:hAnsi="Times New Roman" w:eastAsia="宋体" w:cs="Times New Roman"/>
                <w:color w:val="auto"/>
                <w:kern w:val="2"/>
                <w:sz w:val="22"/>
                <w:szCs w:val="21"/>
                <w:highlight w:val="none"/>
                <w:lang w:val="en-US" w:eastAsia="zh-CN"/>
              </w:rPr>
              <w:t>1</w:t>
            </w:r>
            <w:r>
              <w:rPr>
                <w:rFonts w:hint="eastAsia" w:ascii="Times New Roman" w:hAnsi="Times New Roman" w:eastAsia="宋体" w:cs="Times New Roman"/>
                <w:color w:val="auto"/>
                <w:kern w:val="2"/>
                <w:sz w:val="22"/>
                <w:szCs w:val="21"/>
                <w:highlight w:val="none"/>
                <w:lang w:val="zh-CN" w:eastAsia="zh-CN"/>
              </w:rPr>
              <w:t>）施工期</w:t>
            </w:r>
          </w:p>
          <w:p>
            <w:pPr>
              <w:pStyle w:val="40"/>
              <w:keepNext w:val="0"/>
              <w:keepLines w:val="0"/>
              <w:pageBreakBefore w:val="0"/>
              <w:widowControl w:val="0"/>
              <w:kinsoku/>
              <w:wordWrap/>
              <w:overflowPunct/>
              <w:topLinePunct w:val="0"/>
              <w:autoSpaceDE/>
              <w:autoSpaceDN/>
              <w:bidi w:val="0"/>
              <w:adjustRightInd/>
              <w:snapToGrid/>
              <w:spacing w:before="0" w:after="0" w:line="360" w:lineRule="auto"/>
              <w:ind w:right="0" w:firstLine="480" w:firstLineChars="200"/>
              <w:jc w:val="left"/>
              <w:textAlignment w:val="auto"/>
              <w:outlineLvl w:val="9"/>
              <w:rPr>
                <w:rFonts w:hint="eastAsia" w:ascii="Times New Roman" w:hAnsi="Times New Roman" w:eastAsia="宋体" w:cs="Times New Roman"/>
                <w:color w:val="auto"/>
                <w:kern w:val="2"/>
                <w:sz w:val="22"/>
                <w:szCs w:val="21"/>
                <w:highlight w:val="none"/>
                <w:lang w:val="en-US" w:eastAsia="zh-CN"/>
              </w:rPr>
            </w:pPr>
            <w:r>
              <w:rPr>
                <w:rFonts w:hint="eastAsia" w:ascii="Times New Roman" w:hAnsi="Times New Roman" w:eastAsia="宋体" w:cs="Times New Roman"/>
                <w:color w:val="auto"/>
                <w:kern w:val="2"/>
                <w:sz w:val="22"/>
                <w:szCs w:val="21"/>
                <w:highlight w:val="none"/>
                <w:lang w:val="en-US" w:eastAsia="zh-CN"/>
              </w:rPr>
              <w:t>施工期扬尘排放满足《四川省施工场地扬尘排放标准》（DB51/2682-2020）中表1相关标准。</w:t>
            </w:r>
          </w:p>
          <w:p>
            <w:pPr>
              <w:keepNext w:val="0"/>
              <w:keepLines w:val="0"/>
              <w:pageBreakBefore w:val="0"/>
              <w:widowControl w:val="0"/>
              <w:kinsoku/>
              <w:wordWrap/>
              <w:overflowPunct/>
              <w:topLinePunct w:val="0"/>
              <w:autoSpaceDE/>
              <w:autoSpaceDN/>
              <w:bidi w:val="0"/>
              <w:adjustRightInd w:val="0"/>
              <w:snapToGrid w:val="0"/>
              <w:jc w:val="center"/>
              <w:textAlignment w:val="auto"/>
              <w:outlineLvl w:val="4"/>
              <w:rPr>
                <w:rFonts w:hint="default" w:ascii="Times New Roman" w:hAnsi="Times New Roman" w:eastAsia="宋体" w:cs="Times New Roman"/>
                <w:b/>
                <w:color w:val="auto"/>
                <w:szCs w:val="21"/>
                <w:highlight w:val="none"/>
                <w:lang w:eastAsia="zh-CN"/>
              </w:rPr>
            </w:pPr>
            <w:r>
              <w:rPr>
                <w:rFonts w:hint="default" w:ascii="Times New Roman" w:hAnsi="Times New Roman" w:eastAsia="宋体" w:cs="Times New Roman"/>
                <w:b/>
                <w:color w:val="auto"/>
                <w:szCs w:val="21"/>
                <w:highlight w:val="none"/>
                <w:lang w:eastAsia="zh-CN"/>
              </w:rPr>
              <w:t>表</w:t>
            </w:r>
            <w:r>
              <w:rPr>
                <w:rFonts w:hint="eastAsia" w:ascii="Times New Roman" w:hAnsi="Times New Roman" w:eastAsia="宋体" w:cs="Times New Roman"/>
                <w:b/>
                <w:color w:val="auto"/>
                <w:szCs w:val="21"/>
                <w:highlight w:val="none"/>
                <w:lang w:eastAsia="zh-CN"/>
              </w:rPr>
              <w:t>3-</w:t>
            </w:r>
            <w:r>
              <w:rPr>
                <w:rFonts w:hint="eastAsia" w:ascii="Times New Roman" w:hAnsi="Times New Roman" w:eastAsia="宋体" w:cs="Times New Roman"/>
                <w:b/>
                <w:color w:val="auto"/>
                <w:szCs w:val="21"/>
                <w:highlight w:val="none"/>
                <w:lang w:val="en-US" w:eastAsia="zh-CN"/>
              </w:rPr>
              <w:t>7</w:t>
            </w:r>
            <w:r>
              <w:rPr>
                <w:rFonts w:hint="default" w:ascii="Times New Roman" w:hAnsi="Times New Roman" w:eastAsia="宋体" w:cs="Times New Roman"/>
                <w:b/>
                <w:color w:val="auto"/>
                <w:szCs w:val="21"/>
                <w:highlight w:val="none"/>
                <w:lang w:eastAsia="zh-CN"/>
              </w:rPr>
              <w:t xml:space="preserve">  四川省施工场地扬尘排放标准</w:t>
            </w:r>
          </w:p>
          <w:tbl>
            <w:tblPr>
              <w:tblStyle w:val="42"/>
              <w:tblW w:w="7958"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32"/>
              <w:gridCol w:w="780"/>
              <w:gridCol w:w="1927"/>
              <w:gridCol w:w="2278"/>
              <w:gridCol w:w="164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1332" w:type="dxa"/>
                  <w:noWrap w:val="0"/>
                  <w:vAlign w:val="center"/>
                </w:tcPr>
                <w:p>
                  <w:pPr>
                    <w:jc w:val="center"/>
                    <w:rPr>
                      <w:rFonts w:eastAsia="宋体"/>
                      <w:b/>
                      <w:bCs/>
                      <w:sz w:val="21"/>
                      <w:szCs w:val="21"/>
                    </w:rPr>
                  </w:pPr>
                  <w:r>
                    <w:rPr>
                      <w:rFonts w:eastAsia="宋体"/>
                      <w:sz w:val="21"/>
                      <w:szCs w:val="21"/>
                    </w:rPr>
                    <w:t>监测项目</w:t>
                  </w:r>
                </w:p>
              </w:tc>
              <w:tc>
                <w:tcPr>
                  <w:tcW w:w="780" w:type="dxa"/>
                  <w:noWrap w:val="0"/>
                  <w:vAlign w:val="center"/>
                </w:tcPr>
                <w:p>
                  <w:pPr>
                    <w:jc w:val="center"/>
                    <w:rPr>
                      <w:rFonts w:eastAsia="宋体"/>
                      <w:b/>
                      <w:bCs/>
                      <w:sz w:val="21"/>
                      <w:szCs w:val="21"/>
                    </w:rPr>
                  </w:pPr>
                  <w:r>
                    <w:rPr>
                      <w:rFonts w:eastAsia="宋体"/>
                      <w:sz w:val="21"/>
                      <w:szCs w:val="21"/>
                    </w:rPr>
                    <w:t>区域</w:t>
                  </w:r>
                </w:p>
              </w:tc>
              <w:tc>
                <w:tcPr>
                  <w:tcW w:w="1927" w:type="dxa"/>
                  <w:noWrap w:val="0"/>
                  <w:vAlign w:val="center"/>
                </w:tcPr>
                <w:p>
                  <w:pPr>
                    <w:jc w:val="center"/>
                    <w:rPr>
                      <w:rFonts w:eastAsia="宋体"/>
                      <w:b/>
                      <w:bCs/>
                      <w:sz w:val="21"/>
                      <w:szCs w:val="21"/>
                    </w:rPr>
                  </w:pPr>
                  <w:r>
                    <w:rPr>
                      <w:rFonts w:eastAsia="宋体"/>
                      <w:sz w:val="21"/>
                      <w:szCs w:val="21"/>
                    </w:rPr>
                    <w:t>施工阶段</w:t>
                  </w:r>
                </w:p>
              </w:tc>
              <w:tc>
                <w:tcPr>
                  <w:tcW w:w="2278" w:type="dxa"/>
                  <w:noWrap w:val="0"/>
                  <w:vAlign w:val="center"/>
                </w:tcPr>
                <w:p>
                  <w:pPr>
                    <w:jc w:val="center"/>
                    <w:rPr>
                      <w:rFonts w:eastAsia="宋体"/>
                      <w:b/>
                      <w:bCs/>
                      <w:sz w:val="21"/>
                      <w:szCs w:val="21"/>
                    </w:rPr>
                  </w:pPr>
                  <w:r>
                    <w:rPr>
                      <w:rFonts w:eastAsia="宋体"/>
                      <w:sz w:val="21"/>
                      <w:szCs w:val="21"/>
                    </w:rPr>
                    <w:t>监测点排放限值（μg/m</w:t>
                  </w:r>
                  <w:r>
                    <w:rPr>
                      <w:rFonts w:eastAsia="宋体"/>
                      <w:sz w:val="21"/>
                      <w:szCs w:val="21"/>
                      <w:vertAlign w:val="superscript"/>
                    </w:rPr>
                    <w:t>3</w:t>
                  </w:r>
                  <w:r>
                    <w:rPr>
                      <w:rFonts w:eastAsia="宋体"/>
                      <w:sz w:val="21"/>
                      <w:szCs w:val="21"/>
                    </w:rPr>
                    <w:t>）</w:t>
                  </w:r>
                </w:p>
              </w:tc>
              <w:tc>
                <w:tcPr>
                  <w:tcW w:w="1641" w:type="dxa"/>
                  <w:noWrap w:val="0"/>
                  <w:vAlign w:val="center"/>
                </w:tcPr>
                <w:p>
                  <w:pPr>
                    <w:jc w:val="center"/>
                    <w:rPr>
                      <w:rFonts w:eastAsia="宋体"/>
                      <w:b/>
                      <w:bCs/>
                      <w:sz w:val="21"/>
                      <w:szCs w:val="21"/>
                    </w:rPr>
                  </w:pPr>
                  <w:r>
                    <w:rPr>
                      <w:rFonts w:eastAsia="宋体"/>
                      <w:sz w:val="21"/>
                      <w:szCs w:val="21"/>
                    </w:rPr>
                    <w:t>监测时间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1332" w:type="dxa"/>
                  <w:vMerge w:val="restart"/>
                  <w:noWrap w:val="0"/>
                  <w:vAlign w:val="center"/>
                </w:tcPr>
                <w:p>
                  <w:pPr>
                    <w:jc w:val="center"/>
                    <w:rPr>
                      <w:rFonts w:eastAsia="宋体"/>
                      <w:sz w:val="21"/>
                      <w:szCs w:val="21"/>
                    </w:rPr>
                  </w:pPr>
                  <w:r>
                    <w:rPr>
                      <w:rFonts w:eastAsia="宋体"/>
                      <w:sz w:val="21"/>
                      <w:szCs w:val="21"/>
                    </w:rPr>
                    <w:t>总悬浮 颗粒物 （TSP）</w:t>
                  </w:r>
                </w:p>
              </w:tc>
              <w:tc>
                <w:tcPr>
                  <w:tcW w:w="780" w:type="dxa"/>
                  <w:vMerge w:val="restart"/>
                  <w:noWrap w:val="0"/>
                  <w:vAlign w:val="center"/>
                </w:tcPr>
                <w:p>
                  <w:pPr>
                    <w:jc w:val="center"/>
                    <w:rPr>
                      <w:rFonts w:eastAsia="宋体"/>
                      <w:sz w:val="21"/>
                      <w:szCs w:val="21"/>
                    </w:rPr>
                  </w:pPr>
                  <w:r>
                    <w:rPr>
                      <w:rFonts w:hint="eastAsia" w:eastAsia="宋体"/>
                      <w:sz w:val="21"/>
                      <w:szCs w:val="21"/>
                    </w:rPr>
                    <w:t>乐山市</w:t>
                  </w:r>
                </w:p>
              </w:tc>
              <w:tc>
                <w:tcPr>
                  <w:tcW w:w="1927" w:type="dxa"/>
                  <w:noWrap w:val="0"/>
                  <w:vAlign w:val="center"/>
                </w:tcPr>
                <w:p>
                  <w:pPr>
                    <w:jc w:val="center"/>
                    <w:rPr>
                      <w:rFonts w:eastAsia="宋体"/>
                      <w:sz w:val="21"/>
                      <w:szCs w:val="21"/>
                    </w:rPr>
                  </w:pPr>
                  <w:r>
                    <w:rPr>
                      <w:rFonts w:eastAsia="宋体"/>
                      <w:sz w:val="21"/>
                      <w:szCs w:val="21"/>
                    </w:rPr>
                    <w:t>拆除工程/土方开挖/土方回填阶段</w:t>
                  </w:r>
                </w:p>
              </w:tc>
              <w:tc>
                <w:tcPr>
                  <w:tcW w:w="2278" w:type="dxa"/>
                  <w:noWrap w:val="0"/>
                  <w:vAlign w:val="center"/>
                </w:tcPr>
                <w:p>
                  <w:pPr>
                    <w:jc w:val="center"/>
                    <w:rPr>
                      <w:rFonts w:eastAsia="宋体"/>
                      <w:sz w:val="21"/>
                      <w:szCs w:val="21"/>
                    </w:rPr>
                  </w:pPr>
                  <w:r>
                    <w:rPr>
                      <w:rFonts w:eastAsia="宋体"/>
                      <w:sz w:val="21"/>
                      <w:szCs w:val="21"/>
                    </w:rPr>
                    <w:t>600</w:t>
                  </w:r>
                </w:p>
              </w:tc>
              <w:tc>
                <w:tcPr>
                  <w:tcW w:w="1641" w:type="dxa"/>
                  <w:vMerge w:val="restart"/>
                  <w:noWrap w:val="0"/>
                  <w:vAlign w:val="center"/>
                </w:tcPr>
                <w:p>
                  <w:pPr>
                    <w:jc w:val="center"/>
                    <w:rPr>
                      <w:rFonts w:eastAsia="宋体"/>
                      <w:sz w:val="21"/>
                      <w:szCs w:val="21"/>
                    </w:rPr>
                  </w:pPr>
                  <w:r>
                    <w:rPr>
                      <w:rFonts w:eastAsia="宋体"/>
                      <w:sz w:val="21"/>
                      <w:szCs w:val="21"/>
                    </w:rPr>
                    <w:t>自监测起持续15分钟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1332" w:type="dxa"/>
                  <w:vMerge w:val="continue"/>
                  <w:noWrap w:val="0"/>
                  <w:vAlign w:val="center"/>
                </w:tcPr>
                <w:p>
                  <w:pPr>
                    <w:jc w:val="center"/>
                    <w:rPr>
                      <w:rFonts w:eastAsia="宋体"/>
                      <w:sz w:val="21"/>
                      <w:szCs w:val="21"/>
                    </w:rPr>
                  </w:pPr>
                </w:p>
              </w:tc>
              <w:tc>
                <w:tcPr>
                  <w:tcW w:w="780" w:type="dxa"/>
                  <w:vMerge w:val="continue"/>
                  <w:noWrap w:val="0"/>
                  <w:vAlign w:val="center"/>
                </w:tcPr>
                <w:p>
                  <w:pPr>
                    <w:jc w:val="center"/>
                    <w:rPr>
                      <w:rFonts w:eastAsia="宋体"/>
                      <w:sz w:val="21"/>
                      <w:szCs w:val="21"/>
                    </w:rPr>
                  </w:pPr>
                </w:p>
              </w:tc>
              <w:tc>
                <w:tcPr>
                  <w:tcW w:w="1927" w:type="dxa"/>
                  <w:noWrap w:val="0"/>
                  <w:vAlign w:val="center"/>
                </w:tcPr>
                <w:p>
                  <w:pPr>
                    <w:jc w:val="center"/>
                    <w:rPr>
                      <w:rFonts w:eastAsia="宋体"/>
                      <w:sz w:val="21"/>
                      <w:szCs w:val="21"/>
                    </w:rPr>
                  </w:pPr>
                  <w:r>
                    <w:rPr>
                      <w:rFonts w:eastAsia="宋体"/>
                      <w:sz w:val="21"/>
                      <w:szCs w:val="21"/>
                    </w:rPr>
                    <w:t>其他工程阶段</w:t>
                  </w:r>
                </w:p>
              </w:tc>
              <w:tc>
                <w:tcPr>
                  <w:tcW w:w="2278" w:type="dxa"/>
                  <w:noWrap w:val="0"/>
                  <w:vAlign w:val="center"/>
                </w:tcPr>
                <w:p>
                  <w:pPr>
                    <w:jc w:val="center"/>
                    <w:rPr>
                      <w:rFonts w:eastAsia="宋体"/>
                      <w:sz w:val="21"/>
                      <w:szCs w:val="21"/>
                    </w:rPr>
                  </w:pPr>
                  <w:r>
                    <w:rPr>
                      <w:rFonts w:eastAsia="宋体"/>
                      <w:sz w:val="21"/>
                      <w:szCs w:val="21"/>
                    </w:rPr>
                    <w:t>250</w:t>
                  </w:r>
                </w:p>
              </w:tc>
              <w:tc>
                <w:tcPr>
                  <w:tcW w:w="1641" w:type="dxa"/>
                  <w:vMerge w:val="continue"/>
                  <w:noWrap w:val="0"/>
                  <w:vAlign w:val="center"/>
                </w:tcPr>
                <w:p>
                  <w:pPr>
                    <w:jc w:val="center"/>
                    <w:rPr>
                      <w:rFonts w:eastAsia="宋体"/>
                      <w:sz w:val="21"/>
                      <w:szCs w:val="21"/>
                    </w:rPr>
                  </w:pPr>
                </w:p>
              </w:tc>
            </w:tr>
          </w:tbl>
          <w:p>
            <w:pPr>
              <w:pStyle w:val="40"/>
              <w:keepNext w:val="0"/>
              <w:keepLines w:val="0"/>
              <w:pageBreakBefore w:val="0"/>
              <w:widowControl w:val="0"/>
              <w:kinsoku/>
              <w:wordWrap/>
              <w:overflowPunct/>
              <w:topLinePunct w:val="0"/>
              <w:autoSpaceDE/>
              <w:autoSpaceDN/>
              <w:bidi w:val="0"/>
              <w:adjustRightInd/>
              <w:snapToGrid/>
              <w:spacing w:before="0" w:after="0" w:line="360" w:lineRule="auto"/>
              <w:ind w:right="0" w:firstLine="480" w:firstLineChars="200"/>
              <w:jc w:val="left"/>
              <w:textAlignment w:val="auto"/>
              <w:outlineLvl w:val="9"/>
              <w:rPr>
                <w:rFonts w:hint="eastAsia" w:cs="Times New Roman"/>
                <w:color w:val="auto"/>
                <w:kern w:val="2"/>
                <w:sz w:val="22"/>
                <w:szCs w:val="21"/>
                <w:highlight w:val="none"/>
                <w:lang w:val="zh-CN"/>
              </w:rPr>
            </w:pPr>
            <w:r>
              <w:rPr>
                <w:rFonts w:hint="eastAsia" w:cs="Times New Roman"/>
                <w:color w:val="auto"/>
                <w:kern w:val="2"/>
                <w:sz w:val="22"/>
                <w:szCs w:val="21"/>
                <w:highlight w:val="none"/>
                <w:lang w:val="zh-CN"/>
              </w:rPr>
              <w:t>（</w:t>
            </w:r>
            <w:r>
              <w:rPr>
                <w:rFonts w:hint="eastAsia" w:cs="Times New Roman"/>
                <w:color w:val="auto"/>
                <w:kern w:val="2"/>
                <w:sz w:val="22"/>
                <w:szCs w:val="21"/>
                <w:highlight w:val="none"/>
                <w:lang w:val="en-US" w:eastAsia="zh-CN"/>
              </w:rPr>
              <w:t>2</w:t>
            </w:r>
            <w:r>
              <w:rPr>
                <w:rFonts w:hint="eastAsia" w:cs="Times New Roman"/>
                <w:color w:val="auto"/>
                <w:kern w:val="2"/>
                <w:sz w:val="22"/>
                <w:szCs w:val="21"/>
                <w:highlight w:val="none"/>
                <w:lang w:val="zh-CN"/>
              </w:rPr>
              <w:t>）</w:t>
            </w:r>
            <w:r>
              <w:rPr>
                <w:rFonts w:hint="eastAsia" w:ascii="Times New Roman" w:hAnsi="Times New Roman" w:eastAsia="宋体" w:cs="Times New Roman"/>
                <w:color w:val="auto"/>
                <w:kern w:val="2"/>
                <w:sz w:val="22"/>
                <w:szCs w:val="21"/>
                <w:highlight w:val="none"/>
                <w:lang w:val="zh-CN" w:eastAsia="zh-CN"/>
              </w:rPr>
              <w:t>运营</w:t>
            </w:r>
            <w:r>
              <w:rPr>
                <w:rFonts w:hint="eastAsia" w:cs="Times New Roman"/>
                <w:color w:val="auto"/>
                <w:kern w:val="2"/>
                <w:sz w:val="22"/>
                <w:szCs w:val="21"/>
                <w:highlight w:val="none"/>
                <w:lang w:val="zh-CN"/>
              </w:rPr>
              <w:t>期</w:t>
            </w:r>
          </w:p>
          <w:p>
            <w:pPr>
              <w:pStyle w:val="40"/>
              <w:keepNext w:val="0"/>
              <w:keepLines w:val="0"/>
              <w:pageBreakBefore w:val="0"/>
              <w:widowControl w:val="0"/>
              <w:kinsoku/>
              <w:wordWrap/>
              <w:overflowPunct/>
              <w:topLinePunct w:val="0"/>
              <w:autoSpaceDE/>
              <w:autoSpaceDN/>
              <w:bidi w:val="0"/>
              <w:adjustRightInd/>
              <w:snapToGrid/>
              <w:spacing w:before="0" w:after="0" w:line="360" w:lineRule="auto"/>
              <w:ind w:right="0" w:firstLine="480" w:firstLineChars="200"/>
              <w:jc w:val="left"/>
              <w:textAlignment w:val="auto"/>
              <w:outlineLvl w:val="9"/>
              <w:rPr>
                <w:rFonts w:hint="eastAsia" w:ascii="Times New Roman" w:hAnsi="Times New Roman" w:eastAsia="宋体" w:cs="Times New Roman"/>
                <w:color w:val="auto"/>
                <w:kern w:val="2"/>
                <w:sz w:val="22"/>
                <w:szCs w:val="21"/>
                <w:highlight w:val="none"/>
                <w:lang w:val="en-US" w:eastAsia="zh-CN"/>
              </w:rPr>
            </w:pPr>
            <w:r>
              <w:rPr>
                <w:rFonts w:hint="eastAsia" w:cs="Times New Roman"/>
                <w:color w:val="auto"/>
                <w:kern w:val="2"/>
                <w:sz w:val="22"/>
                <w:szCs w:val="21"/>
                <w:highlight w:val="none"/>
                <w:lang w:val="en-US" w:eastAsia="zh-CN"/>
              </w:rPr>
              <w:t>VOCs执行</w:t>
            </w:r>
            <w:r>
              <w:rPr>
                <w:rFonts w:hint="eastAsia" w:cs="Times New Roman"/>
                <w:color w:val="auto"/>
                <w:kern w:val="2"/>
                <w:sz w:val="22"/>
                <w:szCs w:val="21"/>
                <w:highlight w:val="none"/>
                <w:lang w:val="zh-CN"/>
              </w:rPr>
              <w:t>《四川省固定污染源大气挥发性有机物排放标准》（DB51/2377-2017）表</w:t>
            </w:r>
            <w:r>
              <w:rPr>
                <w:rFonts w:hint="eastAsia" w:cs="Times New Roman"/>
                <w:color w:val="auto"/>
                <w:kern w:val="2"/>
                <w:sz w:val="22"/>
                <w:szCs w:val="21"/>
                <w:highlight w:val="none"/>
                <w:lang w:val="en-US" w:eastAsia="zh-CN"/>
              </w:rPr>
              <w:t>3排放限值要求，厂界无组织VOCs执行</w:t>
            </w:r>
            <w:r>
              <w:rPr>
                <w:rFonts w:hint="eastAsia" w:cs="Times New Roman"/>
                <w:color w:val="auto"/>
                <w:kern w:val="2"/>
                <w:sz w:val="22"/>
                <w:szCs w:val="21"/>
                <w:highlight w:val="none"/>
                <w:lang w:val="zh-CN"/>
              </w:rPr>
              <w:t>《四川省固定污染源大气挥发性有机物排放标准》（DB51/2377-2017）表</w:t>
            </w:r>
            <w:r>
              <w:rPr>
                <w:rFonts w:hint="eastAsia" w:cs="Times New Roman"/>
                <w:color w:val="auto"/>
                <w:kern w:val="2"/>
                <w:sz w:val="22"/>
                <w:szCs w:val="21"/>
                <w:highlight w:val="none"/>
                <w:lang w:val="en-US" w:eastAsia="zh-CN"/>
              </w:rPr>
              <w:t>5排放限值要求，厂区内VOCs</w:t>
            </w:r>
            <w:r>
              <w:rPr>
                <w:rFonts w:hint="eastAsia" w:cs="Times New Roman"/>
                <w:color w:val="auto"/>
                <w:kern w:val="2"/>
                <w:sz w:val="22"/>
                <w:szCs w:val="21"/>
                <w:highlight w:val="none"/>
                <w:lang w:val="zh-CN"/>
              </w:rPr>
              <w:t>（</w:t>
            </w:r>
            <w:r>
              <w:rPr>
                <w:rFonts w:hint="eastAsia" w:cs="Times New Roman"/>
                <w:color w:val="auto"/>
                <w:kern w:val="2"/>
                <w:sz w:val="22"/>
                <w:szCs w:val="21"/>
                <w:highlight w:val="none"/>
                <w:lang w:val="en-US" w:eastAsia="zh-CN"/>
              </w:rPr>
              <w:t>以非甲烷总烃计</w:t>
            </w:r>
            <w:r>
              <w:rPr>
                <w:rFonts w:hint="eastAsia" w:cs="Times New Roman"/>
                <w:color w:val="auto"/>
                <w:kern w:val="2"/>
                <w:sz w:val="22"/>
                <w:szCs w:val="21"/>
                <w:highlight w:val="none"/>
                <w:lang w:val="zh-CN"/>
              </w:rPr>
              <w:t>）</w:t>
            </w:r>
            <w:r>
              <w:rPr>
                <w:rFonts w:hint="eastAsia" w:cs="Times New Roman"/>
                <w:color w:val="auto"/>
                <w:kern w:val="2"/>
                <w:sz w:val="22"/>
                <w:szCs w:val="21"/>
                <w:highlight w:val="none"/>
                <w:lang w:val="en-US" w:eastAsia="zh-CN"/>
              </w:rPr>
              <w:t>无组织排放执行《挥发性有机物无组织排放控制标准》（GB37822-2019）表A.1特别排放限值要求。颗粒物执</w:t>
            </w:r>
            <w:r>
              <w:rPr>
                <w:rFonts w:hint="eastAsia" w:ascii="Times New Roman" w:hAnsi="Times New Roman" w:eastAsia="宋体" w:cs="Times New Roman"/>
                <w:color w:val="auto"/>
                <w:kern w:val="2"/>
                <w:sz w:val="22"/>
                <w:szCs w:val="21"/>
                <w:highlight w:val="none"/>
                <w:lang w:val="en-US" w:eastAsia="zh-CN"/>
              </w:rPr>
              <w:t>行</w:t>
            </w:r>
            <w:r>
              <w:rPr>
                <w:rFonts w:hint="eastAsia" w:cs="Times New Roman"/>
                <w:color w:val="auto"/>
                <w:kern w:val="2"/>
                <w:sz w:val="22"/>
                <w:szCs w:val="21"/>
                <w:highlight w:val="none"/>
                <w:lang w:val="zh-CN"/>
              </w:rPr>
              <w:t>《大气污染物综合排放标准》（</w:t>
            </w:r>
            <w:r>
              <w:rPr>
                <w:rFonts w:hint="eastAsia" w:cs="Times New Roman"/>
                <w:color w:val="auto"/>
                <w:kern w:val="2"/>
                <w:sz w:val="22"/>
                <w:szCs w:val="21"/>
                <w:highlight w:val="none"/>
                <w:lang w:val="en-US" w:eastAsia="zh-CN"/>
              </w:rPr>
              <w:t>GB16297-1996</w:t>
            </w:r>
            <w:r>
              <w:rPr>
                <w:rFonts w:hint="eastAsia" w:cs="Times New Roman"/>
                <w:color w:val="auto"/>
                <w:kern w:val="2"/>
                <w:sz w:val="22"/>
                <w:szCs w:val="21"/>
                <w:highlight w:val="none"/>
                <w:lang w:val="zh-CN"/>
              </w:rPr>
              <w:t>）表</w:t>
            </w:r>
            <w:r>
              <w:rPr>
                <w:rFonts w:hint="eastAsia" w:cs="Times New Roman"/>
                <w:color w:val="auto"/>
                <w:kern w:val="2"/>
                <w:sz w:val="22"/>
                <w:szCs w:val="21"/>
                <w:highlight w:val="none"/>
                <w:lang w:val="en-US" w:eastAsia="zh-CN"/>
              </w:rPr>
              <w:t>2排放限值要求。</w:t>
            </w:r>
          </w:p>
          <w:p>
            <w:pPr>
              <w:tabs>
                <w:tab w:val="left" w:pos="382"/>
              </w:tabs>
              <w:jc w:val="center"/>
              <w:rPr>
                <w:rFonts w:hint="default" w:ascii="Times New Roman" w:hAnsi="Times New Roman" w:cs="Times New Roman"/>
                <w:b/>
                <w:color w:val="auto"/>
                <w:highlight w:val="none"/>
                <w:lang w:val="en-US" w:eastAsia="zh-CN"/>
              </w:rPr>
            </w:pPr>
            <w:r>
              <w:rPr>
                <w:rFonts w:hint="default" w:ascii="Times New Roman" w:hAnsi="Times New Roman" w:cs="Times New Roman"/>
                <w:b/>
                <w:color w:val="auto"/>
                <w:highlight w:val="none"/>
                <w:lang w:val="en-US" w:eastAsia="zh-CN"/>
              </w:rPr>
              <w:t>表3-</w:t>
            </w:r>
            <w:r>
              <w:rPr>
                <w:rFonts w:hint="eastAsia" w:ascii="Times New Roman" w:hAnsi="Times New Roman" w:cs="Times New Roman"/>
                <w:b/>
                <w:color w:val="auto"/>
                <w:highlight w:val="none"/>
                <w:lang w:val="en-US" w:eastAsia="zh-CN"/>
              </w:rPr>
              <w:t>8</w:t>
            </w:r>
            <w:r>
              <w:rPr>
                <w:rFonts w:hint="default" w:ascii="Times New Roman" w:hAnsi="Times New Roman" w:cs="Times New Roman"/>
                <w:b/>
                <w:color w:val="auto"/>
                <w:highlight w:val="none"/>
                <w:lang w:val="en-US" w:eastAsia="zh-CN"/>
              </w:rPr>
              <w:t xml:space="preserve"> </w:t>
            </w:r>
            <w:r>
              <w:rPr>
                <w:rFonts w:hint="eastAsia" w:ascii="Times New Roman" w:hAnsi="Times New Roman" w:cs="Times New Roman"/>
                <w:b/>
                <w:color w:val="auto"/>
                <w:highlight w:val="none"/>
                <w:lang w:val="en-US" w:eastAsia="zh-CN"/>
              </w:rPr>
              <w:t>项目</w:t>
            </w:r>
            <w:r>
              <w:rPr>
                <w:rFonts w:hint="default" w:ascii="Times New Roman" w:hAnsi="Times New Roman" w:cs="Times New Roman"/>
                <w:b/>
                <w:color w:val="auto"/>
                <w:highlight w:val="none"/>
                <w:lang w:val="en-US" w:eastAsia="zh-CN"/>
              </w:rPr>
              <w:t>废气排放标准</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425"/>
              <w:gridCol w:w="979"/>
              <w:gridCol w:w="980"/>
              <w:gridCol w:w="1650"/>
              <w:gridCol w:w="29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08" w:hRule="atLeast"/>
                <w:jc w:val="center"/>
              </w:trPr>
              <w:tc>
                <w:tcPr>
                  <w:tcW w:w="1425" w:type="dxa"/>
                  <w:vMerge w:val="restart"/>
                  <w:noWrap w:val="0"/>
                  <w:vAlign w:val="center"/>
                </w:tcPr>
                <w:p>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污染物</w:t>
                  </w:r>
                </w:p>
              </w:tc>
              <w:tc>
                <w:tcPr>
                  <w:tcW w:w="1959" w:type="dxa"/>
                  <w:gridSpan w:val="2"/>
                  <w:noWrap w:val="0"/>
                  <w:vAlign w:val="center"/>
                </w:tcPr>
                <w:p>
                  <w:pPr>
                    <w:adjustRightInd w:val="0"/>
                    <w:snapToGrid w:val="0"/>
                    <w:jc w:val="center"/>
                    <w:rPr>
                      <w:rFonts w:hint="eastAsia" w:ascii="Times New Roman" w:hAnsi="Times New Roman" w:cs="Times New Roman"/>
                      <w:color w:val="auto"/>
                      <w:highlight w:val="none"/>
                      <w:lang w:eastAsia="zh-CN"/>
                    </w:rPr>
                  </w:pPr>
                  <w:r>
                    <w:rPr>
                      <w:rFonts w:hint="eastAsia" w:ascii="Times New Roman" w:hAnsi="Times New Roman" w:cs="Times New Roman"/>
                      <w:color w:val="auto"/>
                      <w:highlight w:val="none"/>
                      <w:lang w:eastAsia="zh-CN"/>
                    </w:rPr>
                    <w:t>有组织</w:t>
                  </w:r>
                  <w:r>
                    <w:rPr>
                      <w:rFonts w:hint="default" w:ascii="Times New Roman" w:hAnsi="Times New Roman" w:cs="Times New Roman"/>
                      <w:color w:val="auto"/>
                      <w:highlight w:val="none"/>
                      <w:lang w:eastAsia="zh-CN"/>
                    </w:rPr>
                    <w:t>排放</w:t>
                  </w:r>
                </w:p>
              </w:tc>
              <w:tc>
                <w:tcPr>
                  <w:tcW w:w="1650" w:type="dxa"/>
                  <w:vMerge w:val="restart"/>
                  <w:noWrap w:val="0"/>
                  <w:vAlign w:val="center"/>
                </w:tcPr>
                <w:p>
                  <w:pPr>
                    <w:adjustRightInd w:val="0"/>
                    <w:snapToGrid w:val="0"/>
                    <w:jc w:val="center"/>
                    <w:rPr>
                      <w:rFonts w:hint="default" w:ascii="Times New Roman" w:hAnsi="Times New Roman" w:cs="Times New Roman"/>
                      <w:color w:val="auto"/>
                      <w:highlight w:val="none"/>
                      <w:lang w:eastAsia="zh-CN"/>
                    </w:rPr>
                  </w:pPr>
                  <w:r>
                    <w:rPr>
                      <w:rFonts w:hint="eastAsia" w:ascii="Times New Roman" w:hAnsi="Times New Roman" w:cs="Times New Roman"/>
                      <w:color w:val="auto"/>
                      <w:highlight w:val="none"/>
                      <w:lang w:eastAsia="zh-CN"/>
                    </w:rPr>
                    <w:t>无组织</w:t>
                  </w:r>
                  <w:r>
                    <w:rPr>
                      <w:rFonts w:hint="default" w:ascii="Times New Roman" w:hAnsi="Times New Roman" w:cs="Times New Roman"/>
                      <w:color w:val="auto"/>
                      <w:highlight w:val="none"/>
                      <w:lang w:eastAsia="zh-CN"/>
                    </w:rPr>
                    <w:t>排放</w:t>
                  </w:r>
                  <w:r>
                    <w:rPr>
                      <w:rFonts w:hint="eastAsia" w:ascii="Times New Roman" w:hAnsi="Times New Roman" w:cs="Times New Roman"/>
                      <w:color w:val="auto"/>
                      <w:highlight w:val="none"/>
                      <w:lang w:eastAsia="zh-CN"/>
                    </w:rPr>
                    <w:t>浓度</w:t>
                  </w:r>
                </w:p>
              </w:tc>
              <w:tc>
                <w:tcPr>
                  <w:tcW w:w="2917" w:type="dxa"/>
                  <w:vMerge w:val="restart"/>
                  <w:noWrap w:val="0"/>
                  <w:vAlign w:val="center"/>
                </w:tcPr>
                <w:p>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08" w:hRule="atLeast"/>
                <w:jc w:val="center"/>
              </w:trPr>
              <w:tc>
                <w:tcPr>
                  <w:tcW w:w="1425" w:type="dxa"/>
                  <w:vMerge w:val="continue"/>
                  <w:noWrap w:val="0"/>
                  <w:vAlign w:val="center"/>
                </w:tcPr>
                <w:p>
                  <w:pPr>
                    <w:adjustRightInd w:val="0"/>
                    <w:snapToGrid w:val="0"/>
                    <w:jc w:val="center"/>
                    <w:rPr>
                      <w:rFonts w:hint="default" w:ascii="Times New Roman" w:hAnsi="Times New Roman" w:cs="Times New Roman"/>
                      <w:color w:val="auto"/>
                      <w:highlight w:val="none"/>
                    </w:rPr>
                  </w:pPr>
                </w:p>
              </w:tc>
              <w:tc>
                <w:tcPr>
                  <w:tcW w:w="979" w:type="dxa"/>
                  <w:noWrap w:val="0"/>
                  <w:vAlign w:val="center"/>
                </w:tcPr>
                <w:p>
                  <w:pPr>
                    <w:adjustRightInd w:val="0"/>
                    <w:snapToGrid w:val="0"/>
                    <w:jc w:val="center"/>
                    <w:rPr>
                      <w:rFonts w:hint="eastAsia" w:ascii="Times New Roman" w:hAnsi="Times New Roman" w:cs="Times New Roman"/>
                      <w:color w:val="auto"/>
                      <w:highlight w:val="none"/>
                      <w:lang w:eastAsia="zh-CN"/>
                    </w:rPr>
                  </w:pPr>
                  <w:r>
                    <w:rPr>
                      <w:rFonts w:hint="eastAsia" w:ascii="Times New Roman" w:hAnsi="Times New Roman" w:cs="Times New Roman"/>
                      <w:color w:val="auto"/>
                      <w:highlight w:val="none"/>
                      <w:lang w:eastAsia="zh-CN"/>
                    </w:rPr>
                    <w:t>浓度</w:t>
                  </w:r>
                </w:p>
              </w:tc>
              <w:tc>
                <w:tcPr>
                  <w:tcW w:w="980" w:type="dxa"/>
                  <w:noWrap w:val="0"/>
                  <w:vAlign w:val="center"/>
                </w:tcPr>
                <w:p>
                  <w:pPr>
                    <w:adjustRightInd w:val="0"/>
                    <w:snapToGrid w:val="0"/>
                    <w:jc w:val="center"/>
                    <w:rPr>
                      <w:rFonts w:hint="eastAsia" w:ascii="Times New Roman" w:hAnsi="Times New Roman" w:cs="Times New Roman"/>
                      <w:color w:val="auto"/>
                      <w:highlight w:val="none"/>
                      <w:lang w:eastAsia="zh-CN"/>
                    </w:rPr>
                  </w:pPr>
                  <w:r>
                    <w:rPr>
                      <w:rFonts w:hint="eastAsia" w:ascii="Times New Roman" w:hAnsi="Times New Roman" w:cs="Times New Roman"/>
                      <w:color w:val="auto"/>
                      <w:highlight w:val="none"/>
                      <w:lang w:eastAsia="zh-CN"/>
                    </w:rPr>
                    <w:t>速率</w:t>
                  </w:r>
                </w:p>
              </w:tc>
              <w:tc>
                <w:tcPr>
                  <w:tcW w:w="1650" w:type="dxa"/>
                  <w:vMerge w:val="continue"/>
                  <w:noWrap w:val="0"/>
                  <w:vAlign w:val="center"/>
                </w:tcPr>
                <w:p>
                  <w:pPr>
                    <w:adjustRightInd w:val="0"/>
                    <w:snapToGrid w:val="0"/>
                    <w:jc w:val="center"/>
                    <w:rPr>
                      <w:rFonts w:hint="eastAsia" w:ascii="Times New Roman" w:hAnsi="Times New Roman" w:cs="Times New Roman"/>
                      <w:color w:val="auto"/>
                      <w:highlight w:val="none"/>
                      <w:lang w:eastAsia="zh-CN"/>
                    </w:rPr>
                  </w:pPr>
                </w:p>
              </w:tc>
              <w:tc>
                <w:tcPr>
                  <w:tcW w:w="2917" w:type="dxa"/>
                  <w:vMerge w:val="continue"/>
                  <w:noWrap w:val="0"/>
                  <w:vAlign w:val="center"/>
                </w:tcPr>
                <w:p>
                  <w:pPr>
                    <w:adjustRightInd w:val="0"/>
                    <w:snapToGrid w:val="0"/>
                    <w:jc w:val="center"/>
                    <w:rPr>
                      <w:rFonts w:hint="default" w:ascii="Times New Roman" w:hAnsi="Times New Roman"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64" w:hRule="atLeast"/>
                <w:jc w:val="center"/>
              </w:trPr>
              <w:tc>
                <w:tcPr>
                  <w:tcW w:w="1425" w:type="dxa"/>
                  <w:noWrap w:val="0"/>
                  <w:vAlign w:val="center"/>
                </w:tcPr>
                <w:p>
                  <w:pPr>
                    <w:adjustRightInd w:val="0"/>
                    <w:snapToGrid w:val="0"/>
                    <w:jc w:val="center"/>
                    <w:rPr>
                      <w:rFonts w:hint="eastAsia" w:ascii="Times New Roman" w:hAnsi="Times New Roman" w:cs="Times New Roman"/>
                      <w:color w:val="auto"/>
                      <w:highlight w:val="none"/>
                      <w:lang w:eastAsia="zh-CN"/>
                    </w:rPr>
                  </w:pPr>
                  <w:r>
                    <w:rPr>
                      <w:rFonts w:hint="default" w:ascii="Times New Roman" w:hAnsi="Times New Roman" w:cs="Times New Roman"/>
                      <w:color w:val="auto"/>
                      <w:highlight w:val="none"/>
                    </w:rPr>
                    <w:t>颗粒物</w:t>
                  </w:r>
                </w:p>
              </w:tc>
              <w:tc>
                <w:tcPr>
                  <w:tcW w:w="979" w:type="dxa"/>
                  <w:noWrap w:val="0"/>
                  <w:vAlign w:val="center"/>
                </w:tcPr>
                <w:p>
                  <w:pPr>
                    <w:adjustRightInd w:val="0"/>
                    <w:snapToGrid w:val="0"/>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120mg/m</w:t>
                  </w:r>
                  <w:r>
                    <w:rPr>
                      <w:rFonts w:hint="eastAsia" w:ascii="Times New Roman" w:hAnsi="Times New Roman" w:cs="Times New Roman"/>
                      <w:color w:val="auto"/>
                      <w:highlight w:val="none"/>
                      <w:vertAlign w:val="superscript"/>
                      <w:lang w:val="en-US" w:eastAsia="zh-CN"/>
                    </w:rPr>
                    <w:t>3</w:t>
                  </w:r>
                </w:p>
              </w:tc>
              <w:tc>
                <w:tcPr>
                  <w:tcW w:w="980" w:type="dxa"/>
                  <w:noWrap w:val="0"/>
                  <w:vAlign w:val="center"/>
                </w:tcPr>
                <w:p>
                  <w:pPr>
                    <w:adjustRightInd w:val="0"/>
                    <w:snapToGrid w:val="0"/>
                    <w:jc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3.5kg/h</w:t>
                  </w:r>
                </w:p>
              </w:tc>
              <w:tc>
                <w:tcPr>
                  <w:tcW w:w="1650" w:type="dxa"/>
                  <w:noWrap w:val="0"/>
                  <w:vAlign w:val="center"/>
                </w:tcPr>
                <w:p>
                  <w:pPr>
                    <w:adjustRightInd w:val="0"/>
                    <w:snapToGrid w:val="0"/>
                    <w:jc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1.0mg/m</w:t>
                  </w:r>
                  <w:r>
                    <w:rPr>
                      <w:rFonts w:hint="eastAsia" w:ascii="Times New Roman" w:hAnsi="Times New Roman" w:cs="Times New Roman"/>
                      <w:color w:val="auto"/>
                      <w:highlight w:val="none"/>
                      <w:vertAlign w:val="superscript"/>
                      <w:lang w:val="en-US" w:eastAsia="zh-CN"/>
                    </w:rPr>
                    <w:t>3</w:t>
                  </w:r>
                </w:p>
              </w:tc>
              <w:tc>
                <w:tcPr>
                  <w:tcW w:w="2917" w:type="dxa"/>
                  <w:noWrap w:val="0"/>
                  <w:vAlign w:val="center"/>
                </w:tcPr>
                <w:p>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《大气污染物综合排放标准》（GB16297-1996）表2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56" w:hRule="atLeast"/>
                <w:jc w:val="center"/>
              </w:trPr>
              <w:tc>
                <w:tcPr>
                  <w:tcW w:w="1425" w:type="dxa"/>
                  <w:noWrap w:val="0"/>
                  <w:vAlign w:val="center"/>
                </w:tcPr>
                <w:p>
                  <w:pPr>
                    <w:adjustRightInd w:val="0"/>
                    <w:snapToGrid w:val="0"/>
                    <w:jc w:val="center"/>
                    <w:rPr>
                      <w:rFonts w:hint="default" w:ascii="Times New Roman" w:hAnsi="Times New Roman" w:cs="Times New Roman"/>
                      <w:color w:val="auto"/>
                      <w:highlight w:val="none"/>
                    </w:rPr>
                  </w:pPr>
                  <w:r>
                    <w:rPr>
                      <w:rFonts w:hint="eastAsia" w:ascii="Times New Roman" w:hAnsi="Times New Roman" w:cs="Times New Roman"/>
                      <w:color w:val="auto"/>
                      <w:highlight w:val="none"/>
                      <w:lang w:val="en-US" w:eastAsia="zh-CN"/>
                    </w:rPr>
                    <w:t>VOCs（以</w:t>
                  </w:r>
                  <w:r>
                    <w:rPr>
                      <w:rFonts w:hint="eastAsia" w:ascii="Times New Roman" w:hAnsi="Times New Roman" w:cs="Times New Roman"/>
                      <w:color w:val="auto"/>
                      <w:highlight w:val="none"/>
                      <w:lang w:eastAsia="zh-CN"/>
                    </w:rPr>
                    <w:t>非甲烷总烃计</w:t>
                  </w:r>
                  <w:r>
                    <w:rPr>
                      <w:rFonts w:hint="eastAsia" w:ascii="Times New Roman" w:hAnsi="Times New Roman" w:cs="Times New Roman"/>
                      <w:color w:val="auto"/>
                      <w:highlight w:val="none"/>
                      <w:lang w:val="en-US" w:eastAsia="zh-CN"/>
                    </w:rPr>
                    <w:t>）</w:t>
                  </w:r>
                </w:p>
              </w:tc>
              <w:tc>
                <w:tcPr>
                  <w:tcW w:w="979" w:type="dxa"/>
                  <w:noWrap w:val="0"/>
                  <w:vAlign w:val="center"/>
                </w:tcPr>
                <w:p>
                  <w:pPr>
                    <w:adjustRightInd w:val="0"/>
                    <w:snapToGrid w:val="0"/>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60mg/m</w:t>
                  </w:r>
                  <w:r>
                    <w:rPr>
                      <w:rFonts w:hint="eastAsia" w:ascii="Times New Roman" w:hAnsi="Times New Roman" w:cs="Times New Roman"/>
                      <w:color w:val="auto"/>
                      <w:highlight w:val="none"/>
                      <w:vertAlign w:val="superscript"/>
                      <w:lang w:val="en-US" w:eastAsia="zh-CN"/>
                    </w:rPr>
                    <w:t>3</w:t>
                  </w:r>
                </w:p>
              </w:tc>
              <w:tc>
                <w:tcPr>
                  <w:tcW w:w="980" w:type="dxa"/>
                  <w:noWrap w:val="0"/>
                  <w:vAlign w:val="center"/>
                </w:tcPr>
                <w:p>
                  <w:pPr>
                    <w:adjustRightInd w:val="0"/>
                    <w:snapToGrid w:val="0"/>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3.4kg/h</w:t>
                  </w:r>
                </w:p>
              </w:tc>
              <w:tc>
                <w:tcPr>
                  <w:tcW w:w="1650" w:type="dxa"/>
                  <w:noWrap w:val="0"/>
                  <w:vAlign w:val="center"/>
                </w:tcPr>
                <w:p>
                  <w:pPr>
                    <w:adjustRightInd w:val="0"/>
                    <w:snapToGrid w:val="0"/>
                    <w:jc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2.0mg/m</w:t>
                  </w:r>
                  <w:r>
                    <w:rPr>
                      <w:rFonts w:hint="eastAsia" w:ascii="Times New Roman" w:hAnsi="Times New Roman" w:cs="Times New Roman"/>
                      <w:color w:val="auto"/>
                      <w:highlight w:val="none"/>
                      <w:vertAlign w:val="superscript"/>
                      <w:lang w:val="en-US" w:eastAsia="zh-CN"/>
                    </w:rPr>
                    <w:t>3</w:t>
                  </w:r>
                </w:p>
              </w:tc>
              <w:tc>
                <w:tcPr>
                  <w:tcW w:w="2917" w:type="dxa"/>
                  <w:noWrap w:val="0"/>
                  <w:vAlign w:val="center"/>
                </w:tcPr>
                <w:p>
                  <w:pPr>
                    <w:adjustRightInd w:val="0"/>
                    <w:snapToGrid w:val="0"/>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《四川省固定污染源大气挥发性有机物排放标准》（DB51/2377-2017）</w:t>
                  </w:r>
                  <w:r>
                    <w:rPr>
                      <w:rFonts w:hint="eastAsia" w:ascii="Times New Roman" w:hAnsi="Times New Roman" w:cs="Times New Roman"/>
                      <w:color w:val="auto"/>
                      <w:highlight w:val="none"/>
                      <w:lang w:val="en-US" w:eastAsia="zh-CN"/>
                    </w:rPr>
                    <w:t>表3、表5要求</w:t>
                  </w:r>
                </w:p>
              </w:tc>
            </w:tr>
          </w:tbl>
          <w:p>
            <w:pPr>
              <w:tabs>
                <w:tab w:val="left" w:pos="382"/>
              </w:tabs>
              <w:jc w:val="center"/>
              <w:rPr>
                <w:rFonts w:hint="default" w:ascii="Times New Roman" w:hAnsi="Times New Roman" w:cs="Times New Roman"/>
                <w:b/>
                <w:color w:val="auto"/>
                <w:highlight w:val="none"/>
                <w:lang w:val="en-US" w:eastAsia="zh-CN"/>
              </w:rPr>
            </w:pPr>
            <w:r>
              <w:rPr>
                <w:rFonts w:hint="default" w:ascii="Times New Roman" w:hAnsi="Times New Roman" w:cs="Times New Roman"/>
                <w:b/>
                <w:color w:val="auto"/>
                <w:highlight w:val="none"/>
                <w:lang w:val="en-US" w:eastAsia="zh-CN"/>
              </w:rPr>
              <w:t>表3-</w:t>
            </w:r>
            <w:r>
              <w:rPr>
                <w:rFonts w:hint="eastAsia" w:ascii="Times New Roman" w:hAnsi="Times New Roman" w:cs="Times New Roman"/>
                <w:b/>
                <w:color w:val="auto"/>
                <w:highlight w:val="none"/>
                <w:lang w:val="en-US" w:eastAsia="zh-CN"/>
              </w:rPr>
              <w:t>9</w:t>
            </w:r>
            <w:r>
              <w:rPr>
                <w:rFonts w:hint="default" w:ascii="Times New Roman" w:hAnsi="Times New Roman" w:cs="Times New Roman"/>
                <w:b/>
                <w:color w:val="auto"/>
                <w:highlight w:val="none"/>
                <w:lang w:val="en-US" w:eastAsia="zh-CN"/>
              </w:rPr>
              <w:t xml:space="preserve"> </w:t>
            </w:r>
            <w:r>
              <w:rPr>
                <w:rFonts w:hint="eastAsia" w:ascii="Times New Roman" w:hAnsi="Times New Roman" w:cs="Times New Roman"/>
                <w:b/>
                <w:color w:val="auto"/>
                <w:highlight w:val="none"/>
                <w:lang w:val="en-US" w:eastAsia="zh-CN"/>
              </w:rPr>
              <w:t>项目厂内无组织有机</w:t>
            </w:r>
            <w:r>
              <w:rPr>
                <w:rFonts w:hint="default" w:ascii="Times New Roman" w:hAnsi="Times New Roman" w:cs="Times New Roman"/>
                <w:b/>
                <w:color w:val="auto"/>
                <w:highlight w:val="none"/>
                <w:lang w:val="en-US" w:eastAsia="zh-CN"/>
              </w:rPr>
              <w:t>废气排放标准</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05"/>
              <w:gridCol w:w="1400"/>
              <w:gridCol w:w="1550"/>
              <w:gridCol w:w="42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08" w:hRule="atLeast"/>
                <w:jc w:val="center"/>
              </w:trPr>
              <w:tc>
                <w:tcPr>
                  <w:tcW w:w="805" w:type="dxa"/>
                  <w:noWrap w:val="0"/>
                  <w:vAlign w:val="center"/>
                </w:tcPr>
                <w:p>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污染物</w:t>
                  </w:r>
                </w:p>
              </w:tc>
              <w:tc>
                <w:tcPr>
                  <w:tcW w:w="1400" w:type="dxa"/>
                  <w:noWrap w:val="0"/>
                  <w:vAlign w:val="center"/>
                </w:tcPr>
                <w:p>
                  <w:pPr>
                    <w:adjustRightInd w:val="0"/>
                    <w:snapToGrid w:val="0"/>
                    <w:jc w:val="center"/>
                    <w:rPr>
                      <w:rFonts w:hint="default" w:ascii="Times New Roman" w:hAnsi="Times New Roman" w:cs="Times New Roman"/>
                      <w:color w:val="auto"/>
                      <w:highlight w:val="none"/>
                    </w:rPr>
                  </w:pPr>
                  <w:r>
                    <w:rPr>
                      <w:rFonts w:hint="eastAsia" w:ascii="Times New Roman" w:hAnsi="Times New Roman" w:cs="Times New Roman"/>
                      <w:color w:val="auto"/>
                      <w:highlight w:val="none"/>
                      <w:lang w:eastAsia="zh-CN"/>
                    </w:rPr>
                    <w:t>特别</w:t>
                  </w:r>
                  <w:r>
                    <w:rPr>
                      <w:rFonts w:hint="default" w:ascii="Times New Roman" w:hAnsi="Times New Roman" w:cs="Times New Roman"/>
                      <w:color w:val="auto"/>
                      <w:highlight w:val="none"/>
                      <w:lang w:eastAsia="zh-CN"/>
                    </w:rPr>
                    <w:t>排放限值</w:t>
                  </w:r>
                </w:p>
              </w:tc>
              <w:tc>
                <w:tcPr>
                  <w:tcW w:w="1550" w:type="dxa"/>
                  <w:noWrap w:val="0"/>
                  <w:vAlign w:val="center"/>
                </w:tcPr>
                <w:p>
                  <w:pPr>
                    <w:adjustRightInd w:val="0"/>
                    <w:snapToGrid w:val="0"/>
                    <w:jc w:val="center"/>
                    <w:rPr>
                      <w:rFonts w:hint="default" w:ascii="Times New Roman" w:hAnsi="Times New Roman" w:cs="Times New Roman"/>
                      <w:color w:val="auto"/>
                      <w:highlight w:val="none"/>
                      <w:lang w:eastAsia="zh-CN"/>
                    </w:rPr>
                  </w:pPr>
                  <w:r>
                    <w:rPr>
                      <w:rFonts w:hint="eastAsia" w:ascii="Times New Roman" w:hAnsi="Times New Roman" w:cs="Times New Roman"/>
                      <w:color w:val="auto"/>
                      <w:highlight w:val="none"/>
                      <w:lang w:eastAsia="zh-CN"/>
                    </w:rPr>
                    <w:t>限值含义</w:t>
                  </w:r>
                </w:p>
              </w:tc>
              <w:tc>
                <w:tcPr>
                  <w:tcW w:w="4205" w:type="dxa"/>
                  <w:noWrap w:val="0"/>
                  <w:vAlign w:val="center"/>
                </w:tcPr>
                <w:p>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56" w:hRule="atLeast"/>
                <w:jc w:val="center"/>
              </w:trPr>
              <w:tc>
                <w:tcPr>
                  <w:tcW w:w="805" w:type="dxa"/>
                  <w:vMerge w:val="restart"/>
                  <w:noWrap w:val="0"/>
                  <w:vAlign w:val="center"/>
                </w:tcPr>
                <w:p>
                  <w:pPr>
                    <w:adjustRightInd w:val="0"/>
                    <w:snapToGrid w:val="0"/>
                    <w:jc w:val="center"/>
                    <w:rPr>
                      <w:rFonts w:hint="eastAsia"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NMHC</w:t>
                  </w:r>
                </w:p>
              </w:tc>
              <w:tc>
                <w:tcPr>
                  <w:tcW w:w="1400" w:type="dxa"/>
                  <w:noWrap w:val="0"/>
                  <w:vAlign w:val="center"/>
                </w:tcPr>
                <w:p>
                  <w:pPr>
                    <w:adjustRightInd w:val="0"/>
                    <w:snapToGrid w:val="0"/>
                    <w:jc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6mg/m</w:t>
                  </w:r>
                  <w:r>
                    <w:rPr>
                      <w:rFonts w:hint="eastAsia" w:ascii="Times New Roman" w:hAnsi="Times New Roman" w:cs="Times New Roman"/>
                      <w:color w:val="auto"/>
                      <w:highlight w:val="none"/>
                      <w:vertAlign w:val="superscript"/>
                      <w:lang w:val="en-US" w:eastAsia="zh-CN"/>
                    </w:rPr>
                    <w:t>3</w:t>
                  </w:r>
                </w:p>
              </w:tc>
              <w:tc>
                <w:tcPr>
                  <w:tcW w:w="1550" w:type="dxa"/>
                  <w:noWrap w:val="0"/>
                  <w:vAlign w:val="center"/>
                </w:tcPr>
                <w:p>
                  <w:pPr>
                    <w:adjustRightInd w:val="0"/>
                    <w:snapToGrid w:val="0"/>
                    <w:jc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监控点处1h平均浓度值</w:t>
                  </w:r>
                </w:p>
              </w:tc>
              <w:tc>
                <w:tcPr>
                  <w:tcW w:w="4205" w:type="dxa"/>
                  <w:vMerge w:val="restart"/>
                  <w:noWrap w:val="0"/>
                  <w:vAlign w:val="center"/>
                </w:tcPr>
                <w:p>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《挥发性有机物无组织排放控制标准》（GB37822-2019）表A.1中特别排放限值要求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56" w:hRule="atLeast"/>
                <w:jc w:val="center"/>
              </w:trPr>
              <w:tc>
                <w:tcPr>
                  <w:tcW w:w="805" w:type="dxa"/>
                  <w:vMerge w:val="continue"/>
                  <w:noWrap w:val="0"/>
                  <w:vAlign w:val="center"/>
                </w:tcPr>
                <w:p>
                  <w:pPr>
                    <w:adjustRightInd w:val="0"/>
                    <w:snapToGrid w:val="0"/>
                    <w:jc w:val="center"/>
                    <w:rPr>
                      <w:rFonts w:hint="eastAsia" w:ascii="Times New Roman" w:hAnsi="Times New Roman" w:cs="Times New Roman"/>
                      <w:color w:val="auto"/>
                      <w:highlight w:val="none"/>
                      <w:lang w:val="en-US" w:eastAsia="zh-CN"/>
                    </w:rPr>
                  </w:pPr>
                </w:p>
              </w:tc>
              <w:tc>
                <w:tcPr>
                  <w:tcW w:w="1400" w:type="dxa"/>
                  <w:noWrap w:val="0"/>
                  <w:vAlign w:val="center"/>
                </w:tcPr>
                <w:p>
                  <w:pPr>
                    <w:adjustRightInd w:val="0"/>
                    <w:snapToGrid w:val="0"/>
                    <w:jc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20mg/m</w:t>
                  </w:r>
                  <w:r>
                    <w:rPr>
                      <w:rFonts w:hint="eastAsia" w:ascii="Times New Roman" w:hAnsi="Times New Roman" w:cs="Times New Roman"/>
                      <w:color w:val="auto"/>
                      <w:highlight w:val="none"/>
                      <w:vertAlign w:val="superscript"/>
                      <w:lang w:val="en-US" w:eastAsia="zh-CN"/>
                    </w:rPr>
                    <w:t>3</w:t>
                  </w:r>
                </w:p>
              </w:tc>
              <w:tc>
                <w:tcPr>
                  <w:tcW w:w="1550" w:type="dxa"/>
                  <w:noWrap w:val="0"/>
                  <w:vAlign w:val="center"/>
                </w:tcPr>
                <w:p>
                  <w:pPr>
                    <w:adjustRightInd w:val="0"/>
                    <w:snapToGrid w:val="0"/>
                    <w:jc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监控点处任意一次浓度值</w:t>
                  </w:r>
                </w:p>
              </w:tc>
              <w:tc>
                <w:tcPr>
                  <w:tcW w:w="4205" w:type="dxa"/>
                  <w:vMerge w:val="continue"/>
                  <w:noWrap w:val="0"/>
                  <w:vAlign w:val="center"/>
                </w:tcPr>
                <w:p>
                  <w:pPr>
                    <w:adjustRightInd w:val="0"/>
                    <w:snapToGrid w:val="0"/>
                    <w:jc w:val="center"/>
                    <w:rPr>
                      <w:rFonts w:hint="default" w:ascii="Times New Roman" w:hAnsi="Times New Roman" w:cs="Times New Roman"/>
                      <w:color w:val="auto"/>
                      <w:highlight w:val="none"/>
                    </w:rPr>
                  </w:pPr>
                </w:p>
              </w:tc>
            </w:tr>
          </w:tbl>
          <w:p>
            <w:pPr>
              <w:pStyle w:val="40"/>
              <w:keepNext w:val="0"/>
              <w:keepLines w:val="0"/>
              <w:pageBreakBefore w:val="0"/>
              <w:widowControl w:val="0"/>
              <w:kinsoku/>
              <w:wordWrap/>
              <w:overflowPunct/>
              <w:topLinePunct w:val="0"/>
              <w:autoSpaceDE/>
              <w:autoSpaceDN/>
              <w:bidi w:val="0"/>
              <w:adjustRightInd/>
              <w:snapToGrid/>
              <w:spacing w:before="0" w:after="0" w:line="360" w:lineRule="auto"/>
              <w:ind w:right="0" w:firstLine="480" w:firstLineChars="200"/>
              <w:jc w:val="both"/>
              <w:textAlignment w:val="auto"/>
              <w:outlineLvl w:val="9"/>
              <w:rPr>
                <w:rFonts w:hint="eastAsia" w:ascii="Times New Roman" w:hAnsi="Times New Roman" w:eastAsia="宋体" w:cs="Times New Roman"/>
                <w:color w:val="auto"/>
                <w:kern w:val="2"/>
                <w:sz w:val="22"/>
                <w:szCs w:val="21"/>
                <w:highlight w:val="none"/>
                <w:lang w:val="en-US" w:eastAsia="zh-CN"/>
              </w:rPr>
            </w:pPr>
            <w:r>
              <w:rPr>
                <w:rFonts w:hint="eastAsia" w:ascii="Times New Roman" w:hAnsi="Times New Roman" w:eastAsia="宋体" w:cs="Times New Roman"/>
                <w:color w:val="auto"/>
                <w:kern w:val="2"/>
                <w:sz w:val="22"/>
                <w:szCs w:val="21"/>
                <w:highlight w:val="none"/>
                <w:lang w:val="zh-CN"/>
              </w:rPr>
              <w:t>本项目设有食堂，食堂油烟废气执行《饮食业油烟排放标准（试行）》（</w:t>
            </w:r>
            <w:r>
              <w:rPr>
                <w:rFonts w:hint="eastAsia" w:ascii="Times New Roman" w:hAnsi="Times New Roman" w:eastAsia="宋体" w:cs="Times New Roman"/>
                <w:color w:val="auto"/>
                <w:kern w:val="2"/>
                <w:sz w:val="22"/>
                <w:szCs w:val="21"/>
                <w:highlight w:val="none"/>
                <w:lang w:val="en-US" w:eastAsia="zh-CN"/>
              </w:rPr>
              <w:t>GB18483-2001</w:t>
            </w:r>
            <w:r>
              <w:rPr>
                <w:rFonts w:hint="eastAsia" w:ascii="Times New Roman" w:hAnsi="Times New Roman" w:eastAsia="宋体" w:cs="Times New Roman"/>
                <w:color w:val="auto"/>
                <w:kern w:val="2"/>
                <w:sz w:val="22"/>
                <w:szCs w:val="21"/>
                <w:highlight w:val="none"/>
                <w:lang w:val="zh-CN"/>
              </w:rPr>
              <w:t>）标准要求，具体指标见表</w:t>
            </w:r>
            <w:r>
              <w:rPr>
                <w:rFonts w:hint="eastAsia" w:ascii="Times New Roman" w:hAnsi="Times New Roman" w:eastAsia="宋体" w:cs="Times New Roman"/>
                <w:color w:val="auto"/>
                <w:kern w:val="2"/>
                <w:sz w:val="22"/>
                <w:szCs w:val="21"/>
                <w:highlight w:val="none"/>
                <w:lang w:val="en-US" w:eastAsia="zh-CN"/>
              </w:rPr>
              <w:t>3-10。</w:t>
            </w:r>
          </w:p>
          <w:p>
            <w:pPr>
              <w:tabs>
                <w:tab w:val="left" w:pos="382"/>
              </w:tabs>
              <w:jc w:val="center"/>
              <w:rPr>
                <w:rFonts w:hint="default" w:ascii="Times New Roman" w:hAnsi="Times New Roman" w:cs="Times New Roman"/>
                <w:b/>
                <w:color w:val="auto"/>
                <w:highlight w:val="none"/>
                <w:lang w:val="en-US" w:eastAsia="zh-CN"/>
              </w:rPr>
            </w:pPr>
            <w:r>
              <w:rPr>
                <w:rFonts w:hint="default" w:ascii="Times New Roman" w:hAnsi="Times New Roman" w:cs="Times New Roman"/>
                <w:b/>
                <w:color w:val="auto"/>
                <w:highlight w:val="none"/>
                <w:lang w:val="en-US" w:eastAsia="zh-CN"/>
              </w:rPr>
              <w:t>表3-</w:t>
            </w:r>
            <w:r>
              <w:rPr>
                <w:rFonts w:hint="eastAsia" w:ascii="Times New Roman" w:hAnsi="Times New Roman" w:cs="Times New Roman"/>
                <w:b/>
                <w:color w:val="auto"/>
                <w:highlight w:val="none"/>
                <w:lang w:val="en-US" w:eastAsia="zh-CN"/>
              </w:rPr>
              <w:t>10</w:t>
            </w:r>
            <w:r>
              <w:rPr>
                <w:rFonts w:hint="default" w:ascii="Times New Roman" w:hAnsi="Times New Roman" w:cs="Times New Roman"/>
                <w:b/>
                <w:color w:val="auto"/>
                <w:highlight w:val="none"/>
                <w:lang w:val="en-US" w:eastAsia="zh-CN"/>
              </w:rPr>
              <w:t xml:space="preserve"> </w:t>
            </w:r>
            <w:r>
              <w:rPr>
                <w:rFonts w:hint="eastAsia" w:ascii="Times New Roman" w:hAnsi="Times New Roman" w:cs="Times New Roman"/>
                <w:b/>
                <w:color w:val="auto"/>
                <w:highlight w:val="none"/>
                <w:lang w:val="en-US" w:eastAsia="zh-CN"/>
              </w:rPr>
              <w:t>《饮食业油烟排放标准》</w:t>
            </w:r>
          </w:p>
          <w:tbl>
            <w:tblPr>
              <w:tblStyle w:val="43"/>
              <w:tblW w:w="79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08"/>
              <w:gridCol w:w="1623"/>
              <w:gridCol w:w="1555"/>
              <w:gridCol w:w="15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8" w:type="dxa"/>
                  <w:noWrap w:val="0"/>
                  <w:vAlign w:val="center"/>
                </w:tcPr>
                <w:p>
                  <w:pPr>
                    <w:adjustRightInd w:val="0"/>
                    <w:snapToGrid w:val="0"/>
                    <w:jc w:val="center"/>
                    <w:rPr>
                      <w:rFonts w:hint="default" w:ascii="Times New Roman" w:hAnsi="Times New Roman" w:eastAsia="宋体" w:cs="Times New Roman"/>
                      <w:color w:val="auto"/>
                      <w:highlight w:val="none"/>
                      <w:lang w:val="zh-CN" w:eastAsia="zh-CN"/>
                    </w:rPr>
                  </w:pPr>
                  <w:r>
                    <w:rPr>
                      <w:rFonts w:hint="eastAsia" w:ascii="Times New Roman" w:hAnsi="Times New Roman" w:eastAsia="宋体" w:cs="Times New Roman"/>
                      <w:color w:val="auto"/>
                      <w:highlight w:val="none"/>
                      <w:lang w:val="zh-CN" w:eastAsia="zh-CN"/>
                    </w:rPr>
                    <w:t>规模</w:t>
                  </w:r>
                </w:p>
              </w:tc>
              <w:tc>
                <w:tcPr>
                  <w:tcW w:w="1623" w:type="dxa"/>
                  <w:noWrap w:val="0"/>
                  <w:vAlign w:val="center"/>
                </w:tcPr>
                <w:p>
                  <w:pPr>
                    <w:adjustRightInd w:val="0"/>
                    <w:snapToGrid w:val="0"/>
                    <w:jc w:val="center"/>
                    <w:rPr>
                      <w:rFonts w:hint="default" w:ascii="Times New Roman" w:hAnsi="Times New Roman" w:eastAsia="宋体" w:cs="Times New Roman"/>
                      <w:color w:val="auto"/>
                      <w:highlight w:val="none"/>
                      <w:lang w:val="zh-CN" w:eastAsia="zh-CN"/>
                    </w:rPr>
                  </w:pPr>
                  <w:r>
                    <w:rPr>
                      <w:rFonts w:hint="eastAsia" w:ascii="Times New Roman" w:hAnsi="Times New Roman" w:eastAsia="宋体" w:cs="Times New Roman"/>
                      <w:color w:val="auto"/>
                      <w:highlight w:val="none"/>
                      <w:lang w:val="zh-CN" w:eastAsia="zh-CN"/>
                    </w:rPr>
                    <w:t>小型</w:t>
                  </w:r>
                </w:p>
              </w:tc>
              <w:tc>
                <w:tcPr>
                  <w:tcW w:w="1555" w:type="dxa"/>
                  <w:noWrap w:val="0"/>
                  <w:vAlign w:val="center"/>
                </w:tcPr>
                <w:p>
                  <w:pPr>
                    <w:adjustRightInd w:val="0"/>
                    <w:snapToGrid w:val="0"/>
                    <w:jc w:val="center"/>
                    <w:rPr>
                      <w:rFonts w:hint="default" w:ascii="Times New Roman" w:hAnsi="Times New Roman" w:eastAsia="宋体" w:cs="Times New Roman"/>
                      <w:color w:val="auto"/>
                      <w:highlight w:val="none"/>
                      <w:lang w:val="zh-CN" w:eastAsia="zh-CN"/>
                    </w:rPr>
                  </w:pPr>
                  <w:r>
                    <w:rPr>
                      <w:rFonts w:hint="eastAsia" w:ascii="Times New Roman" w:hAnsi="Times New Roman" w:eastAsia="宋体" w:cs="Times New Roman"/>
                      <w:color w:val="auto"/>
                      <w:highlight w:val="none"/>
                      <w:lang w:val="zh-CN" w:eastAsia="zh-CN"/>
                    </w:rPr>
                    <w:t>中型</w:t>
                  </w:r>
                </w:p>
              </w:tc>
              <w:tc>
                <w:tcPr>
                  <w:tcW w:w="1588" w:type="dxa"/>
                  <w:noWrap w:val="0"/>
                  <w:vAlign w:val="center"/>
                </w:tcPr>
                <w:p>
                  <w:pPr>
                    <w:adjustRightInd w:val="0"/>
                    <w:snapToGrid w:val="0"/>
                    <w:jc w:val="center"/>
                    <w:rPr>
                      <w:rFonts w:hint="default" w:ascii="Times New Roman" w:hAnsi="Times New Roman" w:eastAsia="宋体" w:cs="Times New Roman"/>
                      <w:color w:val="auto"/>
                      <w:highlight w:val="none"/>
                      <w:lang w:val="zh-CN" w:eastAsia="zh-CN"/>
                    </w:rPr>
                  </w:pPr>
                  <w:r>
                    <w:rPr>
                      <w:rFonts w:hint="eastAsia" w:ascii="Times New Roman" w:hAnsi="Times New Roman" w:eastAsia="宋体" w:cs="Times New Roman"/>
                      <w:color w:val="auto"/>
                      <w:highlight w:val="none"/>
                      <w:lang w:val="zh-CN" w:eastAsia="zh-CN"/>
                    </w:rPr>
                    <w:t>大型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8" w:type="dxa"/>
                  <w:noWrap w:val="0"/>
                  <w:vAlign w:val="center"/>
                </w:tcPr>
                <w:p>
                  <w:pPr>
                    <w:adjustRightInd w:val="0"/>
                    <w:snapToGrid w:val="0"/>
                    <w:jc w:val="center"/>
                    <w:rPr>
                      <w:rFonts w:hint="default" w:ascii="Times New Roman" w:hAnsi="Times New Roman" w:eastAsia="宋体" w:cs="Times New Roman"/>
                      <w:color w:val="auto"/>
                      <w:highlight w:val="none"/>
                      <w:lang w:val="zh-CN" w:eastAsia="zh-CN"/>
                    </w:rPr>
                  </w:pPr>
                  <w:r>
                    <w:rPr>
                      <w:rFonts w:hint="eastAsia" w:ascii="Times New Roman" w:hAnsi="Times New Roman" w:eastAsia="宋体" w:cs="Times New Roman"/>
                      <w:color w:val="auto"/>
                      <w:highlight w:val="none"/>
                      <w:lang w:val="zh-CN" w:eastAsia="zh-CN"/>
                    </w:rPr>
                    <w:t>基准灶头</w:t>
                  </w:r>
                </w:p>
              </w:tc>
              <w:tc>
                <w:tcPr>
                  <w:tcW w:w="1623" w:type="dxa"/>
                  <w:noWrap w:val="0"/>
                  <w:vAlign w:val="center"/>
                </w:tcPr>
                <w:p>
                  <w:pPr>
                    <w:adjustRightInd w:val="0"/>
                    <w:snapToGrid w:val="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zh-CN" w:eastAsia="zh-CN"/>
                    </w:rPr>
                    <w:t>≥</w:t>
                  </w:r>
                  <w:r>
                    <w:rPr>
                      <w:rFonts w:hint="eastAsia" w:ascii="Times New Roman" w:hAnsi="Times New Roman" w:eastAsia="宋体" w:cs="Times New Roman"/>
                      <w:color w:val="auto"/>
                      <w:highlight w:val="none"/>
                      <w:lang w:val="en-US" w:eastAsia="zh-CN"/>
                    </w:rPr>
                    <w:t>1，＜3</w:t>
                  </w:r>
                </w:p>
              </w:tc>
              <w:tc>
                <w:tcPr>
                  <w:tcW w:w="1555" w:type="dxa"/>
                  <w:noWrap w:val="0"/>
                  <w:vAlign w:val="center"/>
                </w:tcPr>
                <w:p>
                  <w:pPr>
                    <w:adjustRightInd w:val="0"/>
                    <w:snapToGrid w:val="0"/>
                    <w:jc w:val="center"/>
                    <w:rPr>
                      <w:rFonts w:hint="default" w:ascii="Times New Roman" w:hAnsi="Times New Roman" w:eastAsia="宋体" w:cs="Times New Roman"/>
                      <w:color w:val="auto"/>
                      <w:highlight w:val="none"/>
                      <w:lang w:val="zh-CN" w:eastAsia="zh-CN"/>
                    </w:rPr>
                  </w:pPr>
                  <w:r>
                    <w:rPr>
                      <w:rFonts w:hint="eastAsia" w:ascii="Times New Roman" w:hAnsi="Times New Roman" w:eastAsia="宋体" w:cs="Times New Roman"/>
                      <w:color w:val="auto"/>
                      <w:highlight w:val="none"/>
                      <w:lang w:val="zh-CN" w:eastAsia="zh-CN"/>
                    </w:rPr>
                    <w:t>≥</w:t>
                  </w:r>
                  <w:r>
                    <w:rPr>
                      <w:rFonts w:hint="eastAsia" w:ascii="Times New Roman" w:hAnsi="Times New Roman" w:eastAsia="宋体" w:cs="Times New Roman"/>
                      <w:color w:val="auto"/>
                      <w:highlight w:val="none"/>
                      <w:lang w:val="en-US" w:eastAsia="zh-CN"/>
                    </w:rPr>
                    <w:t>3，＜6</w:t>
                  </w:r>
                </w:p>
              </w:tc>
              <w:tc>
                <w:tcPr>
                  <w:tcW w:w="1588" w:type="dxa"/>
                  <w:noWrap w:val="0"/>
                  <w:vAlign w:val="center"/>
                </w:tcPr>
                <w:p>
                  <w:pPr>
                    <w:adjustRightInd w:val="0"/>
                    <w:snapToGrid w:val="0"/>
                    <w:jc w:val="center"/>
                    <w:rPr>
                      <w:rFonts w:hint="default" w:ascii="Times New Roman" w:hAnsi="Times New Roman" w:eastAsia="宋体" w:cs="Times New Roman"/>
                      <w:color w:val="auto"/>
                      <w:highlight w:val="none"/>
                      <w:lang w:val="zh-CN" w:eastAsia="zh-CN"/>
                    </w:rPr>
                  </w:pPr>
                  <w:r>
                    <w:rPr>
                      <w:rFonts w:hint="eastAsia" w:ascii="Times New Roman" w:hAnsi="Times New Roman" w:eastAsia="宋体" w:cs="Times New Roman"/>
                      <w:color w:val="auto"/>
                      <w:highlight w:val="none"/>
                      <w:lang w:val="zh-CN" w:eastAsia="zh-CN"/>
                    </w:rPr>
                    <w:t>≥</w:t>
                  </w:r>
                  <w:r>
                    <w:rPr>
                      <w:rFonts w:hint="eastAsia" w:ascii="Times New Roman" w:hAnsi="Times New Roman" w:eastAsia="宋体" w:cs="Times New Roman"/>
                      <w:color w:val="auto"/>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8" w:type="dxa"/>
                  <w:noWrap w:val="0"/>
                  <w:vAlign w:val="center"/>
                </w:tcPr>
                <w:p>
                  <w:pPr>
                    <w:adjustRightInd w:val="0"/>
                    <w:snapToGrid w:val="0"/>
                    <w:jc w:val="center"/>
                    <w:rPr>
                      <w:rFonts w:hint="default" w:ascii="Times New Roman" w:hAnsi="Times New Roman" w:eastAsia="宋体" w:cs="Times New Roman"/>
                      <w:color w:val="auto"/>
                      <w:highlight w:val="none"/>
                      <w:lang w:val="zh-CN" w:eastAsia="zh-CN"/>
                    </w:rPr>
                  </w:pPr>
                  <w:r>
                    <w:rPr>
                      <w:rFonts w:hint="eastAsia" w:ascii="Times New Roman" w:hAnsi="Times New Roman" w:eastAsia="宋体" w:cs="Times New Roman"/>
                      <w:color w:val="auto"/>
                      <w:highlight w:val="none"/>
                      <w:lang w:val="zh-CN" w:eastAsia="zh-CN"/>
                    </w:rPr>
                    <w:t>对应灶头总功率（</w:t>
                  </w:r>
                  <w:r>
                    <w:rPr>
                      <w:rFonts w:hint="eastAsia" w:ascii="Times New Roman" w:hAnsi="Times New Roman" w:eastAsia="宋体" w:cs="Times New Roman"/>
                      <w:color w:val="auto"/>
                      <w:highlight w:val="none"/>
                      <w:lang w:val="en-US" w:eastAsia="zh-CN"/>
                    </w:rPr>
                    <w:t>10</w:t>
                  </w:r>
                  <w:r>
                    <w:rPr>
                      <w:rFonts w:hint="eastAsia" w:ascii="Times New Roman" w:hAnsi="Times New Roman" w:eastAsia="宋体" w:cs="Times New Roman"/>
                      <w:color w:val="auto"/>
                      <w:highlight w:val="none"/>
                      <w:vertAlign w:val="superscript"/>
                      <w:lang w:val="en-US" w:eastAsia="zh-CN"/>
                    </w:rPr>
                    <w:t>8</w:t>
                  </w:r>
                  <w:r>
                    <w:rPr>
                      <w:rFonts w:hint="eastAsia" w:ascii="Times New Roman" w:hAnsi="Times New Roman" w:eastAsia="宋体" w:cs="Times New Roman"/>
                      <w:color w:val="auto"/>
                      <w:highlight w:val="none"/>
                      <w:lang w:val="en-US" w:eastAsia="zh-CN"/>
                    </w:rPr>
                    <w:t>J/h</w:t>
                  </w:r>
                  <w:r>
                    <w:rPr>
                      <w:rFonts w:hint="eastAsia" w:ascii="Times New Roman" w:hAnsi="Times New Roman" w:eastAsia="宋体" w:cs="Times New Roman"/>
                      <w:color w:val="auto"/>
                      <w:highlight w:val="none"/>
                      <w:lang w:val="zh-CN" w:eastAsia="zh-CN"/>
                    </w:rPr>
                    <w:t>）</w:t>
                  </w:r>
                </w:p>
              </w:tc>
              <w:tc>
                <w:tcPr>
                  <w:tcW w:w="1623" w:type="dxa"/>
                  <w:noWrap w:val="0"/>
                  <w:vAlign w:val="center"/>
                </w:tcPr>
                <w:p>
                  <w:pPr>
                    <w:adjustRightInd w:val="0"/>
                    <w:snapToGrid w:val="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1.67，＜5.00</w:t>
                  </w:r>
                </w:p>
              </w:tc>
              <w:tc>
                <w:tcPr>
                  <w:tcW w:w="1555" w:type="dxa"/>
                  <w:noWrap w:val="0"/>
                  <w:vAlign w:val="center"/>
                </w:tcPr>
                <w:p>
                  <w:pPr>
                    <w:adjustRightInd w:val="0"/>
                    <w:snapToGrid w:val="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zh-CN" w:eastAsia="zh-CN"/>
                    </w:rPr>
                    <w:t>≥</w:t>
                  </w:r>
                  <w:r>
                    <w:rPr>
                      <w:rFonts w:hint="eastAsia" w:ascii="Times New Roman" w:hAnsi="Times New Roman" w:eastAsia="宋体" w:cs="Times New Roman"/>
                      <w:color w:val="auto"/>
                      <w:highlight w:val="none"/>
                      <w:lang w:val="en-US" w:eastAsia="zh-CN"/>
                    </w:rPr>
                    <w:t>5.00，＜10</w:t>
                  </w:r>
                </w:p>
              </w:tc>
              <w:tc>
                <w:tcPr>
                  <w:tcW w:w="1588" w:type="dxa"/>
                  <w:noWrap w:val="0"/>
                  <w:vAlign w:val="center"/>
                </w:tcPr>
                <w:p>
                  <w:pPr>
                    <w:adjustRightInd w:val="0"/>
                    <w:snapToGrid w:val="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zh-CN" w:eastAsia="zh-CN"/>
                    </w:rPr>
                    <w:t>≥</w:t>
                  </w:r>
                  <w:r>
                    <w:rPr>
                      <w:rFonts w:hint="eastAsia" w:ascii="Times New Roman" w:hAnsi="Times New Roman" w:eastAsia="宋体" w:cs="Times New Roman"/>
                      <w:color w:val="auto"/>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8" w:type="dxa"/>
                  <w:noWrap w:val="0"/>
                  <w:vAlign w:val="center"/>
                </w:tcPr>
                <w:p>
                  <w:pPr>
                    <w:adjustRightInd w:val="0"/>
                    <w:snapToGrid w:val="0"/>
                    <w:jc w:val="center"/>
                    <w:rPr>
                      <w:rFonts w:hint="default" w:ascii="Times New Roman" w:hAnsi="Times New Roman" w:eastAsia="宋体" w:cs="Times New Roman"/>
                      <w:color w:val="auto"/>
                      <w:highlight w:val="none"/>
                      <w:lang w:val="zh-CN" w:eastAsia="zh-CN"/>
                    </w:rPr>
                  </w:pPr>
                  <w:r>
                    <w:rPr>
                      <w:rFonts w:hint="eastAsia" w:ascii="Times New Roman" w:hAnsi="Times New Roman" w:eastAsia="宋体" w:cs="Times New Roman"/>
                      <w:color w:val="auto"/>
                      <w:highlight w:val="none"/>
                      <w:lang w:val="zh-CN" w:eastAsia="zh-CN"/>
                    </w:rPr>
                    <w:t>对应排气罩灶面总投影面积（</w:t>
                  </w:r>
                  <w:r>
                    <w:rPr>
                      <w:rFonts w:hint="eastAsia" w:ascii="Times New Roman" w:hAnsi="Times New Roman" w:eastAsia="宋体" w:cs="Times New Roman"/>
                      <w:color w:val="auto"/>
                      <w:highlight w:val="none"/>
                      <w:lang w:val="en-US" w:eastAsia="zh-CN"/>
                    </w:rPr>
                    <w:t>m</w:t>
                  </w:r>
                  <w:r>
                    <w:rPr>
                      <w:rFonts w:hint="eastAsia" w:ascii="Times New Roman" w:hAnsi="Times New Roman" w:eastAsia="宋体" w:cs="Times New Roman"/>
                      <w:color w:val="auto"/>
                      <w:highlight w:val="none"/>
                      <w:vertAlign w:val="superscript"/>
                      <w:lang w:val="en-US" w:eastAsia="zh-CN"/>
                    </w:rPr>
                    <w:t>2</w:t>
                  </w:r>
                  <w:r>
                    <w:rPr>
                      <w:rFonts w:hint="eastAsia" w:ascii="Times New Roman" w:hAnsi="Times New Roman" w:eastAsia="宋体" w:cs="Times New Roman"/>
                      <w:color w:val="auto"/>
                      <w:highlight w:val="none"/>
                      <w:lang w:val="zh-CN" w:eastAsia="zh-CN"/>
                    </w:rPr>
                    <w:t>）</w:t>
                  </w:r>
                </w:p>
              </w:tc>
              <w:tc>
                <w:tcPr>
                  <w:tcW w:w="1623" w:type="dxa"/>
                  <w:noWrap w:val="0"/>
                  <w:vAlign w:val="center"/>
                </w:tcPr>
                <w:p>
                  <w:pPr>
                    <w:adjustRightInd w:val="0"/>
                    <w:snapToGrid w:val="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zh-CN" w:eastAsia="zh-CN"/>
                    </w:rPr>
                    <w:t>≥</w:t>
                  </w:r>
                  <w:r>
                    <w:rPr>
                      <w:rFonts w:hint="eastAsia" w:ascii="Times New Roman" w:hAnsi="Times New Roman" w:eastAsia="宋体" w:cs="Times New Roman"/>
                      <w:color w:val="auto"/>
                      <w:highlight w:val="none"/>
                      <w:lang w:val="en-US" w:eastAsia="zh-CN"/>
                    </w:rPr>
                    <w:t>1.1，＜3.3</w:t>
                  </w:r>
                </w:p>
              </w:tc>
              <w:tc>
                <w:tcPr>
                  <w:tcW w:w="1555" w:type="dxa"/>
                  <w:noWrap w:val="0"/>
                  <w:vAlign w:val="center"/>
                </w:tcPr>
                <w:p>
                  <w:pPr>
                    <w:adjustRightInd w:val="0"/>
                    <w:snapToGrid w:val="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zh-CN" w:eastAsia="zh-CN"/>
                    </w:rPr>
                    <w:t>≥</w:t>
                  </w:r>
                  <w:r>
                    <w:rPr>
                      <w:rFonts w:hint="eastAsia" w:ascii="Times New Roman" w:hAnsi="Times New Roman" w:eastAsia="宋体" w:cs="Times New Roman"/>
                      <w:color w:val="auto"/>
                      <w:highlight w:val="none"/>
                      <w:lang w:val="en-US" w:eastAsia="zh-CN"/>
                    </w:rPr>
                    <w:t>3.3，＜6.6</w:t>
                  </w:r>
                </w:p>
              </w:tc>
              <w:tc>
                <w:tcPr>
                  <w:tcW w:w="1588" w:type="dxa"/>
                  <w:noWrap w:val="0"/>
                  <w:vAlign w:val="center"/>
                </w:tcPr>
                <w:p>
                  <w:pPr>
                    <w:adjustRightInd w:val="0"/>
                    <w:snapToGrid w:val="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zh-CN" w:eastAsia="zh-CN"/>
                    </w:rPr>
                    <w:t>≥</w:t>
                  </w:r>
                  <w:r>
                    <w:rPr>
                      <w:rFonts w:hint="eastAsia" w:ascii="Times New Roman" w:hAnsi="Times New Roman" w:eastAsia="宋体" w:cs="Times New Roman"/>
                      <w:color w:val="auto"/>
                      <w:highlight w:val="none"/>
                      <w:lang w:val="en-US" w:eastAsia="zh-CN"/>
                    </w:rPr>
                    <w:t>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8" w:type="dxa"/>
                  <w:noWrap w:val="0"/>
                  <w:vAlign w:val="center"/>
                </w:tcPr>
                <w:p>
                  <w:pPr>
                    <w:adjustRightInd w:val="0"/>
                    <w:snapToGrid w:val="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最高允许排放浓度（mg/m</w:t>
                  </w:r>
                  <w:r>
                    <w:rPr>
                      <w:rFonts w:hint="eastAsia" w:ascii="Times New Roman" w:hAnsi="Times New Roman" w:eastAsia="宋体" w:cs="Times New Roman"/>
                      <w:color w:val="auto"/>
                      <w:highlight w:val="none"/>
                      <w:vertAlign w:val="superscript"/>
                      <w:lang w:val="en-US" w:eastAsia="zh-CN"/>
                    </w:rPr>
                    <w:t>3</w:t>
                  </w:r>
                  <w:r>
                    <w:rPr>
                      <w:rFonts w:hint="eastAsia" w:ascii="Times New Roman" w:hAnsi="Times New Roman" w:eastAsia="宋体" w:cs="Times New Roman"/>
                      <w:color w:val="auto"/>
                      <w:highlight w:val="none"/>
                      <w:lang w:val="en-US" w:eastAsia="zh-CN"/>
                    </w:rPr>
                    <w:t>）</w:t>
                  </w:r>
                </w:p>
              </w:tc>
              <w:tc>
                <w:tcPr>
                  <w:tcW w:w="4766" w:type="dxa"/>
                  <w:gridSpan w:val="3"/>
                  <w:noWrap w:val="0"/>
                  <w:vAlign w:val="center"/>
                </w:tcPr>
                <w:p>
                  <w:pPr>
                    <w:adjustRightInd w:val="0"/>
                    <w:snapToGrid w:val="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8" w:type="dxa"/>
                  <w:noWrap w:val="0"/>
                  <w:vAlign w:val="center"/>
                </w:tcPr>
                <w:p>
                  <w:pPr>
                    <w:adjustRightInd w:val="0"/>
                    <w:snapToGrid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zh-CN" w:eastAsia="zh-CN"/>
                    </w:rPr>
                    <w:t>净化设施最低去除效率（</w:t>
                  </w:r>
                  <w:r>
                    <w:rPr>
                      <w:rFonts w:hint="eastAsia" w:ascii="Times New Roman" w:hAnsi="Times New Roman" w:eastAsia="宋体" w:cs="Times New Roman"/>
                      <w:color w:val="auto"/>
                      <w:highlight w:val="none"/>
                      <w:lang w:val="en-US" w:eastAsia="zh-CN"/>
                    </w:rPr>
                    <w:t>%</w:t>
                  </w:r>
                  <w:r>
                    <w:rPr>
                      <w:rFonts w:hint="eastAsia" w:ascii="Times New Roman" w:hAnsi="Times New Roman" w:eastAsia="宋体" w:cs="Times New Roman"/>
                      <w:color w:val="auto"/>
                      <w:highlight w:val="none"/>
                      <w:lang w:val="zh-CN" w:eastAsia="zh-CN"/>
                    </w:rPr>
                    <w:t>）</w:t>
                  </w:r>
                </w:p>
              </w:tc>
              <w:tc>
                <w:tcPr>
                  <w:tcW w:w="1623" w:type="dxa"/>
                  <w:noWrap w:val="0"/>
                  <w:vAlign w:val="center"/>
                </w:tcPr>
                <w:p>
                  <w:pPr>
                    <w:adjustRightInd w:val="0"/>
                    <w:snapToGrid w:val="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60</w:t>
                  </w:r>
                </w:p>
              </w:tc>
              <w:tc>
                <w:tcPr>
                  <w:tcW w:w="1555" w:type="dxa"/>
                  <w:noWrap w:val="0"/>
                  <w:vAlign w:val="center"/>
                </w:tcPr>
                <w:p>
                  <w:pPr>
                    <w:adjustRightInd w:val="0"/>
                    <w:snapToGrid w:val="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75</w:t>
                  </w:r>
                </w:p>
              </w:tc>
              <w:tc>
                <w:tcPr>
                  <w:tcW w:w="1588" w:type="dxa"/>
                  <w:noWrap w:val="0"/>
                  <w:vAlign w:val="center"/>
                </w:tcPr>
                <w:p>
                  <w:pPr>
                    <w:adjustRightInd w:val="0"/>
                    <w:snapToGrid w:val="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85</w:t>
                  </w:r>
                </w:p>
              </w:tc>
            </w:tr>
          </w:tbl>
          <w:p>
            <w:pPr>
              <w:pStyle w:val="113"/>
              <w:spacing w:line="360" w:lineRule="auto"/>
              <w:ind w:firstLine="442"/>
              <w:rPr>
                <w:rFonts w:hint="default" w:ascii="Times New Roman" w:hAnsi="Times New Roman" w:cs="Times New Roman"/>
                <w:b/>
                <w:bCs/>
                <w:color w:val="auto"/>
                <w:sz w:val="22"/>
                <w:szCs w:val="22"/>
                <w:highlight w:val="none"/>
                <w:lang w:val="zh-CN"/>
              </w:rPr>
            </w:pPr>
            <w:r>
              <w:rPr>
                <w:rFonts w:hint="default" w:ascii="Times New Roman" w:hAnsi="Times New Roman" w:cs="Times New Roman"/>
                <w:b/>
                <w:bCs/>
                <w:color w:val="auto"/>
                <w:sz w:val="22"/>
                <w:szCs w:val="22"/>
                <w:highlight w:val="none"/>
                <w:lang w:val="zh-CN"/>
              </w:rPr>
              <w:t>2、废水排放标准</w:t>
            </w:r>
          </w:p>
          <w:p>
            <w:pPr>
              <w:pStyle w:val="40"/>
              <w:keepNext w:val="0"/>
              <w:keepLines w:val="0"/>
              <w:pageBreakBefore w:val="0"/>
              <w:widowControl w:val="0"/>
              <w:kinsoku/>
              <w:wordWrap/>
              <w:overflowPunct/>
              <w:topLinePunct w:val="0"/>
              <w:autoSpaceDE/>
              <w:autoSpaceDN/>
              <w:bidi w:val="0"/>
              <w:adjustRightInd/>
              <w:snapToGrid/>
              <w:spacing w:before="0" w:after="0" w:line="360" w:lineRule="auto"/>
              <w:ind w:right="0" w:firstLine="480" w:firstLineChars="200"/>
              <w:jc w:val="both"/>
              <w:textAlignment w:val="auto"/>
              <w:outlineLvl w:val="9"/>
              <w:rPr>
                <w:rFonts w:hint="default" w:ascii="Times New Roman" w:hAnsi="Times New Roman" w:eastAsia="宋体" w:cs="Times New Roman"/>
                <w:color w:val="auto"/>
                <w:kern w:val="2"/>
                <w:sz w:val="22"/>
                <w:szCs w:val="21"/>
                <w:highlight w:val="yellow"/>
                <w:lang w:val="en-US" w:eastAsia="zh-CN"/>
              </w:rPr>
            </w:pPr>
            <w:r>
              <w:rPr>
                <w:rFonts w:hint="eastAsia" w:ascii="Times New Roman" w:hAnsi="Times New Roman" w:cs="Times New Roman"/>
                <w:bCs/>
                <w:color w:val="auto"/>
                <w:sz w:val="22"/>
                <w:szCs w:val="22"/>
                <w:highlight w:val="none"/>
                <w:lang w:val="en-US" w:eastAsia="zh-CN"/>
              </w:rPr>
              <w:t>本项目采用雨污分流制，雨水经雨水管接入市政雨水管网；项目磨边、清洗废水经循环水池沉淀后循环使用，不外排；冷却水循环使用，不外排；</w:t>
            </w:r>
            <w:r>
              <w:rPr>
                <w:rFonts w:hint="eastAsia" w:ascii="Times New Roman" w:hAnsi="Times New Roman" w:cs="Times New Roman"/>
                <w:color w:val="auto"/>
                <w:kern w:val="0"/>
                <w:sz w:val="21"/>
                <w:szCs w:val="21"/>
                <w:highlight w:val="none"/>
                <w:vertAlign w:val="baseline"/>
                <w:lang w:val="en-US" w:eastAsia="zh-CN"/>
              </w:rPr>
              <w:t>水帘柜废水循环使用，一年更换一次，排入乐山市工业集中区污水处理厂</w:t>
            </w:r>
            <w:r>
              <w:rPr>
                <w:rFonts w:hint="eastAsia" w:ascii="Times New Roman" w:hAnsi="Times New Roman" w:cs="Times New Roman"/>
                <w:bCs/>
                <w:color w:val="auto"/>
                <w:sz w:val="22"/>
                <w:szCs w:val="22"/>
                <w:highlight w:val="none"/>
                <w:lang w:val="en-US" w:eastAsia="zh-CN"/>
              </w:rPr>
              <w:t>；生活污水经预处理达《污水综合排放标准》（GB8978-1996）三级标准后排入乐山市工业集中区污水处理厂处理达</w:t>
            </w:r>
            <w:r>
              <w:rPr>
                <w:rFonts w:hint="eastAsia" w:ascii="Times New Roman" w:hAnsi="Times New Roman" w:eastAsia="宋体" w:cs="Times New Roman"/>
                <w:color w:val="auto"/>
                <w:sz w:val="22"/>
                <w:szCs w:val="22"/>
                <w:highlight w:val="none"/>
                <w:lang w:eastAsia="zh-CN"/>
              </w:rPr>
              <w:t>《四川省岷江、沱江流域水污染物排放标准》（DB51/2311-2016）工业园区集中式污水处理厂标准后排入</w:t>
            </w:r>
            <w:r>
              <w:rPr>
                <w:rFonts w:hint="eastAsia" w:ascii="Times New Roman" w:hAnsi="Times New Roman" w:eastAsia="宋体" w:cs="Times New Roman"/>
                <w:color w:val="auto"/>
                <w:sz w:val="22"/>
                <w:szCs w:val="22"/>
                <w:highlight w:val="none"/>
                <w:lang w:val="en-US" w:eastAsia="zh-CN"/>
              </w:rPr>
              <w:t>大渡</w:t>
            </w:r>
            <w:r>
              <w:rPr>
                <w:rFonts w:hint="eastAsia" w:ascii="Times New Roman" w:hAnsi="Times New Roman" w:eastAsia="宋体" w:cs="Times New Roman"/>
                <w:color w:val="auto"/>
                <w:sz w:val="22"/>
                <w:szCs w:val="22"/>
                <w:highlight w:val="none"/>
                <w:lang w:eastAsia="zh-CN"/>
              </w:rPr>
              <w:t>河</w:t>
            </w:r>
            <w:r>
              <w:rPr>
                <w:rFonts w:hint="eastAsia" w:ascii="Times New Roman" w:hAnsi="Times New Roman" w:cs="Times New Roman"/>
                <w:bCs/>
                <w:color w:val="auto"/>
                <w:sz w:val="22"/>
                <w:szCs w:val="22"/>
                <w:highlight w:val="none"/>
                <w:lang w:val="en-US" w:eastAsia="zh-CN"/>
              </w:rPr>
              <w:t>。</w:t>
            </w:r>
          </w:p>
          <w:p>
            <w:pPr>
              <w:tabs>
                <w:tab w:val="left" w:pos="382"/>
              </w:tabs>
              <w:jc w:val="center"/>
              <w:rPr>
                <w:rFonts w:hint="default" w:ascii="Times New Roman" w:hAnsi="Times New Roman" w:cs="Times New Roman"/>
                <w:b/>
                <w:color w:val="auto"/>
                <w:highlight w:val="none"/>
                <w:lang w:val="en-US" w:eastAsia="zh-CN"/>
              </w:rPr>
            </w:pPr>
            <w:r>
              <w:rPr>
                <w:rFonts w:hint="default" w:ascii="Times New Roman" w:hAnsi="Times New Roman" w:cs="Times New Roman"/>
                <w:b/>
                <w:color w:val="auto"/>
                <w:highlight w:val="none"/>
                <w:lang w:val="en-US" w:eastAsia="zh-CN"/>
              </w:rPr>
              <w:t>表3-</w:t>
            </w:r>
            <w:r>
              <w:rPr>
                <w:rFonts w:hint="eastAsia" w:ascii="Times New Roman" w:hAnsi="Times New Roman" w:cs="Times New Roman"/>
                <w:b/>
                <w:color w:val="auto"/>
                <w:highlight w:val="none"/>
                <w:lang w:val="en-US" w:eastAsia="zh-CN"/>
              </w:rPr>
              <w:t>11</w:t>
            </w:r>
            <w:r>
              <w:rPr>
                <w:rFonts w:hint="default" w:ascii="Times New Roman" w:hAnsi="Times New Roman" w:cs="Times New Roman"/>
                <w:b/>
                <w:color w:val="auto"/>
                <w:highlight w:val="none"/>
                <w:lang w:val="en-US" w:eastAsia="zh-CN"/>
              </w:rPr>
              <w:t xml:space="preserve">  污水综合排放标准</w:t>
            </w:r>
          </w:p>
          <w:tbl>
            <w:tblPr>
              <w:tblStyle w:val="42"/>
              <w:tblW w:w="0" w:type="auto"/>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1443"/>
              <w:gridCol w:w="1286"/>
              <w:gridCol w:w="1254"/>
              <w:gridCol w:w="1245"/>
              <w:gridCol w:w="1246"/>
              <w:gridCol w:w="1246"/>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1443" w:type="dxa"/>
                  <w:tcBorders>
                    <w:left w:val="nil"/>
                  </w:tcBorders>
                  <w:noWrap w:val="0"/>
                  <w:vAlign w:val="center"/>
                </w:tcPr>
                <w:p>
                  <w:pPr>
                    <w:adjustRightInd w:val="0"/>
                    <w:spacing w:line="260" w:lineRule="exact"/>
                    <w:jc w:val="center"/>
                    <w:textAlignment w:val="baseline"/>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pH</w:t>
                  </w:r>
                </w:p>
              </w:tc>
              <w:tc>
                <w:tcPr>
                  <w:tcW w:w="1286" w:type="dxa"/>
                  <w:noWrap w:val="0"/>
                  <w:vAlign w:val="center"/>
                </w:tcPr>
                <w:p>
                  <w:pPr>
                    <w:adjustRightInd w:val="0"/>
                    <w:spacing w:line="260" w:lineRule="exact"/>
                    <w:jc w:val="center"/>
                    <w:textAlignment w:val="baseline"/>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COD</w:t>
                  </w:r>
                </w:p>
              </w:tc>
              <w:tc>
                <w:tcPr>
                  <w:tcW w:w="1254" w:type="dxa"/>
                  <w:noWrap w:val="0"/>
                  <w:vAlign w:val="center"/>
                </w:tcPr>
                <w:p>
                  <w:pPr>
                    <w:adjustRightInd w:val="0"/>
                    <w:spacing w:line="260" w:lineRule="exact"/>
                    <w:jc w:val="center"/>
                    <w:textAlignment w:val="baseline"/>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BOD</w:t>
                  </w:r>
                  <w:r>
                    <w:rPr>
                      <w:rFonts w:hint="default" w:ascii="Times New Roman" w:hAnsi="Times New Roman" w:cs="Times New Roman"/>
                      <w:color w:val="auto"/>
                      <w:highlight w:val="none"/>
                      <w:vertAlign w:val="subscript"/>
                      <w:lang w:val="en-US" w:eastAsia="zh-CN"/>
                    </w:rPr>
                    <w:t>5</w:t>
                  </w:r>
                </w:p>
              </w:tc>
              <w:tc>
                <w:tcPr>
                  <w:tcW w:w="1245" w:type="dxa"/>
                  <w:noWrap w:val="0"/>
                  <w:vAlign w:val="center"/>
                </w:tcPr>
                <w:p>
                  <w:pPr>
                    <w:adjustRightInd w:val="0"/>
                    <w:spacing w:line="260" w:lineRule="exact"/>
                    <w:jc w:val="center"/>
                    <w:textAlignment w:val="baseline"/>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SS</w:t>
                  </w:r>
                </w:p>
              </w:tc>
              <w:tc>
                <w:tcPr>
                  <w:tcW w:w="1246" w:type="dxa"/>
                  <w:noWrap w:val="0"/>
                  <w:vAlign w:val="center"/>
                </w:tcPr>
                <w:p>
                  <w:pPr>
                    <w:adjustRightInd w:val="0"/>
                    <w:spacing w:line="260" w:lineRule="exact"/>
                    <w:jc w:val="center"/>
                    <w:textAlignment w:val="baseline"/>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氨氮</w:t>
                  </w:r>
                </w:p>
              </w:tc>
              <w:tc>
                <w:tcPr>
                  <w:tcW w:w="1246" w:type="dxa"/>
                  <w:tcBorders>
                    <w:right w:val="nil"/>
                  </w:tcBorders>
                  <w:noWrap w:val="0"/>
                  <w:vAlign w:val="center"/>
                </w:tcPr>
                <w:p>
                  <w:pPr>
                    <w:adjustRightInd w:val="0"/>
                    <w:spacing w:line="260" w:lineRule="exact"/>
                    <w:jc w:val="center"/>
                    <w:textAlignment w:val="baseline"/>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石油类</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1443" w:type="dxa"/>
                  <w:tcBorders>
                    <w:left w:val="nil"/>
                  </w:tcBorders>
                  <w:noWrap w:val="0"/>
                  <w:vAlign w:val="center"/>
                </w:tcPr>
                <w:p>
                  <w:pPr>
                    <w:adjustRightInd w:val="0"/>
                    <w:spacing w:line="260" w:lineRule="exact"/>
                    <w:jc w:val="center"/>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6-9</w:t>
                  </w:r>
                </w:p>
              </w:tc>
              <w:tc>
                <w:tcPr>
                  <w:tcW w:w="1286" w:type="dxa"/>
                  <w:noWrap w:val="0"/>
                  <w:vAlign w:val="center"/>
                </w:tcPr>
                <w:p>
                  <w:pPr>
                    <w:adjustRightInd w:val="0"/>
                    <w:spacing w:line="260" w:lineRule="exact"/>
                    <w:jc w:val="center"/>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500mg/L</w:t>
                  </w:r>
                </w:p>
              </w:tc>
              <w:tc>
                <w:tcPr>
                  <w:tcW w:w="1254" w:type="dxa"/>
                  <w:noWrap w:val="0"/>
                  <w:vAlign w:val="center"/>
                </w:tcPr>
                <w:p>
                  <w:pPr>
                    <w:adjustRightInd w:val="0"/>
                    <w:spacing w:line="260" w:lineRule="exact"/>
                    <w:jc w:val="center"/>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300mg/L</w:t>
                  </w:r>
                </w:p>
              </w:tc>
              <w:tc>
                <w:tcPr>
                  <w:tcW w:w="1245" w:type="dxa"/>
                  <w:noWrap w:val="0"/>
                  <w:vAlign w:val="center"/>
                </w:tcPr>
                <w:p>
                  <w:pPr>
                    <w:adjustRightInd w:val="0"/>
                    <w:spacing w:line="260" w:lineRule="exact"/>
                    <w:jc w:val="center"/>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400mg/L</w:t>
                  </w:r>
                </w:p>
              </w:tc>
              <w:tc>
                <w:tcPr>
                  <w:tcW w:w="1246" w:type="dxa"/>
                  <w:noWrap w:val="0"/>
                  <w:vAlign w:val="center"/>
                </w:tcPr>
                <w:p>
                  <w:pPr>
                    <w:adjustRightInd w:val="0"/>
                    <w:spacing w:line="260" w:lineRule="exact"/>
                    <w:jc w:val="center"/>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246" w:type="dxa"/>
                  <w:tcBorders>
                    <w:right w:val="nil"/>
                  </w:tcBorders>
                  <w:noWrap w:val="0"/>
                  <w:vAlign w:val="center"/>
                </w:tcPr>
                <w:p>
                  <w:pPr>
                    <w:adjustRightInd w:val="0"/>
                    <w:spacing w:line="260" w:lineRule="exact"/>
                    <w:jc w:val="center"/>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30mg/L</w:t>
                  </w:r>
                </w:p>
              </w:tc>
            </w:tr>
          </w:tbl>
          <w:p>
            <w:pPr>
              <w:pStyle w:val="113"/>
              <w:spacing w:line="360" w:lineRule="auto"/>
              <w:ind w:firstLine="442"/>
              <w:rPr>
                <w:rFonts w:hint="default" w:ascii="Times New Roman" w:hAnsi="Times New Roman" w:cs="Times New Roman"/>
                <w:b/>
                <w:bCs/>
                <w:color w:val="auto"/>
                <w:sz w:val="22"/>
                <w:szCs w:val="22"/>
                <w:highlight w:val="none"/>
                <w:lang w:val="zh-CN"/>
              </w:rPr>
            </w:pPr>
          </w:p>
          <w:p>
            <w:pPr>
              <w:pStyle w:val="113"/>
              <w:spacing w:line="360" w:lineRule="auto"/>
              <w:ind w:firstLine="442"/>
              <w:rPr>
                <w:rFonts w:hint="default" w:ascii="Times New Roman" w:hAnsi="Times New Roman" w:cs="Times New Roman"/>
                <w:b/>
                <w:bCs/>
                <w:color w:val="auto"/>
                <w:sz w:val="22"/>
                <w:szCs w:val="22"/>
                <w:highlight w:val="none"/>
                <w:lang w:val="zh-CN"/>
              </w:rPr>
            </w:pPr>
          </w:p>
          <w:p>
            <w:pPr>
              <w:pStyle w:val="113"/>
              <w:spacing w:line="360" w:lineRule="auto"/>
              <w:ind w:firstLine="442"/>
              <w:rPr>
                <w:rFonts w:hint="default" w:ascii="Times New Roman" w:hAnsi="Times New Roman" w:cs="Times New Roman"/>
                <w:b/>
                <w:bCs/>
                <w:color w:val="auto"/>
                <w:sz w:val="22"/>
                <w:szCs w:val="22"/>
                <w:highlight w:val="none"/>
                <w:lang w:val="zh-CN"/>
              </w:rPr>
            </w:pPr>
            <w:r>
              <w:rPr>
                <w:rFonts w:hint="default" w:ascii="Times New Roman" w:hAnsi="Times New Roman" w:cs="Times New Roman"/>
                <w:b/>
                <w:bCs/>
                <w:color w:val="auto"/>
                <w:sz w:val="22"/>
                <w:szCs w:val="22"/>
                <w:highlight w:val="none"/>
                <w:lang w:val="zh-CN"/>
              </w:rPr>
              <w:t>3、噪声执行标准</w:t>
            </w:r>
          </w:p>
          <w:p>
            <w:pPr>
              <w:pStyle w:val="40"/>
              <w:keepNext w:val="0"/>
              <w:keepLines w:val="0"/>
              <w:pageBreakBefore w:val="0"/>
              <w:widowControl w:val="0"/>
              <w:kinsoku/>
              <w:wordWrap/>
              <w:overflowPunct/>
              <w:topLinePunct w:val="0"/>
              <w:autoSpaceDE/>
              <w:autoSpaceDN/>
              <w:bidi w:val="0"/>
              <w:adjustRightInd/>
              <w:snapToGrid/>
              <w:spacing w:before="0" w:after="0" w:line="360" w:lineRule="auto"/>
              <w:ind w:right="0" w:firstLine="480" w:firstLineChars="200"/>
              <w:jc w:val="left"/>
              <w:textAlignment w:val="auto"/>
              <w:outlineLvl w:val="9"/>
              <w:rPr>
                <w:rFonts w:hint="default" w:ascii="Times New Roman" w:hAnsi="Times New Roman" w:cs="Times New Roman"/>
                <w:color w:val="auto"/>
                <w:kern w:val="2"/>
                <w:sz w:val="22"/>
                <w:szCs w:val="21"/>
                <w:highlight w:val="none"/>
                <w:lang w:val="zh-CN"/>
              </w:rPr>
            </w:pPr>
            <w:r>
              <w:rPr>
                <w:rFonts w:hint="eastAsia" w:cs="Times New Roman"/>
                <w:color w:val="auto"/>
                <w:kern w:val="2"/>
                <w:sz w:val="22"/>
                <w:szCs w:val="21"/>
                <w:highlight w:val="none"/>
                <w:lang w:val="zh-CN"/>
              </w:rPr>
              <w:t>（</w:t>
            </w:r>
            <w:r>
              <w:rPr>
                <w:rFonts w:hint="eastAsia" w:cs="Times New Roman"/>
                <w:color w:val="auto"/>
                <w:kern w:val="2"/>
                <w:sz w:val="22"/>
                <w:szCs w:val="21"/>
                <w:highlight w:val="none"/>
                <w:lang w:val="en-US" w:eastAsia="zh-CN"/>
              </w:rPr>
              <w:t>1</w:t>
            </w:r>
            <w:r>
              <w:rPr>
                <w:rFonts w:hint="eastAsia" w:cs="Times New Roman"/>
                <w:color w:val="auto"/>
                <w:kern w:val="2"/>
                <w:sz w:val="22"/>
                <w:szCs w:val="21"/>
                <w:highlight w:val="none"/>
                <w:lang w:val="zh-CN"/>
              </w:rPr>
              <w:t>）施工期</w:t>
            </w:r>
          </w:p>
          <w:p>
            <w:pPr>
              <w:pStyle w:val="40"/>
              <w:keepNext w:val="0"/>
              <w:keepLines w:val="0"/>
              <w:pageBreakBefore w:val="0"/>
              <w:widowControl w:val="0"/>
              <w:kinsoku/>
              <w:wordWrap/>
              <w:overflowPunct/>
              <w:topLinePunct w:val="0"/>
              <w:autoSpaceDE/>
              <w:autoSpaceDN/>
              <w:bidi w:val="0"/>
              <w:adjustRightInd/>
              <w:snapToGrid/>
              <w:spacing w:before="0" w:after="0" w:line="360" w:lineRule="auto"/>
              <w:ind w:right="0" w:firstLine="480" w:firstLineChars="200"/>
              <w:jc w:val="left"/>
              <w:textAlignment w:val="auto"/>
              <w:outlineLvl w:val="9"/>
              <w:rPr>
                <w:rFonts w:hint="default" w:ascii="Times New Roman" w:hAnsi="Times New Roman" w:eastAsia="宋体" w:cs="Times New Roman"/>
                <w:color w:val="auto"/>
                <w:kern w:val="2"/>
                <w:sz w:val="22"/>
                <w:szCs w:val="21"/>
                <w:highlight w:val="none"/>
                <w:lang w:val="zh-CN"/>
              </w:rPr>
            </w:pPr>
            <w:r>
              <w:rPr>
                <w:rFonts w:hint="default" w:ascii="Times New Roman" w:hAnsi="Times New Roman" w:eastAsia="宋体" w:cs="Times New Roman"/>
                <w:color w:val="auto"/>
                <w:kern w:val="2"/>
                <w:sz w:val="22"/>
                <w:szCs w:val="21"/>
                <w:highlight w:val="none"/>
                <w:lang w:val="zh-CN"/>
              </w:rPr>
              <w:t>施工期噪声执行《建筑施工场界环境噪声排放标准》（GB12523-2011）。</w:t>
            </w:r>
          </w:p>
          <w:p>
            <w:pPr>
              <w:tabs>
                <w:tab w:val="left" w:pos="382"/>
              </w:tabs>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表</w:t>
            </w:r>
            <w:r>
              <w:rPr>
                <w:rFonts w:hint="eastAsia" w:ascii="Times New Roman" w:hAnsi="Times New Roman" w:eastAsia="宋体" w:cs="Times New Roman"/>
                <w:b/>
                <w:bCs/>
                <w:color w:val="auto"/>
                <w:highlight w:val="none"/>
              </w:rPr>
              <w:t>3-</w:t>
            </w:r>
            <w:r>
              <w:rPr>
                <w:rFonts w:hint="eastAsia" w:ascii="Times New Roman" w:hAnsi="Times New Roman" w:eastAsia="宋体" w:cs="Times New Roman"/>
                <w:b/>
                <w:bCs/>
                <w:color w:val="auto"/>
                <w:highlight w:val="none"/>
                <w:lang w:val="en-US" w:eastAsia="zh-CN"/>
              </w:rPr>
              <w:t>12</w:t>
            </w:r>
            <w:r>
              <w:rPr>
                <w:rFonts w:hint="default" w:ascii="Times New Roman" w:hAnsi="Times New Roman" w:eastAsia="宋体" w:cs="Times New Roman"/>
                <w:b/>
                <w:bCs/>
                <w:color w:val="auto"/>
                <w:highlight w:val="none"/>
              </w:rPr>
              <w:t xml:space="preserve">  建筑施工厂界环境噪声排放限值  单位：dB（A）</w:t>
            </w:r>
          </w:p>
          <w:tbl>
            <w:tblPr>
              <w:tblStyle w:val="42"/>
              <w:tblW w:w="4999" w:type="pct"/>
              <w:jc w:val="center"/>
              <w:tblBorders>
                <w:top w:val="single" w:color="auto" w:sz="12" w:space="0"/>
                <w:left w:val="none" w:color="auto" w:sz="0" w:space="0"/>
                <w:bottom w:val="single" w:color="auto" w:sz="12" w:space="0"/>
                <w:right w:val="none" w:color="auto" w:sz="0" w:space="0"/>
                <w:insideH w:val="single" w:color="auto" w:sz="12" w:space="0"/>
                <w:insideV w:val="single" w:color="auto" w:sz="4" w:space="0"/>
              </w:tblBorders>
              <w:tblLayout w:type="fixed"/>
              <w:tblCellMar>
                <w:top w:w="0" w:type="dxa"/>
                <w:left w:w="108" w:type="dxa"/>
                <w:bottom w:w="0" w:type="dxa"/>
                <w:right w:w="108" w:type="dxa"/>
              </w:tblCellMar>
            </w:tblPr>
            <w:tblGrid>
              <w:gridCol w:w="3986"/>
              <w:gridCol w:w="3986"/>
            </w:tblGrid>
            <w:tr>
              <w:tblPrEx>
                <w:tblBorders>
                  <w:top w:val="single" w:color="auto" w:sz="12" w:space="0"/>
                  <w:left w:val="none" w:color="auto" w:sz="0" w:space="0"/>
                  <w:bottom w:val="single" w:color="auto" w:sz="12" w:space="0"/>
                  <w:right w:val="none" w:color="auto" w:sz="0" w:space="0"/>
                  <w:insideH w:val="single" w:color="auto" w:sz="12" w:space="0"/>
                  <w:insideV w:val="single" w:color="auto" w:sz="4" w:space="0"/>
                </w:tblBorders>
                <w:tblCellMar>
                  <w:top w:w="0" w:type="dxa"/>
                  <w:left w:w="108" w:type="dxa"/>
                  <w:bottom w:w="0" w:type="dxa"/>
                  <w:right w:w="108" w:type="dxa"/>
                </w:tblCellMar>
              </w:tblPrEx>
              <w:trPr>
                <w:trHeight w:val="23" w:hRule="atLeast"/>
                <w:jc w:val="center"/>
              </w:trPr>
              <w:tc>
                <w:tcPr>
                  <w:tcW w:w="2500" w:type="pct"/>
                  <w:tcBorders>
                    <w:top w:val="single" w:color="auto" w:sz="12" w:space="0"/>
                    <w:left w:val="nil"/>
                    <w:bottom w:val="single" w:color="auto" w:sz="4" w:space="0"/>
                  </w:tcBorders>
                  <w:noWrap w:val="0"/>
                  <w:vAlign w:val="center"/>
                </w:tcPr>
                <w:p>
                  <w:pPr>
                    <w:adjustRightInd w:val="0"/>
                    <w:spacing w:line="260" w:lineRule="exact"/>
                    <w:jc w:val="center"/>
                    <w:textAlignment w:val="baseline"/>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昼间</w:t>
                  </w:r>
                </w:p>
              </w:tc>
              <w:tc>
                <w:tcPr>
                  <w:tcW w:w="2499" w:type="pct"/>
                  <w:tcBorders>
                    <w:top w:val="single" w:color="auto" w:sz="12" w:space="0"/>
                    <w:bottom w:val="single" w:color="auto" w:sz="4" w:space="0"/>
                    <w:right w:val="nil"/>
                  </w:tcBorders>
                  <w:noWrap w:val="0"/>
                  <w:vAlign w:val="center"/>
                </w:tcPr>
                <w:p>
                  <w:pPr>
                    <w:adjustRightInd w:val="0"/>
                    <w:spacing w:line="260" w:lineRule="exact"/>
                    <w:jc w:val="center"/>
                    <w:textAlignment w:val="baseline"/>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夜间</w:t>
                  </w:r>
                </w:p>
              </w:tc>
            </w:tr>
            <w:tr>
              <w:tblPrEx>
                <w:tblBorders>
                  <w:top w:val="single" w:color="auto" w:sz="12" w:space="0"/>
                  <w:left w:val="none" w:color="auto" w:sz="0" w:space="0"/>
                  <w:bottom w:val="single" w:color="auto" w:sz="12" w:space="0"/>
                  <w:right w:val="none" w:color="auto" w:sz="0" w:space="0"/>
                  <w:insideH w:val="single" w:color="auto" w:sz="12" w:space="0"/>
                  <w:insideV w:val="single" w:color="auto" w:sz="4" w:space="0"/>
                </w:tblBorders>
                <w:tblCellMar>
                  <w:top w:w="0" w:type="dxa"/>
                  <w:left w:w="108" w:type="dxa"/>
                  <w:bottom w:w="0" w:type="dxa"/>
                  <w:right w:w="108" w:type="dxa"/>
                </w:tblCellMar>
              </w:tblPrEx>
              <w:trPr>
                <w:trHeight w:val="23" w:hRule="atLeast"/>
                <w:jc w:val="center"/>
              </w:trPr>
              <w:tc>
                <w:tcPr>
                  <w:tcW w:w="2500" w:type="pct"/>
                  <w:tcBorders>
                    <w:top w:val="single" w:color="auto" w:sz="4" w:space="0"/>
                    <w:left w:val="nil"/>
                    <w:bottom w:val="single" w:color="auto" w:sz="12" w:space="0"/>
                  </w:tcBorders>
                  <w:noWrap w:val="0"/>
                  <w:vAlign w:val="center"/>
                </w:tcPr>
                <w:p>
                  <w:pPr>
                    <w:adjustRightInd w:val="0"/>
                    <w:spacing w:line="260" w:lineRule="exact"/>
                    <w:jc w:val="center"/>
                    <w:textAlignment w:val="baseline"/>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70</w:t>
                  </w:r>
                </w:p>
              </w:tc>
              <w:tc>
                <w:tcPr>
                  <w:tcW w:w="2499" w:type="pct"/>
                  <w:tcBorders>
                    <w:top w:val="single" w:color="auto" w:sz="4" w:space="0"/>
                    <w:bottom w:val="single" w:color="auto" w:sz="12" w:space="0"/>
                    <w:right w:val="nil"/>
                  </w:tcBorders>
                  <w:noWrap w:val="0"/>
                  <w:vAlign w:val="center"/>
                </w:tcPr>
                <w:p>
                  <w:pPr>
                    <w:adjustRightInd w:val="0"/>
                    <w:spacing w:line="260" w:lineRule="exact"/>
                    <w:jc w:val="center"/>
                    <w:textAlignment w:val="baseline"/>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55</w:t>
                  </w:r>
                </w:p>
              </w:tc>
            </w:tr>
          </w:tbl>
          <w:p>
            <w:pPr>
              <w:pStyle w:val="40"/>
              <w:keepNext w:val="0"/>
              <w:keepLines w:val="0"/>
              <w:pageBreakBefore w:val="0"/>
              <w:widowControl w:val="0"/>
              <w:kinsoku/>
              <w:wordWrap/>
              <w:overflowPunct/>
              <w:topLinePunct w:val="0"/>
              <w:autoSpaceDE/>
              <w:autoSpaceDN/>
              <w:bidi w:val="0"/>
              <w:adjustRightInd/>
              <w:snapToGrid/>
              <w:spacing w:before="0" w:after="0" w:line="360" w:lineRule="auto"/>
              <w:ind w:right="0" w:firstLine="480" w:firstLineChars="200"/>
              <w:jc w:val="left"/>
              <w:textAlignment w:val="auto"/>
              <w:outlineLvl w:val="9"/>
              <w:rPr>
                <w:rFonts w:hint="default" w:ascii="Times New Roman" w:hAnsi="Times New Roman" w:cs="Times New Roman"/>
                <w:color w:val="auto"/>
                <w:kern w:val="2"/>
                <w:sz w:val="22"/>
                <w:szCs w:val="21"/>
                <w:highlight w:val="none"/>
                <w:lang w:val="zh-CN"/>
              </w:rPr>
            </w:pPr>
            <w:r>
              <w:rPr>
                <w:rFonts w:hint="eastAsia" w:cs="Times New Roman"/>
                <w:color w:val="auto"/>
                <w:kern w:val="2"/>
                <w:sz w:val="22"/>
                <w:szCs w:val="21"/>
                <w:highlight w:val="none"/>
                <w:lang w:val="zh-CN"/>
              </w:rPr>
              <w:t>（</w:t>
            </w:r>
            <w:r>
              <w:rPr>
                <w:rFonts w:hint="eastAsia" w:cs="Times New Roman"/>
                <w:color w:val="auto"/>
                <w:kern w:val="2"/>
                <w:sz w:val="22"/>
                <w:szCs w:val="21"/>
                <w:highlight w:val="none"/>
                <w:lang w:val="en-US" w:eastAsia="zh-CN"/>
              </w:rPr>
              <w:t>2</w:t>
            </w:r>
            <w:r>
              <w:rPr>
                <w:rFonts w:hint="eastAsia" w:cs="Times New Roman"/>
                <w:color w:val="auto"/>
                <w:kern w:val="2"/>
                <w:sz w:val="22"/>
                <w:szCs w:val="21"/>
                <w:highlight w:val="none"/>
                <w:lang w:val="zh-CN"/>
              </w:rPr>
              <w:t>）运营期</w:t>
            </w:r>
          </w:p>
          <w:p>
            <w:pPr>
              <w:pStyle w:val="40"/>
              <w:keepNext w:val="0"/>
              <w:keepLines w:val="0"/>
              <w:pageBreakBefore w:val="0"/>
              <w:widowControl w:val="0"/>
              <w:kinsoku/>
              <w:wordWrap/>
              <w:overflowPunct/>
              <w:topLinePunct w:val="0"/>
              <w:autoSpaceDE/>
              <w:autoSpaceDN/>
              <w:bidi w:val="0"/>
              <w:adjustRightInd/>
              <w:snapToGrid/>
              <w:spacing w:before="0" w:after="0" w:line="360" w:lineRule="auto"/>
              <w:ind w:right="0" w:firstLine="480" w:firstLineChars="200"/>
              <w:jc w:val="left"/>
              <w:textAlignment w:val="auto"/>
              <w:outlineLvl w:val="9"/>
              <w:rPr>
                <w:rFonts w:hint="default" w:ascii="Times New Roman" w:hAnsi="Times New Roman" w:cs="Times New Roman"/>
                <w:color w:val="auto"/>
                <w:kern w:val="2"/>
                <w:sz w:val="22"/>
                <w:szCs w:val="21"/>
                <w:highlight w:val="none"/>
                <w:lang w:val="zh-CN"/>
              </w:rPr>
            </w:pPr>
            <w:r>
              <w:rPr>
                <w:rFonts w:hint="default" w:ascii="Times New Roman" w:hAnsi="Times New Roman" w:cs="Times New Roman"/>
                <w:color w:val="auto"/>
                <w:kern w:val="2"/>
                <w:sz w:val="22"/>
                <w:szCs w:val="21"/>
                <w:highlight w:val="none"/>
                <w:lang w:val="zh-CN"/>
              </w:rPr>
              <w:t>运营期噪声执行《工业企业厂界环境噪声排放标准》</w:t>
            </w:r>
            <w:r>
              <w:rPr>
                <w:rFonts w:hint="eastAsia" w:cs="Times New Roman"/>
                <w:color w:val="auto"/>
                <w:kern w:val="2"/>
                <w:sz w:val="22"/>
                <w:szCs w:val="21"/>
                <w:highlight w:val="none"/>
                <w:lang w:val="zh-CN"/>
              </w:rPr>
              <w:t>（</w:t>
            </w:r>
            <w:r>
              <w:rPr>
                <w:rFonts w:hint="default" w:ascii="Times New Roman" w:hAnsi="Times New Roman" w:cs="Times New Roman"/>
                <w:color w:val="auto"/>
                <w:kern w:val="2"/>
                <w:sz w:val="22"/>
                <w:szCs w:val="21"/>
                <w:highlight w:val="none"/>
                <w:lang w:val="zh-CN"/>
              </w:rPr>
              <w:t>GB12348-2008</w:t>
            </w:r>
            <w:r>
              <w:rPr>
                <w:rFonts w:hint="eastAsia" w:cs="Times New Roman"/>
                <w:color w:val="auto"/>
                <w:kern w:val="2"/>
                <w:sz w:val="22"/>
                <w:szCs w:val="21"/>
                <w:highlight w:val="none"/>
                <w:lang w:val="zh-CN"/>
              </w:rPr>
              <w:t>）</w:t>
            </w:r>
            <w:r>
              <w:rPr>
                <w:rFonts w:hint="default" w:ascii="Times New Roman" w:hAnsi="Times New Roman" w:cs="Times New Roman"/>
                <w:color w:val="auto"/>
                <w:kern w:val="2"/>
                <w:sz w:val="22"/>
                <w:szCs w:val="21"/>
                <w:highlight w:val="none"/>
                <w:lang w:val="zh-CN"/>
              </w:rPr>
              <w:t>中的</w:t>
            </w:r>
            <w:r>
              <w:rPr>
                <w:rFonts w:hint="eastAsia" w:cs="Times New Roman"/>
                <w:color w:val="auto"/>
                <w:kern w:val="2"/>
                <w:sz w:val="22"/>
                <w:szCs w:val="21"/>
                <w:highlight w:val="none"/>
                <w:lang w:val="en-US" w:eastAsia="zh-CN"/>
              </w:rPr>
              <w:t>3</w:t>
            </w:r>
            <w:r>
              <w:rPr>
                <w:rFonts w:hint="default" w:ascii="Times New Roman" w:hAnsi="Times New Roman" w:cs="Times New Roman"/>
                <w:color w:val="auto"/>
                <w:kern w:val="2"/>
                <w:sz w:val="22"/>
                <w:szCs w:val="21"/>
                <w:highlight w:val="none"/>
                <w:lang w:val="zh-CN"/>
              </w:rPr>
              <w:t>类标准，标准值见下表。</w:t>
            </w:r>
          </w:p>
          <w:p>
            <w:pPr>
              <w:tabs>
                <w:tab w:val="left" w:pos="382"/>
              </w:tabs>
              <w:jc w:val="center"/>
              <w:rPr>
                <w:rFonts w:hint="default" w:ascii="Times New Roman" w:hAnsi="Times New Roman" w:cs="Times New Roman"/>
                <w:b/>
                <w:bCs/>
                <w:color w:val="auto"/>
                <w:highlight w:val="none"/>
              </w:rPr>
            </w:pPr>
          </w:p>
          <w:p>
            <w:pPr>
              <w:tabs>
                <w:tab w:val="left" w:pos="382"/>
              </w:tabs>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表3-</w:t>
            </w:r>
            <w:r>
              <w:rPr>
                <w:rFonts w:hint="eastAsia" w:ascii="Times New Roman" w:hAnsi="Times New Roman" w:cs="Times New Roman"/>
                <w:b/>
                <w:bCs/>
                <w:color w:val="auto"/>
                <w:highlight w:val="none"/>
                <w:lang w:val="en-US" w:eastAsia="zh-CN"/>
              </w:rPr>
              <w:t>13</w:t>
            </w:r>
            <w:r>
              <w:rPr>
                <w:rFonts w:hint="default" w:ascii="Times New Roman" w:hAnsi="Times New Roman" w:cs="Times New Roman"/>
                <w:b/>
                <w:bCs/>
                <w:color w:val="auto"/>
                <w:highlight w:val="none"/>
              </w:rPr>
              <w:t xml:space="preserve"> 工业企业厂界环境噪声排放标准  单位：dB（A）</w:t>
            </w:r>
          </w:p>
          <w:tbl>
            <w:tblPr>
              <w:tblStyle w:val="42"/>
              <w:tblW w:w="4999" w:type="pct"/>
              <w:jc w:val="center"/>
              <w:tblBorders>
                <w:top w:val="single" w:color="auto" w:sz="12" w:space="0"/>
                <w:left w:val="none" w:color="auto" w:sz="0" w:space="0"/>
                <w:bottom w:val="single" w:color="auto" w:sz="12" w:space="0"/>
                <w:right w:val="none" w:color="auto" w:sz="0" w:space="0"/>
                <w:insideH w:val="single" w:color="auto" w:sz="12" w:space="0"/>
                <w:insideV w:val="single" w:color="auto" w:sz="4" w:space="0"/>
              </w:tblBorders>
              <w:tblLayout w:type="fixed"/>
              <w:tblCellMar>
                <w:top w:w="0" w:type="dxa"/>
                <w:left w:w="108" w:type="dxa"/>
                <w:bottom w:w="0" w:type="dxa"/>
                <w:right w:w="108" w:type="dxa"/>
              </w:tblCellMar>
            </w:tblPr>
            <w:tblGrid>
              <w:gridCol w:w="3986"/>
              <w:gridCol w:w="3986"/>
            </w:tblGrid>
            <w:tr>
              <w:tblPrEx>
                <w:tblBorders>
                  <w:top w:val="single" w:color="auto" w:sz="12" w:space="0"/>
                  <w:left w:val="none" w:color="auto" w:sz="0" w:space="0"/>
                  <w:bottom w:val="single" w:color="auto" w:sz="12" w:space="0"/>
                  <w:right w:val="none" w:color="auto" w:sz="0" w:space="0"/>
                  <w:insideH w:val="single" w:color="auto" w:sz="12" w:space="0"/>
                  <w:insideV w:val="single" w:color="auto" w:sz="4" w:space="0"/>
                </w:tblBorders>
                <w:tblCellMar>
                  <w:top w:w="0" w:type="dxa"/>
                  <w:left w:w="108" w:type="dxa"/>
                  <w:bottom w:w="0" w:type="dxa"/>
                  <w:right w:w="108" w:type="dxa"/>
                </w:tblCellMar>
              </w:tblPrEx>
              <w:trPr>
                <w:trHeight w:val="23" w:hRule="atLeast"/>
                <w:jc w:val="center"/>
              </w:trPr>
              <w:tc>
                <w:tcPr>
                  <w:tcW w:w="2500" w:type="pct"/>
                  <w:tcBorders>
                    <w:top w:val="single" w:color="auto" w:sz="12" w:space="0"/>
                    <w:left w:val="nil"/>
                    <w:bottom w:val="single" w:color="auto" w:sz="4" w:space="0"/>
                  </w:tcBorders>
                  <w:noWrap w:val="0"/>
                  <w:vAlign w:val="center"/>
                </w:tcPr>
                <w:p>
                  <w:pPr>
                    <w:adjustRightInd w:val="0"/>
                    <w:spacing w:line="260" w:lineRule="exact"/>
                    <w:jc w:val="center"/>
                    <w:textAlignment w:val="baseline"/>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昼间</w:t>
                  </w:r>
                </w:p>
              </w:tc>
              <w:tc>
                <w:tcPr>
                  <w:tcW w:w="2499" w:type="pct"/>
                  <w:tcBorders>
                    <w:top w:val="single" w:color="auto" w:sz="12" w:space="0"/>
                    <w:bottom w:val="single" w:color="auto" w:sz="4" w:space="0"/>
                    <w:right w:val="nil"/>
                  </w:tcBorders>
                  <w:noWrap w:val="0"/>
                  <w:vAlign w:val="center"/>
                </w:tcPr>
                <w:p>
                  <w:pPr>
                    <w:adjustRightInd w:val="0"/>
                    <w:spacing w:line="260" w:lineRule="exact"/>
                    <w:jc w:val="center"/>
                    <w:textAlignment w:val="baseline"/>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夜间</w:t>
                  </w:r>
                </w:p>
              </w:tc>
            </w:tr>
            <w:tr>
              <w:tblPrEx>
                <w:tblBorders>
                  <w:top w:val="single" w:color="auto" w:sz="12" w:space="0"/>
                  <w:left w:val="none" w:color="auto" w:sz="0" w:space="0"/>
                  <w:bottom w:val="single" w:color="auto" w:sz="12" w:space="0"/>
                  <w:right w:val="none" w:color="auto" w:sz="0" w:space="0"/>
                  <w:insideH w:val="single" w:color="auto" w:sz="12" w:space="0"/>
                  <w:insideV w:val="single" w:color="auto" w:sz="4" w:space="0"/>
                </w:tblBorders>
                <w:tblCellMar>
                  <w:top w:w="0" w:type="dxa"/>
                  <w:left w:w="108" w:type="dxa"/>
                  <w:bottom w:w="0" w:type="dxa"/>
                  <w:right w:w="108" w:type="dxa"/>
                </w:tblCellMar>
              </w:tblPrEx>
              <w:trPr>
                <w:trHeight w:val="23" w:hRule="atLeast"/>
                <w:jc w:val="center"/>
              </w:trPr>
              <w:tc>
                <w:tcPr>
                  <w:tcW w:w="2500" w:type="pct"/>
                  <w:tcBorders>
                    <w:top w:val="single" w:color="auto" w:sz="4" w:space="0"/>
                    <w:left w:val="nil"/>
                    <w:bottom w:val="single" w:color="auto" w:sz="12" w:space="0"/>
                  </w:tcBorders>
                  <w:noWrap w:val="0"/>
                  <w:vAlign w:val="center"/>
                </w:tcPr>
                <w:p>
                  <w:pPr>
                    <w:adjustRightInd w:val="0"/>
                    <w:spacing w:line="260" w:lineRule="exact"/>
                    <w:jc w:val="center"/>
                    <w:textAlignment w:val="baseline"/>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65</w:t>
                  </w:r>
                </w:p>
              </w:tc>
              <w:tc>
                <w:tcPr>
                  <w:tcW w:w="2499" w:type="pct"/>
                  <w:tcBorders>
                    <w:top w:val="single" w:color="auto" w:sz="4" w:space="0"/>
                    <w:bottom w:val="single" w:color="auto" w:sz="12" w:space="0"/>
                    <w:right w:val="nil"/>
                  </w:tcBorders>
                  <w:noWrap w:val="0"/>
                  <w:vAlign w:val="center"/>
                </w:tcPr>
                <w:p>
                  <w:pPr>
                    <w:adjustRightInd w:val="0"/>
                    <w:spacing w:line="260" w:lineRule="exact"/>
                    <w:jc w:val="center"/>
                    <w:textAlignment w:val="baseline"/>
                    <w:rPr>
                      <w:rFonts w:hint="eastAsia"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rPr>
                    <w:t>5</w:t>
                  </w:r>
                  <w:r>
                    <w:rPr>
                      <w:rFonts w:hint="eastAsia" w:ascii="Times New Roman" w:hAnsi="Times New Roman" w:eastAsia="宋体" w:cs="Times New Roman"/>
                      <w:color w:val="auto"/>
                      <w:highlight w:val="none"/>
                      <w:lang w:val="en-US" w:eastAsia="zh-CN"/>
                    </w:rPr>
                    <w:t>5</w:t>
                  </w:r>
                </w:p>
              </w:tc>
            </w:tr>
          </w:tbl>
          <w:p>
            <w:pPr>
              <w:pStyle w:val="113"/>
              <w:spacing w:line="360" w:lineRule="auto"/>
              <w:ind w:firstLine="442"/>
              <w:rPr>
                <w:rFonts w:hint="default" w:ascii="Times New Roman" w:hAnsi="Times New Roman" w:cs="Times New Roman"/>
                <w:b/>
                <w:bCs/>
                <w:color w:val="auto"/>
                <w:sz w:val="22"/>
                <w:szCs w:val="22"/>
                <w:highlight w:val="none"/>
                <w:lang w:val="zh-CN"/>
              </w:rPr>
            </w:pPr>
            <w:r>
              <w:rPr>
                <w:rFonts w:hint="default" w:ascii="Times New Roman" w:hAnsi="Times New Roman" w:cs="Times New Roman"/>
                <w:b/>
                <w:bCs/>
                <w:color w:val="auto"/>
                <w:sz w:val="22"/>
                <w:szCs w:val="22"/>
                <w:highlight w:val="none"/>
                <w:lang w:val="zh-CN"/>
              </w:rPr>
              <w:t>4、固体废物</w:t>
            </w:r>
          </w:p>
          <w:p>
            <w:pPr>
              <w:pStyle w:val="40"/>
              <w:keepNext w:val="0"/>
              <w:keepLines w:val="0"/>
              <w:pageBreakBefore w:val="0"/>
              <w:widowControl w:val="0"/>
              <w:kinsoku/>
              <w:wordWrap/>
              <w:overflowPunct/>
              <w:topLinePunct w:val="0"/>
              <w:autoSpaceDE/>
              <w:autoSpaceDN/>
              <w:bidi w:val="0"/>
              <w:adjustRightInd/>
              <w:snapToGrid/>
              <w:spacing w:before="0" w:after="0" w:line="360" w:lineRule="auto"/>
              <w:ind w:right="0" w:firstLine="480" w:firstLineChars="200"/>
              <w:jc w:val="both"/>
              <w:textAlignment w:val="auto"/>
              <w:outlineLvl w:val="9"/>
              <w:rPr>
                <w:rFonts w:hint="default" w:ascii="Times New Roman" w:hAnsi="Times New Roman" w:cs="Times New Roman"/>
                <w:color w:val="auto"/>
                <w:kern w:val="0"/>
                <w:szCs w:val="21"/>
                <w:highlight w:val="none"/>
              </w:rPr>
            </w:pPr>
            <w:r>
              <w:rPr>
                <w:rFonts w:hint="default" w:ascii="Times New Roman" w:hAnsi="Times New Roman" w:cs="Times New Roman"/>
                <w:color w:val="auto"/>
                <w:kern w:val="2"/>
                <w:sz w:val="22"/>
                <w:szCs w:val="21"/>
                <w:highlight w:val="none"/>
                <w:lang w:val="zh-CN" w:eastAsia="zh-CN" w:bidi="ar-SA"/>
              </w:rPr>
              <w:t>一般工业固体废物执行《一般工业固体废物贮存和填埋污染控制标准》（GB18599-20</w:t>
            </w:r>
            <w:r>
              <w:rPr>
                <w:rFonts w:hint="default" w:ascii="Times New Roman" w:hAnsi="Times New Roman" w:cs="Times New Roman"/>
                <w:color w:val="auto"/>
                <w:kern w:val="2"/>
                <w:sz w:val="22"/>
                <w:szCs w:val="21"/>
                <w:highlight w:val="none"/>
                <w:lang w:val="en-US" w:eastAsia="zh-CN" w:bidi="ar-SA"/>
              </w:rPr>
              <w:t>20</w:t>
            </w:r>
            <w:r>
              <w:rPr>
                <w:rFonts w:hint="default" w:ascii="Times New Roman" w:hAnsi="Times New Roman" w:cs="Times New Roman"/>
                <w:color w:val="auto"/>
                <w:kern w:val="2"/>
                <w:sz w:val="22"/>
                <w:szCs w:val="21"/>
                <w:highlight w:val="none"/>
                <w:lang w:val="zh-CN" w:eastAsia="zh-CN" w:bidi="ar-SA"/>
              </w:rPr>
              <w:t>）标准；危险废物执行《危险废物贮存污染控制标准》（GB18597-2023）</w:t>
            </w:r>
            <w:r>
              <w:rPr>
                <w:rFonts w:hint="eastAsia" w:cs="Times New Roman"/>
                <w:color w:val="auto"/>
                <w:kern w:val="2"/>
                <w:sz w:val="22"/>
                <w:szCs w:val="21"/>
                <w:highlight w:val="none"/>
                <w:lang w:val="zh-CN" w:eastAsia="zh-CN" w:bidi="ar-SA"/>
              </w:rPr>
              <w:t>；危险废物转移执行《危险废物转移联单管理办法》中相关要求。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47" w:hRule="atLeast"/>
          <w:jc w:val="center"/>
        </w:trPr>
        <w:tc>
          <w:tcPr>
            <w:tcW w:w="800" w:type="dxa"/>
            <w:noWrap w:val="0"/>
            <w:vAlign w:val="center"/>
          </w:tcPr>
          <w:p>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总量</w:t>
            </w:r>
          </w:p>
          <w:p>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控制</w:t>
            </w:r>
          </w:p>
          <w:p>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指标</w:t>
            </w:r>
          </w:p>
        </w:tc>
        <w:tc>
          <w:tcPr>
            <w:tcW w:w="8190" w:type="dxa"/>
            <w:noWrap w:val="0"/>
            <w:vAlign w:val="center"/>
          </w:tcPr>
          <w:p>
            <w:pPr>
              <w:pStyle w:val="40"/>
              <w:widowControl w:val="0"/>
              <w:snapToGrid/>
              <w:spacing w:after="0" w:line="360" w:lineRule="auto"/>
              <w:ind w:firstLine="482" w:firstLineChars="200"/>
              <w:jc w:val="left"/>
              <w:rPr>
                <w:rFonts w:hint="default" w:ascii="Times New Roman" w:hAnsi="Times New Roman" w:cs="Times New Roman"/>
                <w:b/>
                <w:bCs/>
                <w:color w:val="auto"/>
                <w:kern w:val="2"/>
                <w:sz w:val="22"/>
                <w:szCs w:val="21"/>
                <w:highlight w:val="none"/>
                <w:lang w:eastAsia="zh-CN"/>
              </w:rPr>
            </w:pPr>
            <w:r>
              <w:rPr>
                <w:rFonts w:hint="default" w:ascii="Times New Roman" w:hAnsi="Times New Roman" w:cs="Times New Roman"/>
                <w:b/>
                <w:bCs/>
                <w:color w:val="auto"/>
                <w:kern w:val="2"/>
                <w:sz w:val="22"/>
                <w:szCs w:val="21"/>
                <w:highlight w:val="none"/>
                <w:lang w:val="en-US" w:eastAsia="zh-CN"/>
              </w:rPr>
              <w:t>1、</w:t>
            </w:r>
            <w:r>
              <w:rPr>
                <w:rFonts w:hint="default" w:ascii="Times New Roman" w:hAnsi="Times New Roman" w:cs="Times New Roman"/>
                <w:b/>
                <w:bCs/>
                <w:color w:val="auto"/>
                <w:kern w:val="2"/>
                <w:sz w:val="22"/>
                <w:szCs w:val="21"/>
                <w:highlight w:val="none"/>
                <w:lang w:eastAsia="zh-CN"/>
              </w:rPr>
              <w:t>废水</w:t>
            </w:r>
          </w:p>
          <w:p>
            <w:pPr>
              <w:spacing w:line="360" w:lineRule="auto"/>
              <w:ind w:firstLine="480"/>
              <w:rPr>
                <w:rFonts w:hint="eastAsia" w:cs="Times New Roman"/>
                <w:color w:val="auto"/>
                <w:kern w:val="2"/>
                <w:sz w:val="22"/>
                <w:szCs w:val="21"/>
                <w:highlight w:val="yellow"/>
                <w:lang w:val="en-US" w:eastAsia="zh-CN"/>
              </w:rPr>
            </w:pPr>
            <w:r>
              <w:rPr>
                <w:rFonts w:hint="eastAsia" w:cs="Times New Roman"/>
                <w:color w:val="auto"/>
                <w:kern w:val="2"/>
                <w:sz w:val="22"/>
                <w:szCs w:val="21"/>
                <w:highlight w:val="none"/>
                <w:lang w:val="en-US" w:eastAsia="zh-CN"/>
              </w:rPr>
              <w:t>本项目磨边、清洗、冷却水循环使用，不外排；水帘柜废水循环使用，一年更换一次（1m</w:t>
            </w:r>
            <w:r>
              <w:rPr>
                <w:rFonts w:hint="eastAsia" w:cs="Times New Roman"/>
                <w:color w:val="auto"/>
                <w:kern w:val="2"/>
                <w:sz w:val="22"/>
                <w:szCs w:val="21"/>
                <w:highlight w:val="none"/>
                <w:vertAlign w:val="superscript"/>
                <w:lang w:val="en-US" w:eastAsia="zh-CN"/>
              </w:rPr>
              <w:t>3</w:t>
            </w:r>
            <w:r>
              <w:rPr>
                <w:rFonts w:hint="eastAsia" w:cs="Times New Roman"/>
                <w:color w:val="auto"/>
                <w:kern w:val="2"/>
                <w:sz w:val="22"/>
                <w:szCs w:val="21"/>
                <w:highlight w:val="none"/>
                <w:lang w:val="en-US" w:eastAsia="zh-CN"/>
              </w:rPr>
              <w:t>），排入乐山市工业集中区污水处理厂；</w:t>
            </w:r>
            <w:r>
              <w:rPr>
                <w:rFonts w:hint="eastAsia" w:ascii="Times New Roman" w:hAnsi="Times New Roman" w:cs="Times New Roman"/>
                <w:bCs/>
                <w:color w:val="auto"/>
                <w:sz w:val="22"/>
                <w:szCs w:val="22"/>
                <w:highlight w:val="none"/>
                <w:lang w:val="en-US" w:eastAsia="zh-CN"/>
              </w:rPr>
              <w:t>生活污水（1224m</w:t>
            </w:r>
            <w:r>
              <w:rPr>
                <w:rFonts w:hint="eastAsia" w:ascii="Times New Roman" w:hAnsi="Times New Roman" w:cs="Times New Roman"/>
                <w:bCs/>
                <w:color w:val="auto"/>
                <w:sz w:val="22"/>
                <w:szCs w:val="22"/>
                <w:highlight w:val="none"/>
                <w:vertAlign w:val="superscript"/>
                <w:lang w:val="en-US" w:eastAsia="zh-CN"/>
              </w:rPr>
              <w:t>3</w:t>
            </w:r>
            <w:r>
              <w:rPr>
                <w:rFonts w:hint="eastAsia" w:ascii="Times New Roman" w:hAnsi="Times New Roman" w:cs="Times New Roman"/>
                <w:bCs/>
                <w:color w:val="auto"/>
                <w:sz w:val="22"/>
                <w:szCs w:val="22"/>
                <w:highlight w:val="none"/>
                <w:lang w:val="en-US" w:eastAsia="zh-CN"/>
              </w:rPr>
              <w:t>/a）经预处理达《污水综合排放标准》（GB8978-1996）三级标准后通过园区污水管网进入乐山市工业集中区污水处理厂处理达</w:t>
            </w:r>
            <w:r>
              <w:rPr>
                <w:rFonts w:hint="eastAsia" w:ascii="Times New Roman" w:hAnsi="Times New Roman" w:eastAsia="宋体" w:cs="Times New Roman"/>
                <w:color w:val="auto"/>
                <w:sz w:val="22"/>
                <w:szCs w:val="22"/>
                <w:highlight w:val="none"/>
                <w:lang w:eastAsia="zh-CN"/>
              </w:rPr>
              <w:t>《四川省岷江、沱江流域水污染物排放标准》（DB51/2311-2016）工业园区集中式污水处理厂标准后排入</w:t>
            </w:r>
            <w:r>
              <w:rPr>
                <w:rFonts w:hint="eastAsia" w:ascii="Times New Roman" w:hAnsi="Times New Roman" w:eastAsia="宋体" w:cs="Times New Roman"/>
                <w:color w:val="auto"/>
                <w:sz w:val="22"/>
                <w:szCs w:val="22"/>
                <w:highlight w:val="none"/>
                <w:lang w:val="en-US" w:eastAsia="zh-CN"/>
              </w:rPr>
              <w:t>大渡</w:t>
            </w:r>
            <w:r>
              <w:rPr>
                <w:rFonts w:hint="eastAsia" w:ascii="Times New Roman" w:hAnsi="Times New Roman" w:eastAsia="宋体" w:cs="Times New Roman"/>
                <w:color w:val="auto"/>
                <w:sz w:val="22"/>
                <w:szCs w:val="22"/>
                <w:highlight w:val="none"/>
                <w:lang w:eastAsia="zh-CN"/>
              </w:rPr>
              <w:t>河</w:t>
            </w:r>
            <w:r>
              <w:rPr>
                <w:rFonts w:hint="eastAsia" w:ascii="Times New Roman" w:hAnsi="Times New Roman" w:cs="Times New Roman"/>
                <w:bCs/>
                <w:color w:val="auto"/>
                <w:sz w:val="22"/>
                <w:szCs w:val="22"/>
                <w:highlight w:val="none"/>
                <w:lang w:val="en-US" w:eastAsia="zh-CN"/>
              </w:rPr>
              <w:t>。</w:t>
            </w:r>
          </w:p>
          <w:p>
            <w:pPr>
              <w:pStyle w:val="40"/>
              <w:widowControl w:val="0"/>
              <w:snapToGrid/>
              <w:spacing w:after="0" w:line="360" w:lineRule="auto"/>
              <w:ind w:firstLine="480" w:firstLineChars="200"/>
              <w:jc w:val="left"/>
              <w:rPr>
                <w:rFonts w:hint="default" w:ascii="Times New Roman" w:hAnsi="Times New Roman" w:cs="Times New Roman"/>
                <w:bCs/>
                <w:color w:val="auto"/>
                <w:sz w:val="22"/>
                <w:szCs w:val="22"/>
                <w:highlight w:val="none"/>
                <w:lang w:val="en-US" w:eastAsia="zh-CN"/>
              </w:rPr>
            </w:pPr>
            <w:r>
              <w:rPr>
                <w:rFonts w:hint="eastAsia" w:ascii="Times New Roman" w:hAnsi="Times New Roman" w:cs="Times New Roman"/>
                <w:bCs/>
                <w:color w:val="auto"/>
                <w:sz w:val="22"/>
                <w:szCs w:val="22"/>
                <w:highlight w:val="none"/>
                <w:lang w:val="en-US" w:eastAsia="zh-CN"/>
              </w:rPr>
              <w:t>项目总排口污染物排放量：</w:t>
            </w:r>
          </w:p>
          <w:p>
            <w:pPr>
              <w:pStyle w:val="40"/>
              <w:widowControl w:val="0"/>
              <w:snapToGrid/>
              <w:spacing w:after="0" w:line="360" w:lineRule="auto"/>
              <w:ind w:firstLine="480" w:firstLineChars="200"/>
              <w:jc w:val="left"/>
              <w:rPr>
                <w:rFonts w:hint="default" w:ascii="Times New Roman" w:hAnsi="Times New Roman" w:cs="Times New Roman"/>
                <w:bCs/>
                <w:color w:val="auto"/>
                <w:sz w:val="22"/>
                <w:szCs w:val="22"/>
                <w:highlight w:val="none"/>
                <w:lang w:val="en-US" w:eastAsia="zh-CN"/>
              </w:rPr>
            </w:pPr>
            <w:r>
              <w:rPr>
                <w:rFonts w:hint="eastAsia" w:ascii="Times New Roman" w:hAnsi="Times New Roman" w:cs="Times New Roman"/>
                <w:bCs/>
                <w:color w:val="auto"/>
                <w:sz w:val="22"/>
                <w:szCs w:val="22"/>
                <w:highlight w:val="none"/>
                <w:lang w:val="en-US" w:eastAsia="zh-CN"/>
              </w:rPr>
              <w:t>COD：</w:t>
            </w:r>
            <w:r>
              <w:rPr>
                <w:rFonts w:hint="eastAsia" w:ascii="Times New Roman" w:hAnsi="Times New Roman" w:eastAsia="宋体" w:cs="Times New Roman"/>
                <w:color w:val="auto"/>
                <w:sz w:val="22"/>
                <w:szCs w:val="22"/>
                <w:highlight w:val="none"/>
                <w:lang w:val="en-US" w:eastAsia="zh-CN"/>
              </w:rPr>
              <w:t>1225</w:t>
            </w:r>
            <w:r>
              <w:rPr>
                <w:rFonts w:hint="eastAsia" w:ascii="Times New Roman" w:hAnsi="Times New Roman" w:eastAsia="宋体" w:cs="Times New Roman"/>
                <w:color w:val="auto"/>
                <w:sz w:val="22"/>
                <w:szCs w:val="22"/>
                <w:highlight w:val="none"/>
                <w:lang w:eastAsia="zh-CN"/>
              </w:rPr>
              <w:t>m</w:t>
            </w:r>
            <w:r>
              <w:rPr>
                <w:rFonts w:hint="eastAsia" w:ascii="Times New Roman" w:hAnsi="Times New Roman" w:eastAsia="宋体" w:cs="Times New Roman"/>
                <w:color w:val="auto"/>
                <w:sz w:val="22"/>
                <w:szCs w:val="22"/>
                <w:highlight w:val="none"/>
                <w:vertAlign w:val="superscript"/>
                <w:lang w:eastAsia="zh-CN"/>
              </w:rPr>
              <w:t>3</w:t>
            </w:r>
            <w:r>
              <w:rPr>
                <w:rFonts w:hint="eastAsia" w:ascii="Times New Roman" w:hAnsi="Times New Roman" w:eastAsia="宋体" w:cs="Times New Roman"/>
                <w:color w:val="auto"/>
                <w:sz w:val="22"/>
                <w:szCs w:val="22"/>
                <w:highlight w:val="none"/>
                <w:lang w:eastAsia="zh-CN"/>
              </w:rPr>
              <w:t>/a</w:t>
            </w:r>
            <w:r>
              <w:rPr>
                <w:rFonts w:hint="eastAsia" w:ascii="Times New Roman" w:hAnsi="Times New Roman" w:eastAsia="宋体" w:cs="Times New Roman"/>
                <w:color w:val="auto"/>
                <w:sz w:val="22"/>
                <w:szCs w:val="22"/>
                <w:highlight w:val="none"/>
                <w:lang w:val="en-US" w:eastAsia="zh-CN"/>
              </w:rPr>
              <w:t>×500mg/L</w:t>
            </w:r>
            <w:r>
              <w:rPr>
                <w:rFonts w:eastAsia="宋体"/>
                <w:kern w:val="0"/>
                <w:sz w:val="24"/>
                <w:lang w:bidi="ar"/>
              </w:rPr>
              <w:t>×10</w:t>
            </w:r>
            <w:r>
              <w:rPr>
                <w:rFonts w:eastAsia="宋体"/>
                <w:kern w:val="0"/>
                <w:sz w:val="24"/>
                <w:vertAlign w:val="superscript"/>
                <w:lang w:bidi="ar"/>
              </w:rPr>
              <w:t>-6</w:t>
            </w:r>
            <w:r>
              <w:rPr>
                <w:rFonts w:hint="eastAsia" w:ascii="Times New Roman" w:hAnsi="Times New Roman" w:eastAsia="宋体" w:cs="Times New Roman"/>
                <w:color w:val="auto"/>
                <w:sz w:val="22"/>
                <w:szCs w:val="22"/>
                <w:highlight w:val="none"/>
                <w:lang w:val="en-US" w:eastAsia="zh-CN"/>
              </w:rPr>
              <w:t>=0.61t/a</w:t>
            </w:r>
          </w:p>
          <w:p>
            <w:pPr>
              <w:pStyle w:val="40"/>
              <w:widowControl w:val="0"/>
              <w:snapToGrid/>
              <w:spacing w:after="0" w:line="360" w:lineRule="auto"/>
              <w:ind w:firstLine="480" w:firstLineChars="200"/>
              <w:jc w:val="left"/>
              <w:rPr>
                <w:rFonts w:hint="default" w:ascii="Times New Roman" w:hAnsi="Times New Roman" w:cs="Times New Roman"/>
                <w:bCs/>
                <w:color w:val="auto"/>
                <w:sz w:val="22"/>
                <w:szCs w:val="22"/>
                <w:highlight w:val="none"/>
                <w:lang w:val="en-US" w:eastAsia="zh-CN"/>
              </w:rPr>
            </w:pPr>
            <w:r>
              <w:rPr>
                <w:rFonts w:hint="eastAsia" w:ascii="Times New Roman" w:hAnsi="Times New Roman" w:cs="Times New Roman"/>
                <w:bCs/>
                <w:color w:val="auto"/>
                <w:sz w:val="22"/>
                <w:szCs w:val="22"/>
                <w:highlight w:val="none"/>
                <w:lang w:val="en-US" w:eastAsia="zh-CN"/>
              </w:rPr>
              <w:t>氨氮：</w:t>
            </w:r>
            <w:r>
              <w:rPr>
                <w:rFonts w:hint="eastAsia" w:ascii="Times New Roman" w:hAnsi="Times New Roman" w:eastAsia="宋体" w:cs="Times New Roman"/>
                <w:color w:val="auto"/>
                <w:sz w:val="22"/>
                <w:szCs w:val="22"/>
                <w:highlight w:val="none"/>
                <w:lang w:val="en-US" w:eastAsia="zh-CN"/>
              </w:rPr>
              <w:t>1225</w:t>
            </w:r>
            <w:r>
              <w:rPr>
                <w:rFonts w:hint="eastAsia" w:ascii="Times New Roman" w:hAnsi="Times New Roman" w:eastAsia="宋体" w:cs="Times New Roman"/>
                <w:color w:val="auto"/>
                <w:sz w:val="22"/>
                <w:szCs w:val="22"/>
                <w:highlight w:val="none"/>
                <w:lang w:eastAsia="zh-CN"/>
              </w:rPr>
              <w:t>m</w:t>
            </w:r>
            <w:r>
              <w:rPr>
                <w:rFonts w:hint="eastAsia" w:ascii="Times New Roman" w:hAnsi="Times New Roman" w:eastAsia="宋体" w:cs="Times New Roman"/>
                <w:color w:val="auto"/>
                <w:sz w:val="22"/>
                <w:szCs w:val="22"/>
                <w:highlight w:val="none"/>
                <w:vertAlign w:val="superscript"/>
                <w:lang w:eastAsia="zh-CN"/>
              </w:rPr>
              <w:t>3</w:t>
            </w:r>
            <w:r>
              <w:rPr>
                <w:rFonts w:hint="eastAsia" w:ascii="Times New Roman" w:hAnsi="Times New Roman" w:eastAsia="宋体" w:cs="Times New Roman"/>
                <w:color w:val="auto"/>
                <w:sz w:val="22"/>
                <w:szCs w:val="22"/>
                <w:highlight w:val="none"/>
                <w:lang w:eastAsia="zh-CN"/>
              </w:rPr>
              <w:t>/a</w:t>
            </w:r>
            <w:r>
              <w:rPr>
                <w:rFonts w:hint="eastAsia" w:ascii="Times New Roman" w:hAnsi="Times New Roman" w:eastAsia="宋体" w:cs="Times New Roman"/>
                <w:color w:val="auto"/>
                <w:sz w:val="22"/>
                <w:szCs w:val="22"/>
                <w:highlight w:val="none"/>
                <w:lang w:val="en-US" w:eastAsia="zh-CN"/>
              </w:rPr>
              <w:t>×25mg/L</w:t>
            </w:r>
            <w:r>
              <w:rPr>
                <w:rFonts w:eastAsia="宋体"/>
                <w:kern w:val="0"/>
                <w:sz w:val="24"/>
                <w:lang w:bidi="ar"/>
              </w:rPr>
              <w:t>×10</w:t>
            </w:r>
            <w:r>
              <w:rPr>
                <w:rFonts w:eastAsia="宋体"/>
                <w:kern w:val="0"/>
                <w:sz w:val="24"/>
                <w:vertAlign w:val="superscript"/>
                <w:lang w:bidi="ar"/>
              </w:rPr>
              <w:t>-6</w:t>
            </w:r>
            <w:r>
              <w:rPr>
                <w:rFonts w:hint="eastAsia" w:ascii="Times New Roman" w:hAnsi="Times New Roman" w:eastAsia="宋体" w:cs="Times New Roman"/>
                <w:color w:val="auto"/>
                <w:sz w:val="22"/>
                <w:szCs w:val="22"/>
                <w:highlight w:val="none"/>
                <w:lang w:val="en-US" w:eastAsia="zh-CN"/>
              </w:rPr>
              <w:t>=0.031t/a</w:t>
            </w:r>
          </w:p>
          <w:p>
            <w:pPr>
              <w:pStyle w:val="40"/>
              <w:widowControl w:val="0"/>
              <w:snapToGrid/>
              <w:spacing w:after="0" w:line="360" w:lineRule="auto"/>
              <w:ind w:firstLine="480" w:firstLineChars="200"/>
              <w:jc w:val="left"/>
              <w:rPr>
                <w:rFonts w:hint="default" w:ascii="Times New Roman" w:hAnsi="Times New Roman" w:cs="Times New Roman"/>
                <w:bCs/>
                <w:color w:val="auto"/>
                <w:sz w:val="22"/>
                <w:szCs w:val="22"/>
                <w:highlight w:val="none"/>
                <w:lang w:val="en-US" w:eastAsia="zh-CN"/>
              </w:rPr>
            </w:pPr>
            <w:r>
              <w:rPr>
                <w:rFonts w:hint="eastAsia" w:ascii="Times New Roman" w:hAnsi="Times New Roman" w:cs="Times New Roman"/>
                <w:bCs/>
                <w:color w:val="auto"/>
                <w:sz w:val="22"/>
                <w:szCs w:val="22"/>
                <w:highlight w:val="none"/>
                <w:lang w:val="en-US" w:eastAsia="zh-CN"/>
              </w:rPr>
              <w:t>总磷：</w:t>
            </w:r>
            <w:r>
              <w:rPr>
                <w:rFonts w:hint="eastAsia" w:ascii="Times New Roman" w:hAnsi="Times New Roman" w:eastAsia="宋体" w:cs="Times New Roman"/>
                <w:color w:val="auto"/>
                <w:sz w:val="22"/>
                <w:szCs w:val="22"/>
                <w:highlight w:val="none"/>
                <w:lang w:val="en-US" w:eastAsia="zh-CN"/>
              </w:rPr>
              <w:t>1225</w:t>
            </w:r>
            <w:r>
              <w:rPr>
                <w:rFonts w:hint="eastAsia" w:ascii="Times New Roman" w:hAnsi="Times New Roman" w:eastAsia="宋体" w:cs="Times New Roman"/>
                <w:color w:val="auto"/>
                <w:sz w:val="22"/>
                <w:szCs w:val="22"/>
                <w:highlight w:val="none"/>
                <w:lang w:eastAsia="zh-CN"/>
              </w:rPr>
              <w:t>m</w:t>
            </w:r>
            <w:r>
              <w:rPr>
                <w:rFonts w:hint="eastAsia" w:ascii="Times New Roman" w:hAnsi="Times New Roman" w:eastAsia="宋体" w:cs="Times New Roman"/>
                <w:color w:val="auto"/>
                <w:sz w:val="22"/>
                <w:szCs w:val="22"/>
                <w:highlight w:val="none"/>
                <w:vertAlign w:val="superscript"/>
                <w:lang w:eastAsia="zh-CN"/>
              </w:rPr>
              <w:t>3</w:t>
            </w:r>
            <w:r>
              <w:rPr>
                <w:rFonts w:hint="eastAsia" w:ascii="Times New Roman" w:hAnsi="Times New Roman" w:eastAsia="宋体" w:cs="Times New Roman"/>
                <w:color w:val="auto"/>
                <w:sz w:val="22"/>
                <w:szCs w:val="22"/>
                <w:highlight w:val="none"/>
                <w:lang w:eastAsia="zh-CN"/>
              </w:rPr>
              <w:t>/a</w:t>
            </w:r>
            <w:r>
              <w:rPr>
                <w:rFonts w:hint="eastAsia" w:ascii="Times New Roman" w:hAnsi="Times New Roman" w:eastAsia="宋体" w:cs="Times New Roman"/>
                <w:color w:val="auto"/>
                <w:sz w:val="22"/>
                <w:szCs w:val="22"/>
                <w:highlight w:val="none"/>
                <w:lang w:val="en-US" w:eastAsia="zh-CN"/>
              </w:rPr>
              <w:t>×8mg/L</w:t>
            </w:r>
            <w:r>
              <w:rPr>
                <w:rFonts w:eastAsia="宋体"/>
                <w:kern w:val="0"/>
                <w:sz w:val="24"/>
                <w:lang w:bidi="ar"/>
              </w:rPr>
              <w:t>×10</w:t>
            </w:r>
            <w:r>
              <w:rPr>
                <w:rFonts w:eastAsia="宋体"/>
                <w:kern w:val="0"/>
                <w:sz w:val="24"/>
                <w:vertAlign w:val="superscript"/>
                <w:lang w:bidi="ar"/>
              </w:rPr>
              <w:t>-6</w:t>
            </w:r>
            <w:r>
              <w:rPr>
                <w:rFonts w:hint="eastAsia" w:ascii="Times New Roman" w:hAnsi="Times New Roman" w:eastAsia="宋体" w:cs="Times New Roman"/>
                <w:color w:val="auto"/>
                <w:sz w:val="22"/>
                <w:szCs w:val="22"/>
                <w:highlight w:val="none"/>
                <w:lang w:val="en-US" w:eastAsia="zh-CN"/>
              </w:rPr>
              <w:t>=0.0098t/a</w:t>
            </w:r>
          </w:p>
          <w:p>
            <w:pPr>
              <w:pStyle w:val="40"/>
              <w:widowControl w:val="0"/>
              <w:snapToGrid/>
              <w:spacing w:after="0" w:line="360" w:lineRule="auto"/>
              <w:ind w:firstLine="480" w:firstLineChars="200"/>
              <w:jc w:val="left"/>
              <w:rPr>
                <w:rFonts w:hint="default" w:ascii="Times New Roman" w:hAnsi="Times New Roman" w:cs="Times New Roman"/>
                <w:bCs/>
                <w:color w:val="auto"/>
                <w:sz w:val="22"/>
                <w:szCs w:val="22"/>
                <w:highlight w:val="none"/>
                <w:lang w:val="en-US" w:eastAsia="zh-CN"/>
              </w:rPr>
            </w:pPr>
            <w:r>
              <w:rPr>
                <w:rFonts w:hint="eastAsia" w:ascii="Times New Roman" w:hAnsi="Times New Roman" w:cs="Times New Roman"/>
                <w:bCs/>
                <w:color w:val="auto"/>
                <w:sz w:val="22"/>
                <w:szCs w:val="22"/>
                <w:highlight w:val="none"/>
                <w:lang w:val="en-US" w:eastAsia="zh-CN"/>
              </w:rPr>
              <w:t>乐山市工业集中区污水处理厂污染物排放量：</w:t>
            </w:r>
          </w:p>
          <w:p>
            <w:pPr>
              <w:pStyle w:val="40"/>
              <w:widowControl w:val="0"/>
              <w:snapToGrid/>
              <w:spacing w:after="0" w:line="360" w:lineRule="auto"/>
              <w:ind w:firstLine="480" w:firstLineChars="200"/>
              <w:jc w:val="left"/>
              <w:rPr>
                <w:rFonts w:hint="default" w:ascii="Times New Roman" w:hAnsi="Times New Roman" w:cs="Times New Roman"/>
                <w:bCs/>
                <w:color w:val="auto"/>
                <w:sz w:val="22"/>
                <w:szCs w:val="22"/>
                <w:highlight w:val="none"/>
                <w:lang w:val="en-US" w:eastAsia="zh-CN"/>
              </w:rPr>
            </w:pPr>
            <w:r>
              <w:rPr>
                <w:rFonts w:hint="eastAsia" w:ascii="Times New Roman" w:hAnsi="Times New Roman" w:cs="Times New Roman"/>
                <w:bCs/>
                <w:color w:val="auto"/>
                <w:sz w:val="22"/>
                <w:szCs w:val="22"/>
                <w:highlight w:val="none"/>
                <w:lang w:val="en-US" w:eastAsia="zh-CN"/>
              </w:rPr>
              <w:t>COD：</w:t>
            </w:r>
            <w:r>
              <w:rPr>
                <w:rFonts w:hint="eastAsia" w:ascii="Times New Roman" w:hAnsi="Times New Roman" w:eastAsia="宋体" w:cs="Times New Roman"/>
                <w:color w:val="auto"/>
                <w:sz w:val="22"/>
                <w:szCs w:val="22"/>
                <w:highlight w:val="none"/>
                <w:lang w:val="en-US" w:eastAsia="zh-CN"/>
              </w:rPr>
              <w:t>1225</w:t>
            </w:r>
            <w:r>
              <w:rPr>
                <w:rFonts w:hint="eastAsia" w:ascii="Times New Roman" w:hAnsi="Times New Roman" w:eastAsia="宋体" w:cs="Times New Roman"/>
                <w:color w:val="auto"/>
                <w:sz w:val="22"/>
                <w:szCs w:val="22"/>
                <w:highlight w:val="none"/>
                <w:lang w:eastAsia="zh-CN"/>
              </w:rPr>
              <w:t>m</w:t>
            </w:r>
            <w:r>
              <w:rPr>
                <w:rFonts w:hint="eastAsia" w:ascii="Times New Roman" w:hAnsi="Times New Roman" w:eastAsia="宋体" w:cs="Times New Roman"/>
                <w:color w:val="auto"/>
                <w:sz w:val="22"/>
                <w:szCs w:val="22"/>
                <w:highlight w:val="none"/>
                <w:vertAlign w:val="superscript"/>
                <w:lang w:eastAsia="zh-CN"/>
              </w:rPr>
              <w:t>3</w:t>
            </w:r>
            <w:r>
              <w:rPr>
                <w:rFonts w:hint="eastAsia" w:ascii="Times New Roman" w:hAnsi="Times New Roman" w:eastAsia="宋体" w:cs="Times New Roman"/>
                <w:color w:val="auto"/>
                <w:sz w:val="22"/>
                <w:szCs w:val="22"/>
                <w:highlight w:val="none"/>
                <w:lang w:eastAsia="zh-CN"/>
              </w:rPr>
              <w:t>/a</w:t>
            </w:r>
            <w:r>
              <w:rPr>
                <w:rFonts w:hint="eastAsia" w:ascii="Times New Roman" w:hAnsi="Times New Roman" w:eastAsia="宋体" w:cs="Times New Roman"/>
                <w:color w:val="auto"/>
                <w:sz w:val="22"/>
                <w:szCs w:val="22"/>
                <w:highlight w:val="none"/>
                <w:lang w:val="en-US" w:eastAsia="zh-CN"/>
              </w:rPr>
              <w:t>×40mg/L</w:t>
            </w:r>
            <w:r>
              <w:rPr>
                <w:rFonts w:eastAsia="宋体"/>
                <w:kern w:val="0"/>
                <w:sz w:val="24"/>
                <w:lang w:bidi="ar"/>
              </w:rPr>
              <w:t>×10</w:t>
            </w:r>
            <w:r>
              <w:rPr>
                <w:rFonts w:eastAsia="宋体"/>
                <w:kern w:val="0"/>
                <w:sz w:val="24"/>
                <w:vertAlign w:val="superscript"/>
                <w:lang w:bidi="ar"/>
              </w:rPr>
              <w:t>-6</w:t>
            </w:r>
            <w:r>
              <w:rPr>
                <w:rFonts w:hint="eastAsia" w:ascii="Times New Roman" w:hAnsi="Times New Roman" w:eastAsia="宋体" w:cs="Times New Roman"/>
                <w:color w:val="auto"/>
                <w:sz w:val="22"/>
                <w:szCs w:val="22"/>
                <w:highlight w:val="none"/>
                <w:lang w:val="en-US" w:eastAsia="zh-CN"/>
              </w:rPr>
              <w:t>=0.049t/a</w:t>
            </w:r>
          </w:p>
          <w:p>
            <w:pPr>
              <w:pStyle w:val="40"/>
              <w:widowControl w:val="0"/>
              <w:snapToGrid/>
              <w:spacing w:after="0" w:line="360" w:lineRule="auto"/>
              <w:ind w:firstLine="480" w:firstLineChars="200"/>
              <w:jc w:val="left"/>
              <w:rPr>
                <w:rFonts w:hint="default" w:ascii="Times New Roman" w:hAnsi="Times New Roman" w:cs="Times New Roman"/>
                <w:bCs/>
                <w:color w:val="auto"/>
                <w:sz w:val="22"/>
                <w:szCs w:val="22"/>
                <w:highlight w:val="none"/>
                <w:lang w:val="en-US" w:eastAsia="zh-CN"/>
              </w:rPr>
            </w:pPr>
            <w:r>
              <w:rPr>
                <w:rFonts w:hint="eastAsia" w:ascii="Times New Roman" w:hAnsi="Times New Roman" w:cs="Times New Roman"/>
                <w:bCs/>
                <w:color w:val="auto"/>
                <w:sz w:val="22"/>
                <w:szCs w:val="22"/>
                <w:highlight w:val="none"/>
                <w:lang w:val="en-US" w:eastAsia="zh-CN"/>
              </w:rPr>
              <w:t>氨氮：</w:t>
            </w:r>
            <w:r>
              <w:rPr>
                <w:rFonts w:hint="eastAsia" w:ascii="Times New Roman" w:hAnsi="Times New Roman" w:eastAsia="宋体" w:cs="Times New Roman"/>
                <w:color w:val="auto"/>
                <w:sz w:val="22"/>
                <w:szCs w:val="22"/>
                <w:highlight w:val="none"/>
                <w:lang w:val="en-US" w:eastAsia="zh-CN"/>
              </w:rPr>
              <w:t>1225</w:t>
            </w:r>
            <w:r>
              <w:rPr>
                <w:rFonts w:hint="eastAsia" w:ascii="Times New Roman" w:hAnsi="Times New Roman" w:eastAsia="宋体" w:cs="Times New Roman"/>
                <w:color w:val="auto"/>
                <w:sz w:val="22"/>
                <w:szCs w:val="22"/>
                <w:highlight w:val="none"/>
                <w:lang w:eastAsia="zh-CN"/>
              </w:rPr>
              <w:t>m</w:t>
            </w:r>
            <w:r>
              <w:rPr>
                <w:rFonts w:hint="eastAsia" w:ascii="Times New Roman" w:hAnsi="Times New Roman" w:eastAsia="宋体" w:cs="Times New Roman"/>
                <w:color w:val="auto"/>
                <w:sz w:val="22"/>
                <w:szCs w:val="22"/>
                <w:highlight w:val="none"/>
                <w:vertAlign w:val="superscript"/>
                <w:lang w:eastAsia="zh-CN"/>
              </w:rPr>
              <w:t>3</w:t>
            </w:r>
            <w:r>
              <w:rPr>
                <w:rFonts w:hint="eastAsia" w:ascii="Times New Roman" w:hAnsi="Times New Roman" w:eastAsia="宋体" w:cs="Times New Roman"/>
                <w:color w:val="auto"/>
                <w:sz w:val="22"/>
                <w:szCs w:val="22"/>
                <w:highlight w:val="none"/>
                <w:lang w:eastAsia="zh-CN"/>
              </w:rPr>
              <w:t>/a</w:t>
            </w:r>
            <w:r>
              <w:rPr>
                <w:rFonts w:hint="eastAsia" w:ascii="Times New Roman" w:hAnsi="Times New Roman" w:eastAsia="宋体" w:cs="Times New Roman"/>
                <w:color w:val="auto"/>
                <w:sz w:val="22"/>
                <w:szCs w:val="22"/>
                <w:highlight w:val="none"/>
                <w:lang w:val="en-US" w:eastAsia="zh-CN"/>
              </w:rPr>
              <w:t>×3mg/L</w:t>
            </w:r>
            <w:r>
              <w:rPr>
                <w:rFonts w:eastAsia="宋体"/>
                <w:kern w:val="0"/>
                <w:sz w:val="24"/>
                <w:lang w:bidi="ar"/>
              </w:rPr>
              <w:t>×10</w:t>
            </w:r>
            <w:r>
              <w:rPr>
                <w:rFonts w:eastAsia="宋体"/>
                <w:kern w:val="0"/>
                <w:sz w:val="24"/>
                <w:vertAlign w:val="superscript"/>
                <w:lang w:bidi="ar"/>
              </w:rPr>
              <w:t>-6</w:t>
            </w:r>
            <w:r>
              <w:rPr>
                <w:rFonts w:hint="eastAsia" w:ascii="Times New Roman" w:hAnsi="Times New Roman" w:eastAsia="宋体" w:cs="Times New Roman"/>
                <w:color w:val="auto"/>
                <w:sz w:val="22"/>
                <w:szCs w:val="22"/>
                <w:highlight w:val="none"/>
                <w:lang w:val="en-US" w:eastAsia="zh-CN"/>
              </w:rPr>
              <w:t>=0.0037t/a</w:t>
            </w:r>
          </w:p>
          <w:p>
            <w:pPr>
              <w:pStyle w:val="40"/>
              <w:widowControl w:val="0"/>
              <w:snapToGrid/>
              <w:spacing w:after="0" w:line="360" w:lineRule="auto"/>
              <w:ind w:firstLine="480" w:firstLineChars="200"/>
              <w:jc w:val="left"/>
              <w:rPr>
                <w:rFonts w:hint="default" w:ascii="Times New Roman" w:hAnsi="Times New Roman" w:cs="Times New Roman"/>
                <w:bCs/>
                <w:color w:val="auto"/>
                <w:sz w:val="22"/>
                <w:szCs w:val="22"/>
                <w:highlight w:val="none"/>
                <w:lang w:val="en-US" w:eastAsia="zh-CN"/>
              </w:rPr>
            </w:pPr>
            <w:r>
              <w:rPr>
                <w:rFonts w:hint="eastAsia" w:ascii="Times New Roman" w:hAnsi="Times New Roman" w:cs="Times New Roman"/>
                <w:bCs/>
                <w:color w:val="auto"/>
                <w:sz w:val="22"/>
                <w:szCs w:val="22"/>
                <w:highlight w:val="none"/>
                <w:lang w:val="en-US" w:eastAsia="zh-CN"/>
              </w:rPr>
              <w:t>总磷：</w:t>
            </w:r>
            <w:r>
              <w:rPr>
                <w:rFonts w:hint="eastAsia" w:ascii="Times New Roman" w:hAnsi="Times New Roman" w:eastAsia="宋体" w:cs="Times New Roman"/>
                <w:color w:val="auto"/>
                <w:sz w:val="22"/>
                <w:szCs w:val="22"/>
                <w:highlight w:val="none"/>
                <w:lang w:val="en-US" w:eastAsia="zh-CN"/>
              </w:rPr>
              <w:t>1225</w:t>
            </w:r>
            <w:r>
              <w:rPr>
                <w:rFonts w:hint="eastAsia" w:ascii="Times New Roman" w:hAnsi="Times New Roman" w:eastAsia="宋体" w:cs="Times New Roman"/>
                <w:color w:val="auto"/>
                <w:sz w:val="22"/>
                <w:szCs w:val="22"/>
                <w:highlight w:val="none"/>
                <w:lang w:eastAsia="zh-CN"/>
              </w:rPr>
              <w:t>m</w:t>
            </w:r>
            <w:r>
              <w:rPr>
                <w:rFonts w:hint="eastAsia" w:ascii="Times New Roman" w:hAnsi="Times New Roman" w:eastAsia="宋体" w:cs="Times New Roman"/>
                <w:color w:val="auto"/>
                <w:sz w:val="22"/>
                <w:szCs w:val="22"/>
                <w:highlight w:val="none"/>
                <w:vertAlign w:val="superscript"/>
                <w:lang w:eastAsia="zh-CN"/>
              </w:rPr>
              <w:t>3</w:t>
            </w:r>
            <w:r>
              <w:rPr>
                <w:rFonts w:hint="eastAsia" w:ascii="Times New Roman" w:hAnsi="Times New Roman" w:eastAsia="宋体" w:cs="Times New Roman"/>
                <w:color w:val="auto"/>
                <w:sz w:val="22"/>
                <w:szCs w:val="22"/>
                <w:highlight w:val="none"/>
                <w:lang w:eastAsia="zh-CN"/>
              </w:rPr>
              <w:t>/a</w:t>
            </w:r>
            <w:r>
              <w:rPr>
                <w:rFonts w:hint="eastAsia" w:ascii="Times New Roman" w:hAnsi="Times New Roman" w:eastAsia="宋体" w:cs="Times New Roman"/>
                <w:color w:val="auto"/>
                <w:sz w:val="22"/>
                <w:szCs w:val="22"/>
                <w:highlight w:val="none"/>
                <w:lang w:val="en-US" w:eastAsia="zh-CN"/>
              </w:rPr>
              <w:t>×0.5mg/L</w:t>
            </w:r>
            <w:r>
              <w:rPr>
                <w:rFonts w:eastAsia="宋体"/>
                <w:kern w:val="0"/>
                <w:sz w:val="24"/>
                <w:lang w:bidi="ar"/>
              </w:rPr>
              <w:t>×10</w:t>
            </w:r>
            <w:r>
              <w:rPr>
                <w:rFonts w:eastAsia="宋体"/>
                <w:kern w:val="0"/>
                <w:sz w:val="24"/>
                <w:vertAlign w:val="superscript"/>
                <w:lang w:bidi="ar"/>
              </w:rPr>
              <w:t>-6</w:t>
            </w:r>
            <w:r>
              <w:rPr>
                <w:rFonts w:hint="eastAsia" w:ascii="Times New Roman" w:hAnsi="Times New Roman" w:eastAsia="宋体" w:cs="Times New Roman"/>
                <w:color w:val="auto"/>
                <w:sz w:val="22"/>
                <w:szCs w:val="22"/>
                <w:highlight w:val="none"/>
                <w:lang w:val="en-US" w:eastAsia="zh-CN"/>
              </w:rPr>
              <w:t>=0.0006t/a</w:t>
            </w:r>
          </w:p>
          <w:p>
            <w:pPr>
              <w:spacing w:line="360" w:lineRule="auto"/>
              <w:ind w:firstLine="480"/>
              <w:rPr>
                <w:rFonts w:hint="eastAsia" w:ascii="Times New Roman" w:hAnsi="Times New Roman" w:cs="Times New Roman"/>
                <w:color w:val="auto"/>
                <w:kern w:val="2"/>
                <w:sz w:val="22"/>
                <w:szCs w:val="21"/>
                <w:highlight w:val="none"/>
                <w:lang w:val="zh-CN"/>
              </w:rPr>
            </w:pPr>
            <w:r>
              <w:rPr>
                <w:rFonts w:hint="eastAsia" w:ascii="Times New Roman" w:hAnsi="Times New Roman" w:eastAsia="宋体" w:cs="Times New Roman"/>
                <w:color w:val="auto"/>
                <w:sz w:val="22"/>
                <w:szCs w:val="22"/>
                <w:highlight w:val="none"/>
                <w:lang w:val="en-US" w:eastAsia="zh-CN"/>
              </w:rPr>
              <w:t>因废水最终进入</w:t>
            </w:r>
            <w:r>
              <w:rPr>
                <w:rFonts w:hint="eastAsia" w:ascii="Times New Roman" w:hAnsi="Times New Roman" w:cs="Times New Roman"/>
                <w:bCs/>
                <w:color w:val="auto"/>
                <w:sz w:val="22"/>
                <w:szCs w:val="22"/>
                <w:highlight w:val="none"/>
                <w:lang w:val="en-US" w:eastAsia="zh-CN"/>
              </w:rPr>
              <w:t>乐山市工业集中区污水处理厂</w:t>
            </w:r>
            <w:r>
              <w:rPr>
                <w:rFonts w:hint="eastAsia" w:ascii="Times New Roman" w:hAnsi="Times New Roman" w:cs="Times New Roman"/>
                <w:color w:val="auto"/>
                <w:kern w:val="2"/>
                <w:sz w:val="22"/>
                <w:szCs w:val="21"/>
                <w:highlight w:val="none"/>
                <w:lang w:val="en-US" w:eastAsia="zh-CN"/>
              </w:rPr>
              <w:t>处理，</w:t>
            </w:r>
            <w:r>
              <w:rPr>
                <w:rFonts w:hint="default" w:ascii="Times New Roman" w:hAnsi="Times New Roman" w:cs="Times New Roman"/>
                <w:color w:val="auto"/>
                <w:kern w:val="2"/>
                <w:sz w:val="22"/>
                <w:szCs w:val="21"/>
                <w:highlight w:val="none"/>
                <w:lang w:val="en-US" w:eastAsia="zh-CN"/>
              </w:rPr>
              <w:t>项目</w:t>
            </w:r>
            <w:r>
              <w:rPr>
                <w:rFonts w:hint="eastAsia" w:ascii="Times New Roman" w:hAnsi="Times New Roman" w:cs="Times New Roman"/>
                <w:color w:val="auto"/>
                <w:kern w:val="2"/>
                <w:sz w:val="22"/>
                <w:szCs w:val="21"/>
                <w:highlight w:val="none"/>
                <w:lang w:eastAsia="zh-CN"/>
              </w:rPr>
              <w:t>水污染物总量控制指标计入</w:t>
            </w:r>
            <w:r>
              <w:rPr>
                <w:rFonts w:hint="eastAsia" w:cs="Times New Roman"/>
                <w:color w:val="auto"/>
                <w:kern w:val="2"/>
                <w:sz w:val="22"/>
                <w:szCs w:val="21"/>
                <w:highlight w:val="none"/>
                <w:lang w:val="en-US" w:eastAsia="zh-CN"/>
              </w:rPr>
              <w:t>污水处理厂</w:t>
            </w:r>
            <w:r>
              <w:rPr>
                <w:rFonts w:hint="eastAsia" w:ascii="Times New Roman" w:hAnsi="Times New Roman" w:cs="Times New Roman"/>
                <w:color w:val="auto"/>
                <w:kern w:val="2"/>
                <w:sz w:val="22"/>
                <w:szCs w:val="21"/>
                <w:highlight w:val="none"/>
                <w:lang w:eastAsia="zh-CN"/>
              </w:rPr>
              <w:t>的总量控制指标内，</w:t>
            </w:r>
            <w:r>
              <w:rPr>
                <w:rFonts w:hint="default" w:ascii="Times New Roman" w:hAnsi="Times New Roman" w:cs="Times New Roman"/>
                <w:color w:val="auto"/>
                <w:kern w:val="2"/>
                <w:sz w:val="22"/>
                <w:szCs w:val="21"/>
                <w:highlight w:val="none"/>
                <w:lang w:val="zh-CN"/>
              </w:rPr>
              <w:t>故本项目不</w:t>
            </w:r>
            <w:r>
              <w:rPr>
                <w:rFonts w:hint="eastAsia" w:ascii="Times New Roman" w:hAnsi="Times New Roman" w:cs="Times New Roman"/>
                <w:color w:val="auto"/>
                <w:kern w:val="2"/>
                <w:sz w:val="22"/>
                <w:szCs w:val="21"/>
                <w:highlight w:val="none"/>
                <w:lang w:val="zh-CN"/>
              </w:rPr>
              <w:t>单独</w:t>
            </w:r>
            <w:r>
              <w:rPr>
                <w:rFonts w:hint="default" w:ascii="Times New Roman" w:hAnsi="Times New Roman" w:cs="Times New Roman"/>
                <w:color w:val="auto"/>
                <w:kern w:val="2"/>
                <w:sz w:val="22"/>
                <w:szCs w:val="21"/>
                <w:highlight w:val="none"/>
                <w:lang w:val="zh-CN"/>
              </w:rPr>
              <w:t>设置水污染物总量控制指标</w:t>
            </w:r>
            <w:r>
              <w:rPr>
                <w:rFonts w:hint="eastAsia" w:ascii="Times New Roman" w:hAnsi="Times New Roman" w:cs="Times New Roman"/>
                <w:color w:val="auto"/>
                <w:kern w:val="2"/>
                <w:sz w:val="22"/>
                <w:szCs w:val="21"/>
                <w:highlight w:val="none"/>
                <w:lang w:val="zh-CN"/>
              </w:rPr>
              <w:t>。</w:t>
            </w:r>
          </w:p>
          <w:p>
            <w:pPr>
              <w:spacing w:line="360" w:lineRule="auto"/>
              <w:ind w:firstLine="480"/>
              <w:rPr>
                <w:rFonts w:hint="default" w:ascii="Times New Roman" w:hAnsi="Times New Roman" w:eastAsia="宋体" w:cs="Times New Roman"/>
                <w:b/>
                <w:bCs/>
                <w:color w:val="auto"/>
                <w:sz w:val="22"/>
                <w:szCs w:val="22"/>
                <w:highlight w:val="none"/>
                <w:lang w:eastAsia="zh-CN"/>
              </w:rPr>
            </w:pPr>
            <w:r>
              <w:rPr>
                <w:rFonts w:hint="default" w:ascii="Times New Roman" w:hAnsi="Times New Roman" w:cs="Times New Roman"/>
                <w:b/>
                <w:bCs/>
                <w:color w:val="auto"/>
                <w:sz w:val="22"/>
                <w:szCs w:val="22"/>
                <w:highlight w:val="none"/>
                <w:lang w:val="en-US" w:eastAsia="zh-CN"/>
              </w:rPr>
              <w:t>2、</w:t>
            </w:r>
            <w:r>
              <w:rPr>
                <w:rFonts w:hint="default" w:ascii="Times New Roman" w:hAnsi="Times New Roman" w:cs="Times New Roman"/>
                <w:b/>
                <w:bCs/>
                <w:color w:val="auto"/>
                <w:sz w:val="22"/>
                <w:szCs w:val="22"/>
                <w:highlight w:val="none"/>
                <w:lang w:eastAsia="zh-CN"/>
              </w:rPr>
              <w:t>废气</w:t>
            </w:r>
          </w:p>
          <w:p>
            <w:pPr>
              <w:spacing w:line="360" w:lineRule="auto"/>
              <w:ind w:firstLine="480"/>
              <w:rPr>
                <w:rFonts w:hint="eastAsia" w:ascii="Times New Roman" w:hAnsi="Times New Roman" w:eastAsia="宋体" w:cs="Times New Roman"/>
                <w:color w:val="auto"/>
                <w:sz w:val="22"/>
                <w:szCs w:val="22"/>
                <w:highlight w:val="none"/>
                <w:lang w:eastAsia="zh-CN"/>
              </w:rPr>
            </w:pPr>
            <w:r>
              <w:rPr>
                <w:rFonts w:hint="eastAsia" w:ascii="Times New Roman" w:hAnsi="Times New Roman" w:cs="Times New Roman"/>
                <w:color w:val="auto"/>
                <w:sz w:val="22"/>
                <w:szCs w:val="22"/>
                <w:highlight w:val="none"/>
                <w:lang w:eastAsia="zh-CN"/>
              </w:rPr>
              <w:t>根据环评有关规范、环保管理部门要求</w:t>
            </w:r>
            <w:r>
              <w:rPr>
                <w:rFonts w:hint="default" w:ascii="Times New Roman" w:hAnsi="Times New Roman" w:cs="Times New Roman"/>
                <w:color w:val="auto"/>
                <w:sz w:val="22"/>
                <w:szCs w:val="22"/>
                <w:highlight w:val="none"/>
              </w:rPr>
              <w:t>，结合工程分析，</w:t>
            </w:r>
            <w:r>
              <w:rPr>
                <w:rFonts w:hint="eastAsia" w:ascii="Times New Roman" w:hAnsi="Times New Roman" w:cs="Times New Roman"/>
                <w:color w:val="auto"/>
                <w:sz w:val="22"/>
                <w:szCs w:val="22"/>
                <w:highlight w:val="none"/>
                <w:lang w:eastAsia="zh-CN"/>
              </w:rPr>
              <w:t>本项目实施后</w:t>
            </w:r>
            <w:r>
              <w:rPr>
                <w:rFonts w:hint="default" w:ascii="Times New Roman" w:hAnsi="Times New Roman" w:cs="Times New Roman"/>
                <w:color w:val="auto"/>
                <w:sz w:val="22"/>
                <w:szCs w:val="22"/>
                <w:highlight w:val="none"/>
              </w:rPr>
              <w:t>，纳入总量控制要求的主要污染物是</w:t>
            </w:r>
            <w:r>
              <w:rPr>
                <w:rFonts w:hint="eastAsia" w:ascii="Times New Roman" w:hAnsi="Times New Roman" w:cs="Times New Roman"/>
                <w:color w:val="auto"/>
                <w:sz w:val="22"/>
                <w:szCs w:val="22"/>
                <w:highlight w:val="none"/>
                <w:lang w:val="en-US" w:eastAsia="zh-CN"/>
              </w:rPr>
              <w:t>VOCs（非甲烷总烃）</w:t>
            </w:r>
            <w:r>
              <w:rPr>
                <w:rFonts w:hint="eastAsia" w:ascii="Times New Roman" w:hAnsi="Times New Roman" w:cs="Times New Roman"/>
                <w:color w:val="auto"/>
                <w:sz w:val="22"/>
                <w:szCs w:val="21"/>
                <w:highlight w:val="none"/>
                <w:lang w:eastAsia="zh-CN"/>
              </w:rPr>
              <w:t>：</w:t>
            </w:r>
            <w:r>
              <w:rPr>
                <w:rFonts w:hint="eastAsia" w:ascii="Times New Roman" w:hAnsi="Times New Roman" w:cs="Times New Roman"/>
                <w:color w:val="auto"/>
                <w:sz w:val="22"/>
                <w:szCs w:val="21"/>
                <w:highlight w:val="none"/>
                <w:lang w:val="en-US" w:eastAsia="zh-CN"/>
              </w:rPr>
              <w:t>0.0123</w:t>
            </w:r>
            <w:r>
              <w:rPr>
                <w:rFonts w:hint="default" w:ascii="Times New Roman" w:hAnsi="Times New Roman" w:cs="Times New Roman"/>
                <w:color w:val="auto"/>
                <w:sz w:val="22"/>
                <w:szCs w:val="22"/>
                <w:highlight w:val="none"/>
                <w:lang w:val="zh-CN"/>
              </w:rPr>
              <w:t>t</w:t>
            </w:r>
            <w:r>
              <w:rPr>
                <w:rFonts w:hint="default" w:ascii="Times New Roman" w:hAnsi="Times New Roman" w:cs="Times New Roman"/>
                <w:color w:val="auto"/>
                <w:sz w:val="22"/>
                <w:szCs w:val="22"/>
                <w:highlight w:val="none"/>
                <w:lang w:val="de-DE"/>
              </w:rPr>
              <w:t>/a</w:t>
            </w:r>
            <w:r>
              <w:rPr>
                <w:rFonts w:hint="eastAsia" w:ascii="Times New Roman" w:hAnsi="Times New Roman" w:cs="Times New Roman"/>
                <w:color w:val="auto"/>
                <w:sz w:val="22"/>
                <w:szCs w:val="22"/>
                <w:highlight w:val="none"/>
                <w:lang w:val="de-DE" w:eastAsia="zh-CN"/>
              </w:rPr>
              <w:t>，</w:t>
            </w:r>
            <w:r>
              <w:rPr>
                <w:rFonts w:hint="eastAsia" w:ascii="Times New Roman" w:hAnsi="Times New Roman" w:eastAsia="宋体" w:cs="Times New Roman"/>
                <w:color w:val="auto"/>
                <w:sz w:val="22"/>
                <w:szCs w:val="22"/>
                <w:highlight w:val="none"/>
                <w:lang w:eastAsia="zh-CN"/>
              </w:rPr>
              <w:t>其总量控制指标根据地方生态环境主管部门要求下达。</w:t>
            </w:r>
          </w:p>
          <w:p>
            <w:pPr>
              <w:spacing w:line="360" w:lineRule="auto"/>
              <w:rPr>
                <w:rFonts w:hint="eastAsia" w:ascii="Times New Roman" w:hAnsi="Times New Roman" w:eastAsia="宋体" w:cs="Times New Roman"/>
                <w:color w:val="auto"/>
                <w:sz w:val="22"/>
                <w:szCs w:val="22"/>
                <w:highlight w:val="none"/>
                <w:lang w:val="en-US" w:eastAsia="zh-CN"/>
              </w:rPr>
            </w:pPr>
          </w:p>
          <w:p>
            <w:pPr>
              <w:spacing w:line="360" w:lineRule="auto"/>
              <w:rPr>
                <w:rFonts w:hint="eastAsia" w:ascii="Times New Roman" w:hAnsi="Times New Roman" w:eastAsia="宋体" w:cs="Times New Roman"/>
                <w:color w:val="auto"/>
                <w:sz w:val="22"/>
                <w:szCs w:val="22"/>
                <w:highlight w:val="none"/>
                <w:lang w:val="en-US" w:eastAsia="zh-CN"/>
              </w:rPr>
            </w:pPr>
          </w:p>
          <w:p>
            <w:pPr>
              <w:spacing w:line="360" w:lineRule="auto"/>
              <w:rPr>
                <w:rFonts w:hint="eastAsia" w:ascii="Times New Roman" w:hAnsi="Times New Roman" w:eastAsia="宋体" w:cs="Times New Roman"/>
                <w:color w:val="auto"/>
                <w:sz w:val="22"/>
                <w:szCs w:val="22"/>
                <w:highlight w:val="none"/>
                <w:lang w:val="en-US" w:eastAsia="zh-CN"/>
              </w:rPr>
            </w:pPr>
          </w:p>
          <w:p>
            <w:pPr>
              <w:spacing w:line="360" w:lineRule="auto"/>
              <w:rPr>
                <w:rFonts w:hint="eastAsia" w:ascii="Times New Roman" w:hAnsi="Times New Roman" w:eastAsia="宋体" w:cs="Times New Roman"/>
                <w:color w:val="auto"/>
                <w:sz w:val="22"/>
                <w:szCs w:val="22"/>
                <w:highlight w:val="none"/>
                <w:lang w:val="en-US" w:eastAsia="zh-CN"/>
              </w:rPr>
            </w:pPr>
          </w:p>
          <w:p>
            <w:pPr>
              <w:spacing w:line="360" w:lineRule="auto"/>
              <w:rPr>
                <w:rFonts w:hint="eastAsia" w:ascii="Times New Roman" w:hAnsi="Times New Roman" w:eastAsia="宋体" w:cs="Times New Roman"/>
                <w:color w:val="auto"/>
                <w:sz w:val="22"/>
                <w:szCs w:val="22"/>
                <w:highlight w:val="none"/>
                <w:lang w:val="en-US" w:eastAsia="zh-CN"/>
              </w:rPr>
            </w:pPr>
          </w:p>
          <w:p>
            <w:pPr>
              <w:spacing w:line="360" w:lineRule="auto"/>
              <w:rPr>
                <w:rFonts w:hint="eastAsia" w:ascii="Times New Roman" w:hAnsi="Times New Roman" w:eastAsia="宋体" w:cs="Times New Roman"/>
                <w:color w:val="auto"/>
                <w:sz w:val="22"/>
                <w:szCs w:val="22"/>
                <w:highlight w:val="none"/>
                <w:lang w:val="en-US" w:eastAsia="zh-CN"/>
              </w:rPr>
            </w:pPr>
          </w:p>
          <w:p>
            <w:pPr>
              <w:spacing w:line="360" w:lineRule="auto"/>
              <w:rPr>
                <w:rFonts w:hint="eastAsia" w:ascii="Times New Roman" w:hAnsi="Times New Roman" w:eastAsia="宋体" w:cs="Times New Roman"/>
                <w:color w:val="auto"/>
                <w:sz w:val="22"/>
                <w:szCs w:val="22"/>
                <w:highlight w:val="none"/>
                <w:lang w:val="en-US" w:eastAsia="zh-CN"/>
              </w:rPr>
            </w:pPr>
          </w:p>
          <w:p>
            <w:pPr>
              <w:spacing w:line="360" w:lineRule="auto"/>
              <w:rPr>
                <w:rFonts w:hint="eastAsia" w:ascii="Times New Roman" w:hAnsi="Times New Roman" w:eastAsia="宋体" w:cs="Times New Roman"/>
                <w:color w:val="auto"/>
                <w:sz w:val="22"/>
                <w:szCs w:val="22"/>
                <w:highlight w:val="none"/>
                <w:lang w:val="en-US" w:eastAsia="zh-CN"/>
              </w:rPr>
            </w:pPr>
          </w:p>
          <w:p>
            <w:pPr>
              <w:spacing w:line="360" w:lineRule="auto"/>
              <w:rPr>
                <w:rFonts w:hint="eastAsia" w:ascii="Times New Roman" w:hAnsi="Times New Roman" w:eastAsia="宋体" w:cs="Times New Roman"/>
                <w:color w:val="auto"/>
                <w:sz w:val="22"/>
                <w:szCs w:val="22"/>
                <w:highlight w:val="none"/>
                <w:lang w:val="en-US" w:eastAsia="zh-CN"/>
              </w:rPr>
            </w:pPr>
          </w:p>
          <w:p>
            <w:pPr>
              <w:spacing w:line="360" w:lineRule="auto"/>
              <w:rPr>
                <w:rFonts w:hint="eastAsia" w:ascii="Times New Roman" w:hAnsi="Times New Roman" w:eastAsia="宋体" w:cs="Times New Roman"/>
                <w:color w:val="auto"/>
                <w:sz w:val="22"/>
                <w:szCs w:val="22"/>
                <w:highlight w:val="none"/>
                <w:lang w:val="en-US" w:eastAsia="zh-CN"/>
              </w:rPr>
            </w:pPr>
          </w:p>
          <w:p>
            <w:pPr>
              <w:spacing w:line="360" w:lineRule="auto"/>
              <w:rPr>
                <w:rFonts w:hint="eastAsia" w:ascii="Times New Roman" w:hAnsi="Times New Roman" w:eastAsia="宋体" w:cs="Times New Roman"/>
                <w:color w:val="auto"/>
                <w:sz w:val="22"/>
                <w:szCs w:val="22"/>
                <w:highlight w:val="none"/>
                <w:lang w:val="en-US" w:eastAsia="zh-CN"/>
              </w:rPr>
            </w:pPr>
          </w:p>
          <w:p>
            <w:pPr>
              <w:spacing w:line="360" w:lineRule="auto"/>
              <w:rPr>
                <w:rFonts w:hint="eastAsia" w:ascii="Times New Roman" w:hAnsi="Times New Roman" w:eastAsia="宋体" w:cs="Times New Roman"/>
                <w:color w:val="auto"/>
                <w:sz w:val="22"/>
                <w:szCs w:val="22"/>
                <w:highlight w:val="none"/>
                <w:lang w:val="en-US" w:eastAsia="zh-CN"/>
              </w:rPr>
            </w:pPr>
          </w:p>
          <w:p>
            <w:pPr>
              <w:spacing w:line="360" w:lineRule="auto"/>
              <w:rPr>
                <w:rFonts w:hint="eastAsia" w:ascii="Times New Roman" w:hAnsi="Times New Roman" w:eastAsia="宋体" w:cs="Times New Roman"/>
                <w:color w:val="auto"/>
                <w:sz w:val="22"/>
                <w:szCs w:val="22"/>
                <w:highlight w:val="none"/>
                <w:lang w:val="en-US" w:eastAsia="zh-CN"/>
              </w:rPr>
            </w:pPr>
          </w:p>
          <w:p>
            <w:pPr>
              <w:spacing w:line="360" w:lineRule="auto"/>
              <w:rPr>
                <w:rFonts w:hint="eastAsia" w:ascii="Times New Roman" w:hAnsi="Times New Roman" w:eastAsia="宋体" w:cs="Times New Roman"/>
                <w:color w:val="auto"/>
                <w:sz w:val="22"/>
                <w:szCs w:val="22"/>
                <w:highlight w:val="none"/>
                <w:lang w:val="en-US" w:eastAsia="zh-CN"/>
              </w:rPr>
            </w:pPr>
          </w:p>
          <w:p>
            <w:pPr>
              <w:spacing w:line="360" w:lineRule="auto"/>
              <w:rPr>
                <w:rFonts w:hint="eastAsia" w:ascii="Times New Roman" w:hAnsi="Times New Roman" w:eastAsia="宋体" w:cs="Times New Roman"/>
                <w:color w:val="auto"/>
                <w:sz w:val="22"/>
                <w:szCs w:val="22"/>
                <w:highlight w:val="none"/>
                <w:lang w:val="en-US" w:eastAsia="zh-CN"/>
              </w:rPr>
            </w:pPr>
          </w:p>
          <w:p>
            <w:pPr>
              <w:spacing w:line="360" w:lineRule="auto"/>
              <w:rPr>
                <w:rFonts w:hint="eastAsia" w:ascii="Times New Roman" w:hAnsi="Times New Roman" w:eastAsia="宋体" w:cs="Times New Roman"/>
                <w:color w:val="auto"/>
                <w:sz w:val="22"/>
                <w:szCs w:val="22"/>
                <w:highlight w:val="none"/>
                <w:lang w:val="en-US" w:eastAsia="zh-CN"/>
              </w:rPr>
            </w:pPr>
          </w:p>
          <w:p>
            <w:pPr>
              <w:spacing w:line="360" w:lineRule="auto"/>
              <w:rPr>
                <w:rFonts w:hint="eastAsia" w:ascii="Times New Roman" w:hAnsi="Times New Roman" w:eastAsia="宋体" w:cs="Times New Roman"/>
                <w:color w:val="auto"/>
                <w:sz w:val="22"/>
                <w:szCs w:val="22"/>
                <w:highlight w:val="none"/>
                <w:lang w:val="en-US" w:eastAsia="zh-CN"/>
              </w:rPr>
            </w:pPr>
          </w:p>
          <w:p>
            <w:pPr>
              <w:spacing w:line="360" w:lineRule="auto"/>
              <w:rPr>
                <w:rFonts w:hint="eastAsia" w:ascii="Times New Roman" w:hAnsi="Times New Roman" w:eastAsia="宋体" w:cs="Times New Roman"/>
                <w:color w:val="auto"/>
                <w:sz w:val="22"/>
                <w:szCs w:val="22"/>
                <w:highlight w:val="none"/>
                <w:lang w:val="en-US" w:eastAsia="zh-CN"/>
              </w:rPr>
            </w:pPr>
          </w:p>
          <w:p>
            <w:pPr>
              <w:spacing w:line="360" w:lineRule="auto"/>
              <w:rPr>
                <w:rFonts w:hint="eastAsia" w:ascii="Times New Roman" w:hAnsi="Times New Roman" w:eastAsia="宋体" w:cs="Times New Roman"/>
                <w:color w:val="auto"/>
                <w:sz w:val="22"/>
                <w:szCs w:val="22"/>
                <w:highlight w:val="none"/>
                <w:lang w:val="en-US" w:eastAsia="zh-CN"/>
              </w:rPr>
            </w:pPr>
          </w:p>
          <w:p>
            <w:pPr>
              <w:spacing w:line="360" w:lineRule="auto"/>
              <w:rPr>
                <w:rFonts w:hint="eastAsia" w:ascii="Times New Roman" w:hAnsi="Times New Roman" w:eastAsia="宋体" w:cs="Times New Roman"/>
                <w:color w:val="auto"/>
                <w:sz w:val="22"/>
                <w:szCs w:val="22"/>
                <w:highlight w:val="none"/>
                <w:lang w:val="en-US" w:eastAsia="zh-CN"/>
              </w:rPr>
            </w:pPr>
          </w:p>
          <w:p>
            <w:pPr>
              <w:spacing w:line="360" w:lineRule="auto"/>
              <w:rPr>
                <w:rFonts w:hint="eastAsia" w:ascii="Times New Roman" w:hAnsi="Times New Roman" w:eastAsia="宋体" w:cs="Times New Roman"/>
                <w:color w:val="auto"/>
                <w:sz w:val="22"/>
                <w:szCs w:val="22"/>
                <w:highlight w:val="none"/>
                <w:lang w:val="en-US" w:eastAsia="zh-CN"/>
              </w:rPr>
            </w:pPr>
          </w:p>
          <w:p>
            <w:pPr>
              <w:spacing w:line="360" w:lineRule="auto"/>
              <w:rPr>
                <w:rFonts w:hint="eastAsia" w:ascii="Times New Roman" w:hAnsi="Times New Roman" w:eastAsia="宋体" w:cs="Times New Roman"/>
                <w:color w:val="auto"/>
                <w:sz w:val="22"/>
                <w:szCs w:val="22"/>
                <w:highlight w:val="none"/>
                <w:lang w:val="en-US" w:eastAsia="zh-CN"/>
              </w:rPr>
            </w:pPr>
          </w:p>
          <w:p>
            <w:pPr>
              <w:spacing w:line="360" w:lineRule="auto"/>
              <w:rPr>
                <w:rFonts w:hint="eastAsia" w:ascii="Times New Roman" w:hAnsi="Times New Roman" w:eastAsia="宋体" w:cs="Times New Roman"/>
                <w:color w:val="auto"/>
                <w:sz w:val="22"/>
                <w:szCs w:val="22"/>
                <w:highlight w:val="none"/>
                <w:lang w:val="en-US" w:eastAsia="zh-CN"/>
              </w:rPr>
            </w:pPr>
          </w:p>
          <w:p>
            <w:pPr>
              <w:spacing w:line="360" w:lineRule="auto"/>
              <w:rPr>
                <w:rFonts w:hint="default" w:ascii="Times New Roman" w:hAnsi="Times New Roman" w:eastAsia="宋体" w:cs="Times New Roman"/>
                <w:color w:val="auto"/>
                <w:sz w:val="22"/>
                <w:szCs w:val="22"/>
                <w:highlight w:val="none"/>
                <w:lang w:val="en-US" w:eastAsia="zh-CN"/>
              </w:rPr>
            </w:pPr>
          </w:p>
          <w:p>
            <w:pPr>
              <w:spacing w:line="360" w:lineRule="auto"/>
              <w:rPr>
                <w:rFonts w:hint="default" w:ascii="Times New Roman" w:hAnsi="Times New Roman" w:eastAsia="宋体" w:cs="Times New Roman"/>
                <w:color w:val="auto"/>
                <w:kern w:val="0"/>
                <w:szCs w:val="21"/>
                <w:highlight w:val="none"/>
                <w:lang w:val="en-US" w:eastAsia="zh-CN"/>
              </w:rPr>
            </w:pPr>
          </w:p>
        </w:tc>
      </w:tr>
    </w:tbl>
    <w:p>
      <w:pPr>
        <w:pStyle w:val="37"/>
        <w:jc w:val="center"/>
        <w:outlineLvl w:val="0"/>
        <w:rPr>
          <w:rFonts w:hint="default" w:ascii="Times New Roman" w:hAnsi="Times New Roman" w:eastAsia="黑体" w:cs="Times New Roman"/>
          <w:snapToGrid w:val="0"/>
          <w:color w:val="auto"/>
          <w:sz w:val="30"/>
          <w:szCs w:val="30"/>
          <w:highlight w:val="none"/>
        </w:rPr>
      </w:pPr>
      <w:r>
        <w:rPr>
          <w:rFonts w:hint="default" w:ascii="Times New Roman" w:hAnsi="Times New Roman" w:eastAsia="黑体" w:cs="Times New Roman"/>
          <w:snapToGrid w:val="0"/>
          <w:color w:val="auto"/>
          <w:sz w:val="36"/>
          <w:szCs w:val="36"/>
          <w:highlight w:val="none"/>
        </w:rPr>
        <w:br w:type="page"/>
      </w:r>
      <w:r>
        <w:rPr>
          <w:rFonts w:hint="default" w:ascii="Times New Roman" w:hAnsi="Times New Roman" w:eastAsia="黑体" w:cs="Times New Roman"/>
          <w:snapToGrid w:val="0"/>
          <w:color w:val="auto"/>
          <w:sz w:val="30"/>
          <w:szCs w:val="30"/>
          <w:highlight w:val="none"/>
        </w:rPr>
        <w:t>四、主要环境影响和保护措施</w:t>
      </w:r>
    </w:p>
    <w:tbl>
      <w:tblPr>
        <w:tblStyle w:val="4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49" w:hRule="atLeast"/>
          <w:jc w:val="center"/>
        </w:trPr>
        <w:tc>
          <w:tcPr>
            <w:tcW w:w="746" w:type="dxa"/>
            <w:noWrap w:val="0"/>
            <w:tcMar>
              <w:left w:w="28" w:type="dxa"/>
              <w:right w:w="28" w:type="dxa"/>
            </w:tcMar>
            <w:vAlign w:val="center"/>
          </w:tcPr>
          <w:p>
            <w:pPr>
              <w:pStyle w:val="37"/>
              <w:adjustRightInd w:val="0"/>
              <w:snapToGrid w:val="0"/>
              <w:spacing w:before="0" w:beforeAutospacing="0" w:after="0" w:afterAutospacing="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施工</w:t>
            </w:r>
          </w:p>
          <w:p>
            <w:pPr>
              <w:pStyle w:val="37"/>
              <w:adjustRightInd w:val="0"/>
              <w:snapToGrid w:val="0"/>
              <w:spacing w:before="0" w:beforeAutospacing="0" w:after="0" w:afterAutospacing="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期环</w:t>
            </w:r>
          </w:p>
          <w:p>
            <w:pPr>
              <w:pStyle w:val="37"/>
              <w:adjustRightInd w:val="0"/>
              <w:snapToGrid w:val="0"/>
              <w:spacing w:before="0" w:beforeAutospacing="0" w:after="0" w:afterAutospacing="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境保</w:t>
            </w:r>
          </w:p>
          <w:p>
            <w:pPr>
              <w:pStyle w:val="37"/>
              <w:adjustRightInd w:val="0"/>
              <w:snapToGrid w:val="0"/>
              <w:spacing w:before="0" w:beforeAutospacing="0" w:after="0" w:afterAutospacing="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护措</w:t>
            </w:r>
          </w:p>
          <w:p>
            <w:pPr>
              <w:pStyle w:val="37"/>
              <w:adjustRightInd w:val="0"/>
              <w:snapToGrid w:val="0"/>
              <w:spacing w:before="0" w:beforeAutospacing="0" w:after="0" w:afterAutospacing="0"/>
              <w:jc w:val="center"/>
              <w:rPr>
                <w:rFonts w:hint="default" w:ascii="Times New Roman" w:hAnsi="Times New Roman" w:cs="Times New Roman"/>
                <w:bCs/>
                <w:color w:val="auto"/>
                <w:kern w:val="2"/>
                <w:sz w:val="21"/>
                <w:szCs w:val="21"/>
                <w:highlight w:val="none"/>
              </w:rPr>
            </w:pPr>
            <w:r>
              <w:rPr>
                <w:rFonts w:hint="default" w:ascii="Times New Roman" w:hAnsi="Times New Roman" w:cs="Times New Roman"/>
                <w:color w:val="auto"/>
                <w:kern w:val="2"/>
                <w:sz w:val="21"/>
                <w:szCs w:val="21"/>
                <w:highlight w:val="none"/>
              </w:rPr>
              <w:t>施</w:t>
            </w:r>
          </w:p>
        </w:tc>
        <w:tc>
          <w:tcPr>
            <w:tcW w:w="8162" w:type="dxa"/>
            <w:noWrap w:val="0"/>
            <w:vAlign w:val="center"/>
          </w:tcPr>
          <w:p>
            <w:pPr>
              <w:spacing w:line="360" w:lineRule="auto"/>
              <w:ind w:firstLine="442" w:firstLineChars="200"/>
              <w:rPr>
                <w:rFonts w:hint="default" w:ascii="Times New Roman" w:hAnsi="Times New Roman" w:cs="Times New Roman"/>
                <w:b/>
                <w:bCs/>
                <w:color w:val="auto"/>
                <w:sz w:val="22"/>
                <w:szCs w:val="22"/>
                <w:highlight w:val="none"/>
              </w:rPr>
            </w:pPr>
            <w:r>
              <w:rPr>
                <w:rFonts w:hint="default" w:ascii="Times New Roman" w:hAnsi="Times New Roman" w:cs="Times New Roman"/>
                <w:b/>
                <w:bCs/>
                <w:color w:val="auto"/>
                <w:sz w:val="22"/>
                <w:szCs w:val="22"/>
                <w:highlight w:val="none"/>
                <w:lang w:val="en-US" w:eastAsia="zh-CN"/>
              </w:rPr>
              <w:t>1、</w:t>
            </w:r>
            <w:r>
              <w:rPr>
                <w:rFonts w:hint="default" w:ascii="Times New Roman" w:hAnsi="Times New Roman" w:cs="Times New Roman"/>
                <w:b/>
                <w:bCs/>
                <w:color w:val="auto"/>
                <w:sz w:val="22"/>
                <w:szCs w:val="22"/>
                <w:highlight w:val="none"/>
              </w:rPr>
              <w:t>废气</w:t>
            </w:r>
          </w:p>
          <w:p>
            <w:pPr>
              <w:spacing w:line="360" w:lineRule="auto"/>
              <w:ind w:firstLine="442" w:firstLineChars="200"/>
              <w:rPr>
                <w:rFonts w:hint="default" w:ascii="Times New Roman" w:hAnsi="Times New Roman" w:eastAsia="宋体" w:cs="Times New Roman"/>
                <w:b/>
                <w:bCs/>
                <w:color w:val="000000"/>
                <w:sz w:val="22"/>
                <w:szCs w:val="21"/>
                <w:highlight w:val="none"/>
              </w:rPr>
            </w:pPr>
            <w:r>
              <w:rPr>
                <w:rFonts w:hint="default" w:ascii="Times New Roman" w:hAnsi="Times New Roman" w:eastAsia="宋体" w:cs="Times New Roman"/>
                <w:b/>
                <w:bCs/>
                <w:color w:val="000000"/>
                <w:sz w:val="22"/>
                <w:szCs w:val="21"/>
                <w:highlight w:val="none"/>
                <w:lang w:val="en-US" w:eastAsia="zh-CN"/>
              </w:rPr>
              <w:t>1.1</w:t>
            </w:r>
            <w:r>
              <w:rPr>
                <w:rFonts w:hint="default" w:ascii="Times New Roman" w:hAnsi="Times New Roman" w:eastAsia="宋体" w:cs="Times New Roman"/>
                <w:b/>
                <w:bCs/>
                <w:color w:val="000000"/>
                <w:sz w:val="22"/>
                <w:szCs w:val="21"/>
                <w:highlight w:val="none"/>
              </w:rPr>
              <w:t>施工扬尘</w:t>
            </w:r>
          </w:p>
          <w:p>
            <w:pPr>
              <w:pStyle w:val="14"/>
              <w:tabs>
                <w:tab w:val="left" w:pos="3960"/>
              </w:tabs>
              <w:spacing w:before="0" w:after="0" w:line="360" w:lineRule="auto"/>
              <w:ind w:right="0" w:firstLine="480"/>
              <w:jc w:val="left"/>
              <w:outlineLvl w:val="0"/>
              <w:rPr>
                <w:rFonts w:hint="default" w:ascii="Times New Roman" w:hAnsi="Times New Roman" w:eastAsia="宋体" w:cs="Times New Roman"/>
                <w:color w:val="000000"/>
                <w:kern w:val="2"/>
                <w:sz w:val="22"/>
                <w:szCs w:val="22"/>
                <w:highlight w:val="none"/>
              </w:rPr>
            </w:pPr>
            <w:bookmarkStart w:id="9" w:name="_Toc12830"/>
            <w:bookmarkStart w:id="10" w:name="_Toc31478"/>
            <w:bookmarkStart w:id="11" w:name="_Toc19808"/>
            <w:bookmarkStart w:id="12" w:name="_Toc209"/>
            <w:bookmarkStart w:id="13" w:name="_Toc29508"/>
            <w:bookmarkStart w:id="14" w:name="_Toc10209"/>
            <w:bookmarkStart w:id="15" w:name="_Toc8343"/>
            <w:r>
              <w:rPr>
                <w:rFonts w:hint="default" w:ascii="Times New Roman" w:hAnsi="Times New Roman" w:eastAsia="宋体" w:cs="Times New Roman"/>
                <w:color w:val="000000"/>
                <w:sz w:val="22"/>
                <w:szCs w:val="21"/>
                <w:highlight w:val="none"/>
              </w:rPr>
              <w:t>施工期在土地平整、建材露天堆放、装卸等过程中会产生施工扬尘。施工期的废气量随施工季节、道路硬度情况、施工管理等不同而差异甚大。只要加强管理，进行文明施工，其对项目周边地区影响较小。为减轻施工期扬尘对大气环境的影响，施工单位严格按照《防治城市扬尘污染技术规范》（HJ/T393-2007）、《关于印发四川省建筑工程扬尘污染防治技术导则（试行）的通知》（川建发</w:t>
            </w:r>
            <w:r>
              <w:rPr>
                <w:rFonts w:hint="eastAsia" w:ascii="Times New Roman" w:hAnsi="Times New Roman" w:eastAsia="宋体" w:cs="Times New Roman"/>
                <w:color w:val="000000"/>
                <w:sz w:val="22"/>
                <w:szCs w:val="21"/>
                <w:highlight w:val="none"/>
                <w:lang w:val="en-US" w:eastAsia="zh-CN"/>
              </w:rPr>
              <w:t>[</w:t>
            </w:r>
            <w:r>
              <w:rPr>
                <w:rFonts w:hint="default" w:ascii="Times New Roman" w:hAnsi="Times New Roman" w:eastAsia="宋体" w:cs="Times New Roman"/>
                <w:color w:val="000000"/>
                <w:sz w:val="22"/>
                <w:szCs w:val="21"/>
                <w:highlight w:val="none"/>
              </w:rPr>
              <w:t>2019</w:t>
            </w:r>
            <w:r>
              <w:rPr>
                <w:rFonts w:hint="eastAsia" w:ascii="Times New Roman" w:hAnsi="Times New Roman" w:eastAsia="宋体" w:cs="Times New Roman"/>
                <w:color w:val="000000"/>
                <w:sz w:val="22"/>
                <w:szCs w:val="21"/>
                <w:highlight w:val="none"/>
                <w:lang w:val="en-US" w:eastAsia="zh-CN"/>
              </w:rPr>
              <w:t>]</w:t>
            </w:r>
            <w:r>
              <w:rPr>
                <w:rFonts w:hint="default" w:ascii="Times New Roman" w:hAnsi="Times New Roman" w:eastAsia="宋体" w:cs="Times New Roman"/>
                <w:color w:val="000000"/>
                <w:sz w:val="22"/>
                <w:szCs w:val="21"/>
                <w:highlight w:val="none"/>
              </w:rPr>
              <w:t>16号）</w:t>
            </w:r>
            <w:r>
              <w:rPr>
                <w:rFonts w:hint="default" w:ascii="Times New Roman" w:hAnsi="Times New Roman" w:eastAsia="宋体" w:cs="Times New Roman"/>
                <w:color w:val="000000"/>
                <w:sz w:val="22"/>
                <w:szCs w:val="21"/>
                <w:highlight w:val="none"/>
                <w:lang w:eastAsia="zh-CN"/>
              </w:rPr>
              <w:t>和《乐山市扬尘污染防治条例》</w:t>
            </w:r>
            <w:r>
              <w:rPr>
                <w:rFonts w:hint="default" w:ascii="Times New Roman" w:hAnsi="Times New Roman" w:eastAsia="宋体" w:cs="Times New Roman"/>
                <w:color w:val="000000"/>
                <w:sz w:val="22"/>
                <w:szCs w:val="21"/>
                <w:highlight w:val="none"/>
              </w:rPr>
              <w:t>进行施工。</w:t>
            </w:r>
            <w:r>
              <w:rPr>
                <w:rFonts w:hint="default" w:ascii="Times New Roman" w:hAnsi="Times New Roman" w:eastAsia="宋体" w:cs="Times New Roman"/>
                <w:color w:val="000000"/>
                <w:kern w:val="2"/>
                <w:sz w:val="22"/>
                <w:szCs w:val="22"/>
                <w:highlight w:val="none"/>
                <w:lang w:eastAsia="zh-CN"/>
              </w:rPr>
              <w:t>防治</w:t>
            </w:r>
            <w:r>
              <w:rPr>
                <w:rFonts w:hint="default" w:ascii="Times New Roman" w:hAnsi="Times New Roman" w:eastAsia="宋体" w:cs="Times New Roman"/>
                <w:color w:val="000000"/>
                <w:kern w:val="2"/>
                <w:sz w:val="22"/>
                <w:szCs w:val="22"/>
                <w:highlight w:val="none"/>
              </w:rPr>
              <w:t>措施如下：</w:t>
            </w:r>
            <w:bookmarkEnd w:id="9"/>
            <w:bookmarkEnd w:id="10"/>
            <w:bookmarkEnd w:id="11"/>
            <w:bookmarkEnd w:id="12"/>
            <w:bookmarkEnd w:id="13"/>
            <w:bookmarkEnd w:id="14"/>
            <w:bookmarkEnd w:id="15"/>
          </w:p>
          <w:p>
            <w:pPr>
              <w:pStyle w:val="14"/>
              <w:tabs>
                <w:tab w:val="left" w:pos="3960"/>
              </w:tabs>
              <w:spacing w:before="0" w:after="0" w:line="360" w:lineRule="auto"/>
              <w:ind w:right="0" w:firstLine="480"/>
              <w:jc w:val="left"/>
              <w:outlineLvl w:val="0"/>
              <w:rPr>
                <w:rFonts w:hint="default" w:ascii="Times New Roman" w:hAnsi="Times New Roman" w:eastAsia="宋体" w:cs="Times New Roman"/>
                <w:color w:val="000000"/>
                <w:kern w:val="2"/>
                <w:sz w:val="22"/>
                <w:szCs w:val="22"/>
                <w:highlight w:val="none"/>
              </w:rPr>
            </w:pPr>
            <w:bookmarkStart w:id="16" w:name="_Toc27237"/>
            <w:bookmarkStart w:id="17" w:name="_Toc14805"/>
            <w:bookmarkStart w:id="18" w:name="_Toc6962"/>
            <w:bookmarkStart w:id="19" w:name="_Toc27501"/>
            <w:bookmarkStart w:id="20" w:name="_Toc8611"/>
            <w:bookmarkStart w:id="21" w:name="_Toc13751"/>
            <w:bookmarkStart w:id="22" w:name="_Toc3978"/>
            <w:r>
              <w:rPr>
                <w:rFonts w:hint="default" w:ascii="Times New Roman" w:hAnsi="Times New Roman" w:eastAsia="宋体" w:cs="Times New Roman"/>
                <w:color w:val="000000"/>
                <w:kern w:val="2"/>
                <w:sz w:val="22"/>
                <w:szCs w:val="22"/>
                <w:highlight w:val="none"/>
              </w:rPr>
              <w:t>1）施工过程中遇到连续晴好或干燥天气时进行洒水降尘，防止起尘造成污染；</w:t>
            </w:r>
            <w:bookmarkEnd w:id="16"/>
            <w:bookmarkEnd w:id="17"/>
            <w:bookmarkEnd w:id="18"/>
            <w:bookmarkEnd w:id="19"/>
            <w:bookmarkEnd w:id="20"/>
            <w:bookmarkEnd w:id="21"/>
            <w:bookmarkEnd w:id="22"/>
          </w:p>
          <w:p>
            <w:pPr>
              <w:pStyle w:val="14"/>
              <w:tabs>
                <w:tab w:val="left" w:pos="3960"/>
              </w:tabs>
              <w:spacing w:before="0" w:after="0" w:line="360" w:lineRule="auto"/>
              <w:ind w:right="0" w:firstLine="480"/>
              <w:jc w:val="left"/>
              <w:outlineLvl w:val="0"/>
              <w:rPr>
                <w:rFonts w:hint="default" w:ascii="Times New Roman" w:hAnsi="Times New Roman" w:eastAsia="宋体" w:cs="Times New Roman"/>
                <w:color w:val="000000"/>
                <w:kern w:val="2"/>
                <w:sz w:val="22"/>
                <w:szCs w:val="22"/>
                <w:highlight w:val="none"/>
              </w:rPr>
            </w:pPr>
            <w:bookmarkStart w:id="23" w:name="_Toc25930"/>
            <w:bookmarkStart w:id="24" w:name="_Toc14848"/>
            <w:bookmarkStart w:id="25" w:name="_Toc22250"/>
            <w:bookmarkStart w:id="26" w:name="_Toc11780"/>
            <w:bookmarkStart w:id="27" w:name="_Toc22866"/>
            <w:bookmarkStart w:id="28" w:name="_Toc20625"/>
            <w:bookmarkStart w:id="29" w:name="_Toc24721"/>
            <w:r>
              <w:rPr>
                <w:rFonts w:hint="default" w:ascii="Times New Roman" w:hAnsi="Times New Roman" w:eastAsia="宋体" w:cs="Times New Roman"/>
                <w:color w:val="000000"/>
                <w:kern w:val="2"/>
                <w:sz w:val="22"/>
                <w:szCs w:val="22"/>
                <w:highlight w:val="none"/>
              </w:rPr>
              <w:t>2）砂石堆放时进行遮盖、密闭；</w:t>
            </w:r>
            <w:bookmarkEnd w:id="23"/>
            <w:bookmarkEnd w:id="24"/>
            <w:bookmarkEnd w:id="25"/>
            <w:bookmarkEnd w:id="26"/>
            <w:bookmarkEnd w:id="27"/>
            <w:bookmarkEnd w:id="28"/>
            <w:bookmarkEnd w:id="29"/>
          </w:p>
          <w:p>
            <w:pPr>
              <w:pStyle w:val="14"/>
              <w:tabs>
                <w:tab w:val="left" w:pos="3960"/>
              </w:tabs>
              <w:spacing w:before="0" w:after="0" w:line="360" w:lineRule="auto"/>
              <w:ind w:right="0" w:firstLine="480"/>
              <w:jc w:val="left"/>
              <w:outlineLvl w:val="0"/>
              <w:rPr>
                <w:rFonts w:hint="default" w:ascii="Times New Roman" w:hAnsi="Times New Roman" w:eastAsia="宋体" w:cs="Times New Roman"/>
                <w:color w:val="000000"/>
                <w:kern w:val="2"/>
                <w:sz w:val="22"/>
                <w:szCs w:val="22"/>
                <w:highlight w:val="none"/>
              </w:rPr>
            </w:pPr>
            <w:bookmarkStart w:id="30" w:name="_Toc5389"/>
            <w:bookmarkStart w:id="31" w:name="_Toc21476"/>
            <w:bookmarkStart w:id="32" w:name="_Toc5030"/>
            <w:bookmarkStart w:id="33" w:name="_Toc2557"/>
            <w:bookmarkStart w:id="34" w:name="_Toc10452"/>
            <w:bookmarkStart w:id="35" w:name="_Toc3972"/>
            <w:bookmarkStart w:id="36" w:name="_Toc32020"/>
            <w:r>
              <w:rPr>
                <w:rFonts w:hint="default" w:ascii="Times New Roman" w:hAnsi="Times New Roman" w:eastAsia="宋体" w:cs="Times New Roman"/>
                <w:color w:val="000000"/>
                <w:kern w:val="2"/>
                <w:sz w:val="22"/>
                <w:szCs w:val="22"/>
                <w:highlight w:val="none"/>
              </w:rPr>
              <w:t>3）对于运输砂石的车辆，应谨防运输车辆装载过满，并采取遮盖、密闭措施，减少其沿途抛洒，并及时清扫散落在路面的泥土和灰尘，冲洗轮胎，定时洒水降尘，减少运输过程中的粉尘；</w:t>
            </w:r>
            <w:bookmarkEnd w:id="30"/>
            <w:bookmarkEnd w:id="31"/>
            <w:bookmarkEnd w:id="32"/>
            <w:bookmarkEnd w:id="33"/>
            <w:bookmarkEnd w:id="34"/>
            <w:bookmarkEnd w:id="35"/>
            <w:bookmarkEnd w:id="36"/>
          </w:p>
          <w:p>
            <w:pPr>
              <w:pStyle w:val="14"/>
              <w:tabs>
                <w:tab w:val="left" w:pos="3960"/>
              </w:tabs>
              <w:spacing w:before="0" w:after="0" w:line="360" w:lineRule="auto"/>
              <w:ind w:right="0" w:firstLine="480"/>
              <w:jc w:val="left"/>
              <w:outlineLvl w:val="0"/>
              <w:rPr>
                <w:rFonts w:hint="default" w:ascii="Times New Roman" w:hAnsi="Times New Roman" w:eastAsia="宋体" w:cs="Times New Roman"/>
                <w:color w:val="000000"/>
                <w:kern w:val="2"/>
                <w:sz w:val="22"/>
                <w:szCs w:val="22"/>
                <w:highlight w:val="none"/>
              </w:rPr>
            </w:pPr>
            <w:bookmarkStart w:id="37" w:name="_Toc11898"/>
            <w:bookmarkStart w:id="38" w:name="_Toc1302"/>
            <w:bookmarkStart w:id="39" w:name="_Toc31409"/>
            <w:bookmarkStart w:id="40" w:name="_Toc1160"/>
            <w:bookmarkStart w:id="41" w:name="_Toc16872"/>
            <w:bookmarkStart w:id="42" w:name="_Toc30282"/>
            <w:bookmarkStart w:id="43" w:name="_Toc31226"/>
            <w:r>
              <w:rPr>
                <w:rFonts w:hint="default" w:ascii="Times New Roman" w:hAnsi="Times New Roman" w:eastAsia="宋体" w:cs="Times New Roman"/>
                <w:color w:val="000000"/>
                <w:kern w:val="2"/>
                <w:sz w:val="22"/>
                <w:szCs w:val="22"/>
                <w:highlight w:val="none"/>
              </w:rPr>
              <w:t>4）对施工现场进行科学管理，砂石料应统一堆放，搬运时轻举轻放；</w:t>
            </w:r>
            <w:bookmarkEnd w:id="37"/>
            <w:bookmarkEnd w:id="38"/>
            <w:bookmarkEnd w:id="39"/>
            <w:bookmarkEnd w:id="40"/>
            <w:bookmarkEnd w:id="41"/>
            <w:bookmarkEnd w:id="42"/>
            <w:bookmarkEnd w:id="43"/>
          </w:p>
          <w:p>
            <w:pPr>
              <w:pStyle w:val="14"/>
              <w:tabs>
                <w:tab w:val="left" w:pos="3960"/>
              </w:tabs>
              <w:spacing w:before="0" w:after="0" w:line="360" w:lineRule="auto"/>
              <w:ind w:right="0" w:firstLine="480"/>
              <w:jc w:val="left"/>
              <w:outlineLvl w:val="0"/>
              <w:rPr>
                <w:rFonts w:hint="default" w:ascii="Times New Roman" w:hAnsi="Times New Roman" w:eastAsia="宋体" w:cs="Times New Roman"/>
                <w:color w:val="000000"/>
                <w:kern w:val="2"/>
                <w:sz w:val="22"/>
                <w:szCs w:val="22"/>
                <w:highlight w:val="none"/>
              </w:rPr>
            </w:pPr>
            <w:bookmarkStart w:id="44" w:name="_Toc6038"/>
            <w:bookmarkStart w:id="45" w:name="_Toc22915"/>
            <w:bookmarkStart w:id="46" w:name="_Toc22553"/>
            <w:bookmarkStart w:id="47" w:name="_Toc13045"/>
            <w:bookmarkStart w:id="48" w:name="_Toc134"/>
            <w:bookmarkStart w:id="49" w:name="_Toc25263"/>
            <w:bookmarkStart w:id="50" w:name="_Toc24560"/>
            <w:r>
              <w:rPr>
                <w:rFonts w:hint="default" w:ascii="Times New Roman" w:hAnsi="Times New Roman" w:eastAsia="宋体" w:cs="Times New Roman"/>
                <w:color w:val="000000"/>
                <w:kern w:val="2"/>
                <w:sz w:val="22"/>
                <w:szCs w:val="22"/>
                <w:highlight w:val="none"/>
              </w:rPr>
              <w:t>5）建筑材料和建筑垃圾应及时外运；</w:t>
            </w:r>
            <w:bookmarkEnd w:id="44"/>
            <w:bookmarkEnd w:id="45"/>
            <w:bookmarkEnd w:id="46"/>
            <w:bookmarkEnd w:id="47"/>
            <w:bookmarkEnd w:id="48"/>
            <w:bookmarkEnd w:id="49"/>
            <w:bookmarkEnd w:id="50"/>
          </w:p>
          <w:p>
            <w:pPr>
              <w:pStyle w:val="14"/>
              <w:tabs>
                <w:tab w:val="left" w:pos="3960"/>
              </w:tabs>
              <w:spacing w:before="0" w:after="0" w:line="360" w:lineRule="auto"/>
              <w:ind w:right="0" w:firstLine="480"/>
              <w:jc w:val="left"/>
              <w:outlineLvl w:val="0"/>
              <w:rPr>
                <w:rFonts w:hint="default" w:ascii="Times New Roman" w:hAnsi="Times New Roman" w:eastAsia="宋体" w:cs="Times New Roman"/>
                <w:color w:val="000000"/>
                <w:kern w:val="2"/>
                <w:sz w:val="22"/>
                <w:szCs w:val="22"/>
                <w:highlight w:val="none"/>
              </w:rPr>
            </w:pPr>
            <w:bookmarkStart w:id="51" w:name="_Toc23758"/>
            <w:bookmarkStart w:id="52" w:name="_Toc1361"/>
            <w:bookmarkStart w:id="53" w:name="_Toc23479"/>
            <w:bookmarkStart w:id="54" w:name="_Toc5446"/>
            <w:bookmarkStart w:id="55" w:name="_Toc25712"/>
            <w:bookmarkStart w:id="56" w:name="_Toc21223"/>
            <w:bookmarkStart w:id="57" w:name="_Toc3581"/>
            <w:r>
              <w:rPr>
                <w:rFonts w:hint="default" w:ascii="Times New Roman" w:hAnsi="Times New Roman" w:eastAsia="宋体" w:cs="Times New Roman"/>
                <w:color w:val="000000"/>
                <w:kern w:val="2"/>
                <w:sz w:val="22"/>
                <w:szCs w:val="22"/>
                <w:highlight w:val="none"/>
              </w:rPr>
              <w:t>6）施工现场要进行打围施工，减少施工扬尘扩散范围；</w:t>
            </w:r>
            <w:bookmarkEnd w:id="51"/>
            <w:bookmarkEnd w:id="52"/>
            <w:bookmarkEnd w:id="53"/>
            <w:bookmarkEnd w:id="54"/>
            <w:bookmarkEnd w:id="55"/>
            <w:bookmarkEnd w:id="56"/>
            <w:bookmarkEnd w:id="57"/>
          </w:p>
          <w:p>
            <w:pPr>
              <w:pStyle w:val="14"/>
              <w:tabs>
                <w:tab w:val="left" w:pos="3960"/>
              </w:tabs>
              <w:spacing w:before="0" w:after="0" w:line="360" w:lineRule="auto"/>
              <w:ind w:right="0" w:firstLine="480"/>
              <w:jc w:val="left"/>
              <w:outlineLvl w:val="0"/>
              <w:rPr>
                <w:rFonts w:hint="default" w:ascii="Times New Roman" w:hAnsi="Times New Roman" w:eastAsia="宋体" w:cs="Times New Roman"/>
                <w:color w:val="000000"/>
                <w:kern w:val="2"/>
                <w:sz w:val="22"/>
                <w:szCs w:val="22"/>
                <w:highlight w:val="none"/>
              </w:rPr>
            </w:pPr>
            <w:bookmarkStart w:id="58" w:name="_Toc12570"/>
            <w:bookmarkStart w:id="59" w:name="_Toc7903"/>
            <w:bookmarkStart w:id="60" w:name="_Toc10283"/>
            <w:bookmarkStart w:id="61" w:name="_Toc8997"/>
            <w:bookmarkStart w:id="62" w:name="_Toc32624"/>
            <w:bookmarkStart w:id="63" w:name="_Toc15672"/>
            <w:bookmarkStart w:id="64" w:name="_Toc1326"/>
            <w:r>
              <w:rPr>
                <w:rFonts w:hint="default" w:ascii="Times New Roman" w:hAnsi="Times New Roman" w:eastAsia="宋体" w:cs="Times New Roman"/>
                <w:color w:val="000000"/>
                <w:kern w:val="2"/>
                <w:sz w:val="22"/>
                <w:szCs w:val="22"/>
                <w:highlight w:val="none"/>
              </w:rPr>
              <w:t>7）风速过大时应停止施工作业，并对堆放的砂石等建筑材料进行遮盖处理。</w:t>
            </w:r>
            <w:bookmarkEnd w:id="58"/>
            <w:bookmarkEnd w:id="59"/>
            <w:bookmarkEnd w:id="60"/>
            <w:bookmarkEnd w:id="61"/>
            <w:bookmarkEnd w:id="62"/>
            <w:bookmarkEnd w:id="63"/>
            <w:bookmarkEnd w:id="64"/>
          </w:p>
          <w:p>
            <w:pPr>
              <w:pStyle w:val="14"/>
              <w:tabs>
                <w:tab w:val="left" w:pos="3960"/>
              </w:tabs>
              <w:spacing w:before="0" w:after="0" w:line="360" w:lineRule="auto"/>
              <w:ind w:right="0" w:firstLine="480"/>
              <w:jc w:val="left"/>
              <w:outlineLvl w:val="0"/>
              <w:rPr>
                <w:rFonts w:hint="default" w:ascii="Times New Roman" w:hAnsi="Times New Roman" w:eastAsia="宋体" w:cs="Times New Roman"/>
                <w:color w:val="000000"/>
                <w:kern w:val="2"/>
                <w:sz w:val="22"/>
                <w:szCs w:val="22"/>
                <w:highlight w:val="none"/>
              </w:rPr>
            </w:pPr>
            <w:bookmarkStart w:id="65" w:name="_Toc30568"/>
            <w:bookmarkStart w:id="66" w:name="_Toc17404"/>
            <w:bookmarkStart w:id="67" w:name="_Toc15007"/>
            <w:bookmarkStart w:id="68" w:name="_Toc13257"/>
            <w:bookmarkStart w:id="69" w:name="_Toc9434"/>
            <w:bookmarkStart w:id="70" w:name="_Toc8639"/>
            <w:bookmarkStart w:id="71" w:name="_Toc21693"/>
            <w:r>
              <w:rPr>
                <w:rFonts w:hint="default" w:ascii="Times New Roman" w:hAnsi="Times New Roman" w:eastAsia="宋体" w:cs="Times New Roman"/>
                <w:color w:val="000000"/>
                <w:kern w:val="2"/>
                <w:sz w:val="22"/>
                <w:szCs w:val="22"/>
                <w:highlight w:val="none"/>
              </w:rPr>
              <w:t>在采取适当措施后项目施工期对周围环境的影响较小。</w:t>
            </w:r>
            <w:bookmarkEnd w:id="65"/>
            <w:bookmarkEnd w:id="66"/>
            <w:bookmarkEnd w:id="67"/>
            <w:bookmarkEnd w:id="68"/>
            <w:bookmarkEnd w:id="69"/>
            <w:bookmarkEnd w:id="70"/>
            <w:bookmarkEnd w:id="71"/>
          </w:p>
          <w:p>
            <w:pPr>
              <w:spacing w:line="360" w:lineRule="auto"/>
              <w:ind w:firstLine="442" w:firstLineChars="200"/>
              <w:rPr>
                <w:rFonts w:hint="default" w:ascii="Times New Roman" w:hAnsi="Times New Roman" w:eastAsia="宋体" w:cs="Times New Roman"/>
                <w:b/>
                <w:bCs/>
                <w:color w:val="000000"/>
                <w:sz w:val="22"/>
                <w:szCs w:val="21"/>
                <w:highlight w:val="none"/>
              </w:rPr>
            </w:pPr>
            <w:r>
              <w:rPr>
                <w:rFonts w:hint="default" w:ascii="Times New Roman" w:hAnsi="Times New Roman" w:eastAsia="宋体" w:cs="Times New Roman"/>
                <w:b/>
                <w:bCs/>
                <w:color w:val="000000"/>
                <w:sz w:val="22"/>
                <w:szCs w:val="21"/>
                <w:highlight w:val="none"/>
                <w:lang w:val="en-US" w:eastAsia="zh-CN"/>
              </w:rPr>
              <w:t>1.2</w:t>
            </w:r>
            <w:r>
              <w:rPr>
                <w:rFonts w:hint="default" w:ascii="Times New Roman" w:hAnsi="Times New Roman" w:eastAsia="宋体" w:cs="Times New Roman"/>
                <w:b/>
                <w:bCs/>
                <w:color w:val="000000"/>
                <w:sz w:val="22"/>
                <w:szCs w:val="22"/>
                <w:highlight w:val="none"/>
              </w:rPr>
              <w:t>施工机械、运输车辆尾气</w:t>
            </w:r>
          </w:p>
          <w:p>
            <w:pPr>
              <w:spacing w:line="360" w:lineRule="auto"/>
              <w:ind w:firstLine="440" w:firstLineChars="200"/>
              <w:rPr>
                <w:rFonts w:hint="default" w:ascii="Times New Roman" w:hAnsi="Times New Roman" w:eastAsia="宋体" w:cs="Times New Roman"/>
                <w:color w:val="000000"/>
                <w:sz w:val="22"/>
                <w:szCs w:val="21"/>
                <w:highlight w:val="none"/>
              </w:rPr>
            </w:pPr>
            <w:r>
              <w:rPr>
                <w:rFonts w:hint="default" w:ascii="Times New Roman" w:hAnsi="Times New Roman" w:eastAsia="宋体" w:cs="Times New Roman"/>
                <w:color w:val="000000"/>
                <w:sz w:val="22"/>
                <w:szCs w:val="21"/>
                <w:highlight w:val="none"/>
              </w:rPr>
              <w:t>运输车辆及施工机械在运行中产生的尾气中主要含有CO、NO</w:t>
            </w:r>
            <w:r>
              <w:rPr>
                <w:rFonts w:hint="default" w:ascii="Times New Roman" w:hAnsi="Times New Roman" w:eastAsia="宋体" w:cs="Times New Roman"/>
                <w:color w:val="000000"/>
                <w:sz w:val="22"/>
                <w:szCs w:val="21"/>
                <w:highlight w:val="none"/>
                <w:vertAlign w:val="subscript"/>
              </w:rPr>
              <w:t>2</w:t>
            </w:r>
            <w:r>
              <w:rPr>
                <w:rFonts w:hint="default" w:ascii="Times New Roman" w:hAnsi="Times New Roman" w:eastAsia="宋体" w:cs="Times New Roman"/>
                <w:color w:val="000000"/>
                <w:sz w:val="22"/>
                <w:szCs w:val="21"/>
                <w:highlight w:val="none"/>
              </w:rPr>
              <w:t>、HC等污染物，施工期间车辆及动力设备运行排放NO</w:t>
            </w:r>
            <w:r>
              <w:rPr>
                <w:rFonts w:hint="default" w:ascii="Times New Roman" w:hAnsi="Times New Roman" w:eastAsia="宋体" w:cs="Times New Roman"/>
                <w:color w:val="000000"/>
                <w:sz w:val="22"/>
                <w:szCs w:val="21"/>
                <w:highlight w:val="none"/>
                <w:vertAlign w:val="subscript"/>
              </w:rPr>
              <w:t>X</w:t>
            </w:r>
            <w:r>
              <w:rPr>
                <w:rFonts w:hint="default" w:ascii="Times New Roman" w:hAnsi="Times New Roman" w:eastAsia="宋体" w:cs="Times New Roman"/>
                <w:color w:val="000000"/>
                <w:sz w:val="22"/>
                <w:szCs w:val="21"/>
                <w:highlight w:val="none"/>
              </w:rPr>
              <w:t>、CO等尾气量有限，运输车辆在现场停留时间短，因此这类废气对大气环境影响较小。</w:t>
            </w:r>
          </w:p>
          <w:p>
            <w:pPr>
              <w:spacing w:line="360" w:lineRule="auto"/>
              <w:ind w:firstLine="442" w:firstLineChars="200"/>
              <w:rPr>
                <w:rFonts w:hint="default" w:ascii="Times New Roman" w:hAnsi="Times New Roman" w:eastAsia="宋体" w:cs="Times New Roman"/>
                <w:b/>
                <w:bCs/>
                <w:color w:val="000000"/>
                <w:sz w:val="22"/>
                <w:szCs w:val="22"/>
                <w:highlight w:val="none"/>
              </w:rPr>
            </w:pPr>
            <w:r>
              <w:rPr>
                <w:rFonts w:hint="default" w:ascii="Times New Roman" w:hAnsi="Times New Roman" w:eastAsia="宋体" w:cs="Times New Roman"/>
                <w:b/>
                <w:bCs/>
                <w:color w:val="000000"/>
                <w:sz w:val="22"/>
                <w:szCs w:val="22"/>
                <w:highlight w:val="none"/>
                <w:lang w:val="en-US" w:eastAsia="zh-CN"/>
              </w:rPr>
              <w:t>1.3</w:t>
            </w:r>
            <w:r>
              <w:rPr>
                <w:rFonts w:hint="default" w:ascii="Times New Roman" w:hAnsi="Times New Roman" w:eastAsia="宋体" w:cs="Times New Roman"/>
                <w:b/>
                <w:bCs/>
                <w:color w:val="000000"/>
                <w:sz w:val="22"/>
                <w:szCs w:val="22"/>
                <w:highlight w:val="none"/>
              </w:rPr>
              <w:t>装修废气</w:t>
            </w:r>
          </w:p>
          <w:p>
            <w:pPr>
              <w:spacing w:line="360" w:lineRule="auto"/>
              <w:ind w:firstLine="440" w:firstLineChars="200"/>
              <w:rPr>
                <w:rFonts w:hint="default" w:ascii="Times New Roman" w:hAnsi="Times New Roman" w:eastAsia="宋体" w:cs="Times New Roman"/>
                <w:color w:val="000000"/>
                <w:sz w:val="22"/>
                <w:szCs w:val="22"/>
                <w:highlight w:val="none"/>
              </w:rPr>
            </w:pPr>
            <w:r>
              <w:rPr>
                <w:rFonts w:hint="default" w:ascii="Times New Roman" w:hAnsi="Times New Roman" w:eastAsia="宋体" w:cs="Times New Roman"/>
                <w:color w:val="000000"/>
                <w:kern w:val="0"/>
                <w:sz w:val="22"/>
                <w:szCs w:val="22"/>
                <w:highlight w:val="none"/>
              </w:rPr>
              <w:t>项目装修产生的废气来源于施工人员对墙壁的粉刷，修补，装修废气主要为油漆、涂料等挥发造成的有机废气，主要有甲醛、苯等。施工作业场所保证通风，保证空气流通，降低污染物浓度；施工作业人员配戴防毒面罩和口罩，保证作业人员的身体健康。</w:t>
            </w:r>
          </w:p>
          <w:p>
            <w:pPr>
              <w:spacing w:line="360" w:lineRule="auto"/>
              <w:ind w:firstLine="442" w:firstLineChars="200"/>
              <w:rPr>
                <w:rFonts w:hint="default" w:ascii="Times New Roman" w:hAnsi="Times New Roman" w:eastAsia="宋体" w:cs="Times New Roman"/>
                <w:b/>
                <w:bCs/>
                <w:color w:val="000000"/>
                <w:sz w:val="22"/>
                <w:szCs w:val="21"/>
                <w:highlight w:val="none"/>
                <w:lang w:val="en-US" w:eastAsia="zh-CN"/>
              </w:rPr>
            </w:pPr>
          </w:p>
          <w:p>
            <w:pPr>
              <w:spacing w:line="360" w:lineRule="auto"/>
              <w:ind w:firstLine="442" w:firstLineChars="200"/>
              <w:rPr>
                <w:rFonts w:hint="default" w:ascii="Times New Roman" w:hAnsi="Times New Roman" w:eastAsia="宋体" w:cs="Times New Roman"/>
                <w:color w:val="000000"/>
                <w:sz w:val="22"/>
                <w:szCs w:val="22"/>
                <w:highlight w:val="none"/>
              </w:rPr>
            </w:pPr>
            <w:r>
              <w:rPr>
                <w:rFonts w:hint="default" w:ascii="Times New Roman" w:hAnsi="Times New Roman" w:eastAsia="宋体" w:cs="Times New Roman"/>
                <w:b/>
                <w:bCs/>
                <w:color w:val="000000"/>
                <w:sz w:val="22"/>
                <w:szCs w:val="21"/>
                <w:highlight w:val="none"/>
                <w:lang w:val="en-US" w:eastAsia="zh-CN"/>
              </w:rPr>
              <w:t>2、</w:t>
            </w:r>
            <w:r>
              <w:rPr>
                <w:rFonts w:hint="default" w:ascii="Times New Roman" w:hAnsi="Times New Roman" w:eastAsia="宋体" w:cs="Times New Roman"/>
                <w:b/>
                <w:bCs/>
                <w:color w:val="000000"/>
                <w:sz w:val="22"/>
                <w:szCs w:val="21"/>
                <w:highlight w:val="none"/>
              </w:rPr>
              <w:t>废水</w:t>
            </w:r>
          </w:p>
          <w:p>
            <w:pPr>
              <w:spacing w:line="360" w:lineRule="auto"/>
              <w:ind w:firstLine="442" w:firstLineChars="200"/>
              <w:rPr>
                <w:rFonts w:hint="default" w:ascii="Times New Roman" w:hAnsi="Times New Roman" w:eastAsia="宋体" w:cs="Times New Roman"/>
                <w:b/>
                <w:bCs/>
                <w:color w:val="000000"/>
                <w:sz w:val="22"/>
                <w:szCs w:val="22"/>
                <w:highlight w:val="none"/>
              </w:rPr>
            </w:pPr>
            <w:r>
              <w:rPr>
                <w:rFonts w:hint="eastAsia" w:ascii="Times New Roman" w:hAnsi="Times New Roman" w:eastAsia="宋体" w:cs="Times New Roman"/>
                <w:b/>
                <w:bCs/>
                <w:color w:val="000000"/>
                <w:sz w:val="22"/>
                <w:szCs w:val="22"/>
                <w:highlight w:val="none"/>
                <w:lang w:val="en-US" w:eastAsia="zh-CN"/>
              </w:rPr>
              <w:t>2.1</w:t>
            </w:r>
            <w:r>
              <w:rPr>
                <w:rFonts w:hint="default" w:ascii="Times New Roman" w:hAnsi="Times New Roman" w:eastAsia="宋体" w:cs="Times New Roman"/>
                <w:b/>
                <w:bCs/>
                <w:color w:val="000000"/>
                <w:sz w:val="22"/>
                <w:szCs w:val="22"/>
                <w:highlight w:val="none"/>
              </w:rPr>
              <w:t>生活废水</w:t>
            </w:r>
          </w:p>
          <w:p>
            <w:pPr>
              <w:spacing w:line="360" w:lineRule="auto"/>
              <w:ind w:firstLine="440" w:firstLineChars="200"/>
              <w:rPr>
                <w:rFonts w:hint="default" w:ascii="Times New Roman" w:hAnsi="Times New Roman" w:eastAsia="宋体" w:cs="Times New Roman"/>
                <w:color w:val="000000"/>
                <w:kern w:val="0"/>
                <w:sz w:val="22"/>
                <w:szCs w:val="22"/>
                <w:highlight w:val="none"/>
              </w:rPr>
            </w:pPr>
            <w:r>
              <w:rPr>
                <w:rFonts w:hint="default" w:ascii="Times New Roman" w:hAnsi="Times New Roman" w:eastAsia="宋体" w:cs="Times New Roman"/>
                <w:color w:val="000000"/>
                <w:kern w:val="0"/>
                <w:sz w:val="22"/>
                <w:szCs w:val="22"/>
                <w:highlight w:val="none"/>
              </w:rPr>
              <w:t>施工高峰</w:t>
            </w:r>
            <w:r>
              <w:rPr>
                <w:rFonts w:hint="default" w:ascii="Times New Roman" w:hAnsi="Times New Roman" w:eastAsia="宋体" w:cs="Times New Roman"/>
                <w:color w:val="auto"/>
                <w:kern w:val="0"/>
                <w:sz w:val="22"/>
                <w:szCs w:val="22"/>
                <w:highlight w:val="none"/>
              </w:rPr>
              <w:t>期</w:t>
            </w:r>
            <w:r>
              <w:rPr>
                <w:rFonts w:hint="eastAsia" w:ascii="Times New Roman" w:hAnsi="Times New Roman" w:eastAsia="宋体" w:cs="Times New Roman"/>
                <w:color w:val="auto"/>
                <w:kern w:val="0"/>
                <w:sz w:val="22"/>
                <w:szCs w:val="22"/>
                <w:highlight w:val="none"/>
                <w:lang w:val="en-US" w:eastAsia="zh-CN"/>
              </w:rPr>
              <w:t>20</w:t>
            </w:r>
            <w:r>
              <w:rPr>
                <w:rFonts w:hint="default" w:ascii="Times New Roman" w:hAnsi="Times New Roman" w:eastAsia="宋体" w:cs="Times New Roman"/>
                <w:color w:val="auto"/>
                <w:kern w:val="0"/>
                <w:sz w:val="22"/>
                <w:szCs w:val="22"/>
                <w:highlight w:val="none"/>
              </w:rPr>
              <w:t>人同时在施工作业，不设食宿，施工人员平均用水量按每人每天50L计，</w:t>
            </w:r>
            <w:r>
              <w:rPr>
                <w:rFonts w:hint="eastAsia" w:ascii="Times New Roman" w:hAnsi="Times New Roman" w:eastAsia="宋体" w:cs="Times New Roman"/>
                <w:color w:val="auto"/>
                <w:kern w:val="0"/>
                <w:sz w:val="22"/>
                <w:szCs w:val="22"/>
                <w:highlight w:val="none"/>
                <w:lang w:val="en-US" w:eastAsia="zh-CN"/>
              </w:rPr>
              <w:t>排污系数以0.85</w:t>
            </w:r>
            <w:r>
              <w:rPr>
                <w:rFonts w:hint="default" w:ascii="Times New Roman" w:hAnsi="Times New Roman" w:eastAsia="宋体" w:cs="Times New Roman"/>
                <w:color w:val="auto"/>
                <w:kern w:val="0"/>
                <w:sz w:val="22"/>
                <w:szCs w:val="22"/>
                <w:highlight w:val="none"/>
              </w:rPr>
              <w:t>计，则项目在施工期间生活污水废水排放量约</w:t>
            </w:r>
            <w:r>
              <w:rPr>
                <w:rFonts w:hint="eastAsia" w:ascii="Times New Roman" w:hAnsi="Times New Roman" w:eastAsia="宋体" w:cs="Times New Roman"/>
                <w:color w:val="auto"/>
                <w:kern w:val="0"/>
                <w:sz w:val="22"/>
                <w:szCs w:val="22"/>
                <w:highlight w:val="none"/>
                <w:lang w:val="en-US" w:eastAsia="zh-CN"/>
              </w:rPr>
              <w:t>0.85m</w:t>
            </w:r>
            <w:r>
              <w:rPr>
                <w:rFonts w:hint="eastAsia" w:ascii="Times New Roman" w:hAnsi="Times New Roman" w:eastAsia="宋体" w:cs="Times New Roman"/>
                <w:color w:val="auto"/>
                <w:kern w:val="0"/>
                <w:sz w:val="22"/>
                <w:szCs w:val="22"/>
                <w:highlight w:val="none"/>
                <w:vertAlign w:val="superscript"/>
                <w:lang w:val="en-US" w:eastAsia="zh-CN"/>
              </w:rPr>
              <w:t>3</w:t>
            </w:r>
            <w:r>
              <w:rPr>
                <w:rFonts w:hint="default" w:ascii="Times New Roman" w:hAnsi="Times New Roman" w:eastAsia="宋体" w:cs="Times New Roman"/>
                <w:color w:val="auto"/>
                <w:kern w:val="0"/>
                <w:sz w:val="22"/>
                <w:szCs w:val="22"/>
                <w:highlight w:val="none"/>
              </w:rPr>
              <w:t>/d。</w:t>
            </w:r>
            <w:r>
              <w:rPr>
                <w:rFonts w:hint="default" w:ascii="Times New Roman" w:hAnsi="Times New Roman" w:cs="Times New Roman"/>
                <w:color w:val="auto"/>
                <w:kern w:val="0"/>
                <w:sz w:val="22"/>
                <w:szCs w:val="22"/>
                <w:highlight w:val="none"/>
                <w:lang w:eastAsia="zh-CN"/>
              </w:rPr>
              <w:t>生活污水</w:t>
            </w:r>
            <w:r>
              <w:rPr>
                <w:rFonts w:hint="eastAsia" w:ascii="Times New Roman" w:hAnsi="Times New Roman" w:cs="Times New Roman"/>
                <w:color w:val="auto"/>
                <w:kern w:val="0"/>
                <w:sz w:val="22"/>
                <w:szCs w:val="22"/>
                <w:highlight w:val="none"/>
                <w:lang w:eastAsia="zh-CN"/>
              </w:rPr>
              <w:t>经预处理后排入乐山市工业集中区污水处理厂。</w:t>
            </w:r>
          </w:p>
          <w:p>
            <w:pPr>
              <w:spacing w:line="360" w:lineRule="auto"/>
              <w:ind w:firstLine="442" w:firstLineChars="200"/>
              <w:rPr>
                <w:rFonts w:hint="default" w:ascii="Times New Roman" w:hAnsi="Times New Roman" w:eastAsia="宋体" w:cs="Times New Roman"/>
                <w:b/>
                <w:bCs/>
                <w:color w:val="000000"/>
                <w:kern w:val="0"/>
                <w:sz w:val="22"/>
                <w:szCs w:val="22"/>
                <w:highlight w:val="none"/>
              </w:rPr>
            </w:pPr>
            <w:r>
              <w:rPr>
                <w:rFonts w:hint="eastAsia" w:ascii="Times New Roman" w:hAnsi="Times New Roman" w:eastAsia="宋体" w:cs="Times New Roman"/>
                <w:b/>
                <w:bCs/>
                <w:color w:val="000000"/>
                <w:kern w:val="0"/>
                <w:sz w:val="22"/>
                <w:szCs w:val="22"/>
                <w:highlight w:val="none"/>
                <w:lang w:val="en-US" w:eastAsia="zh-CN"/>
              </w:rPr>
              <w:t>2.2</w:t>
            </w:r>
            <w:r>
              <w:rPr>
                <w:rFonts w:hint="default" w:ascii="Times New Roman" w:hAnsi="Times New Roman" w:eastAsia="宋体" w:cs="Times New Roman"/>
                <w:b/>
                <w:bCs/>
                <w:color w:val="000000"/>
                <w:kern w:val="0"/>
                <w:sz w:val="22"/>
                <w:szCs w:val="22"/>
                <w:highlight w:val="none"/>
              </w:rPr>
              <w:t>施工废水</w:t>
            </w:r>
          </w:p>
          <w:p>
            <w:pPr>
              <w:spacing w:line="360" w:lineRule="auto"/>
              <w:ind w:firstLine="440" w:firstLineChars="200"/>
              <w:rPr>
                <w:rFonts w:hint="default" w:ascii="Times New Roman" w:hAnsi="Times New Roman" w:eastAsia="宋体" w:cs="Times New Roman"/>
                <w:color w:val="000000"/>
                <w:kern w:val="0"/>
                <w:sz w:val="22"/>
                <w:szCs w:val="22"/>
                <w:highlight w:val="none"/>
              </w:rPr>
            </w:pPr>
            <w:r>
              <w:rPr>
                <w:rFonts w:hint="default" w:ascii="Times New Roman" w:hAnsi="Times New Roman" w:eastAsia="宋体" w:cs="Times New Roman"/>
                <w:color w:val="000000"/>
                <w:kern w:val="0"/>
                <w:sz w:val="22"/>
                <w:szCs w:val="22"/>
                <w:highlight w:val="none"/>
              </w:rPr>
              <w:t>建筑施工废水包括混凝土</w:t>
            </w:r>
            <w:r>
              <w:rPr>
                <w:rFonts w:hint="default" w:ascii="Times New Roman" w:hAnsi="Times New Roman" w:eastAsia="宋体" w:cs="Times New Roman"/>
                <w:color w:val="000000"/>
                <w:kern w:val="0"/>
                <w:sz w:val="22"/>
                <w:szCs w:val="22"/>
                <w:highlight w:val="none"/>
                <w:lang w:eastAsia="zh-CN"/>
              </w:rPr>
              <w:t>养护废水</w:t>
            </w:r>
            <w:r>
              <w:rPr>
                <w:rFonts w:hint="default" w:ascii="Times New Roman" w:hAnsi="Times New Roman" w:eastAsia="宋体" w:cs="Times New Roman"/>
                <w:color w:val="000000"/>
                <w:kern w:val="0"/>
                <w:sz w:val="22"/>
                <w:szCs w:val="22"/>
                <w:highlight w:val="none"/>
              </w:rPr>
              <w:t>，车辆冲洗废水</w:t>
            </w:r>
            <w:r>
              <w:rPr>
                <w:rFonts w:hint="default" w:ascii="Times New Roman" w:hAnsi="Times New Roman" w:eastAsia="宋体" w:cs="Times New Roman"/>
                <w:color w:val="000000"/>
                <w:kern w:val="0"/>
                <w:sz w:val="22"/>
                <w:szCs w:val="22"/>
                <w:highlight w:val="none"/>
                <w:lang w:eastAsia="zh-CN"/>
              </w:rPr>
              <w:t>等</w:t>
            </w:r>
            <w:r>
              <w:rPr>
                <w:rFonts w:hint="default" w:ascii="Times New Roman" w:hAnsi="Times New Roman" w:eastAsia="宋体" w:cs="Times New Roman"/>
                <w:color w:val="000000"/>
                <w:kern w:val="0"/>
                <w:sz w:val="22"/>
                <w:szCs w:val="22"/>
                <w:highlight w:val="none"/>
              </w:rPr>
              <w:t>，主要为泥浆废水，其成分相对比较简单，主要污染物为SS。该废水悬浮物浓度较大但不含其他可溶性的有害物质，经沉淀池后用于施工场地和道路喷洒抑尘，对周围环境影响较小。</w:t>
            </w:r>
          </w:p>
          <w:p>
            <w:pPr>
              <w:spacing w:line="360" w:lineRule="auto"/>
              <w:ind w:firstLine="442" w:firstLineChars="200"/>
              <w:rPr>
                <w:rFonts w:hint="default" w:ascii="Times New Roman" w:hAnsi="Times New Roman" w:eastAsia="宋体" w:cs="Times New Roman"/>
                <w:b/>
                <w:bCs/>
                <w:color w:val="000000"/>
                <w:sz w:val="22"/>
                <w:szCs w:val="21"/>
                <w:highlight w:val="none"/>
              </w:rPr>
            </w:pPr>
            <w:r>
              <w:rPr>
                <w:rFonts w:hint="default" w:ascii="Times New Roman" w:hAnsi="Times New Roman" w:eastAsia="宋体" w:cs="Times New Roman"/>
                <w:b/>
                <w:bCs/>
                <w:color w:val="000000"/>
                <w:sz w:val="22"/>
                <w:szCs w:val="21"/>
                <w:highlight w:val="none"/>
                <w:lang w:val="en-US" w:eastAsia="zh-CN"/>
              </w:rPr>
              <w:t>3、</w:t>
            </w:r>
            <w:r>
              <w:rPr>
                <w:rFonts w:hint="default" w:ascii="Times New Roman" w:hAnsi="Times New Roman" w:eastAsia="宋体" w:cs="Times New Roman"/>
                <w:b/>
                <w:bCs/>
                <w:color w:val="000000"/>
                <w:sz w:val="22"/>
                <w:szCs w:val="21"/>
                <w:highlight w:val="none"/>
              </w:rPr>
              <w:t>噪声</w:t>
            </w:r>
          </w:p>
          <w:p>
            <w:pPr>
              <w:spacing w:line="360" w:lineRule="auto"/>
              <w:ind w:firstLine="440" w:firstLineChars="200"/>
              <w:rPr>
                <w:rFonts w:hint="default" w:ascii="Times New Roman" w:hAnsi="Times New Roman" w:eastAsia="宋体" w:cs="Times New Roman"/>
                <w:color w:val="000000"/>
                <w:sz w:val="22"/>
                <w:szCs w:val="22"/>
                <w:highlight w:val="none"/>
              </w:rPr>
            </w:pPr>
            <w:r>
              <w:rPr>
                <w:rFonts w:hint="default" w:ascii="Times New Roman" w:hAnsi="Times New Roman" w:eastAsia="宋体" w:cs="Times New Roman"/>
                <w:color w:val="000000"/>
                <w:sz w:val="22"/>
                <w:szCs w:val="21"/>
                <w:highlight w:val="none"/>
              </w:rPr>
              <w:t>在施工过程中，由于各种施工机械设备的运转和各类车辆的运行，不可避免地将产生噪声污染。施工中使用的各种机械、运输车辆等都是噪声的产生源。施工期的机械设备主要有挖掘机、装载机、推土机等，其中各单体机械设备的声源声级一般均高于80dB（A）。不同施工阶段使用的不同施工机械的非连续性作用噪声，具有阶段性、临时性和不固定性等特点。本项目施工各阶段的主要噪声源见下表：</w:t>
            </w:r>
          </w:p>
          <w:p>
            <w:pPr>
              <w:adjustRightInd w:val="0"/>
              <w:ind w:firstLine="402" w:firstLineChars="200"/>
              <w:jc w:val="center"/>
              <w:textAlignment w:val="baseline"/>
              <w:rPr>
                <w:rFonts w:hint="default" w:ascii="Times New Roman" w:hAnsi="Times New Roman" w:eastAsia="宋体" w:cs="Times New Roman"/>
                <w:color w:val="000000"/>
                <w:sz w:val="20"/>
                <w:szCs w:val="20"/>
                <w:highlight w:val="none"/>
              </w:rPr>
            </w:pPr>
            <w:r>
              <w:rPr>
                <w:rFonts w:hint="default" w:ascii="Times New Roman" w:hAnsi="Times New Roman" w:eastAsia="宋体" w:cs="Times New Roman"/>
                <w:b/>
                <w:color w:val="000000"/>
                <w:sz w:val="20"/>
                <w:szCs w:val="20"/>
                <w:highlight w:val="none"/>
              </w:rPr>
              <w:t>表4-1项目施工期主要噪声源一览表</w:t>
            </w:r>
          </w:p>
          <w:tbl>
            <w:tblPr>
              <w:tblStyle w:val="42"/>
              <w:tblW w:w="0" w:type="auto"/>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2459"/>
              <w:gridCol w:w="3002"/>
              <w:gridCol w:w="2599"/>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55" w:hRule="atLeast"/>
                <w:jc w:val="center"/>
              </w:trPr>
              <w:tc>
                <w:tcPr>
                  <w:tcW w:w="245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000000"/>
                      <w:szCs w:val="22"/>
                      <w:highlight w:val="none"/>
                    </w:rPr>
                  </w:pPr>
                  <w:r>
                    <w:rPr>
                      <w:rFonts w:hint="default" w:ascii="Times New Roman" w:hAnsi="Times New Roman" w:eastAsia="宋体" w:cs="Times New Roman"/>
                      <w:color w:val="000000"/>
                      <w:szCs w:val="22"/>
                      <w:highlight w:val="none"/>
                    </w:rPr>
                    <w:t>噪声源</w:t>
                  </w:r>
                </w:p>
              </w:tc>
              <w:tc>
                <w:tcPr>
                  <w:tcW w:w="300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000000"/>
                      <w:szCs w:val="22"/>
                      <w:highlight w:val="none"/>
                    </w:rPr>
                  </w:pPr>
                  <w:r>
                    <w:rPr>
                      <w:rFonts w:hint="default" w:ascii="Times New Roman" w:hAnsi="Times New Roman" w:eastAsia="宋体" w:cs="Times New Roman"/>
                      <w:color w:val="000000"/>
                      <w:szCs w:val="22"/>
                      <w:highlight w:val="none"/>
                    </w:rPr>
                    <w:t>声源特点</w:t>
                  </w:r>
                </w:p>
              </w:tc>
              <w:tc>
                <w:tcPr>
                  <w:tcW w:w="259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000000"/>
                      <w:szCs w:val="22"/>
                      <w:highlight w:val="none"/>
                    </w:rPr>
                  </w:pPr>
                  <w:r>
                    <w:rPr>
                      <w:rFonts w:hint="default" w:ascii="Times New Roman" w:hAnsi="Times New Roman" w:eastAsia="宋体" w:cs="Times New Roman"/>
                      <w:color w:val="000000"/>
                      <w:szCs w:val="22"/>
                      <w:highlight w:val="none"/>
                    </w:rPr>
                    <w:t>声功率级别dB(A)</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245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000000"/>
                      <w:szCs w:val="22"/>
                      <w:highlight w:val="none"/>
                    </w:rPr>
                  </w:pPr>
                  <w:r>
                    <w:rPr>
                      <w:rFonts w:hint="default" w:ascii="Times New Roman" w:hAnsi="Times New Roman" w:eastAsia="宋体" w:cs="Times New Roman"/>
                      <w:color w:val="000000"/>
                      <w:szCs w:val="22"/>
                      <w:highlight w:val="none"/>
                    </w:rPr>
                    <w:t>装载机</w:t>
                  </w:r>
                </w:p>
              </w:tc>
              <w:tc>
                <w:tcPr>
                  <w:tcW w:w="300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000000"/>
                      <w:szCs w:val="22"/>
                      <w:highlight w:val="none"/>
                    </w:rPr>
                  </w:pPr>
                  <w:r>
                    <w:rPr>
                      <w:rFonts w:hint="default" w:ascii="Times New Roman" w:hAnsi="Times New Roman" w:eastAsia="宋体" w:cs="Times New Roman"/>
                      <w:color w:val="000000"/>
                      <w:szCs w:val="22"/>
                      <w:highlight w:val="none"/>
                    </w:rPr>
                    <w:t>不稳态源强</w:t>
                  </w:r>
                </w:p>
              </w:tc>
              <w:tc>
                <w:tcPr>
                  <w:tcW w:w="259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000000"/>
                      <w:szCs w:val="22"/>
                      <w:highlight w:val="none"/>
                    </w:rPr>
                  </w:pPr>
                  <w:r>
                    <w:rPr>
                      <w:rFonts w:hint="default" w:ascii="Times New Roman" w:hAnsi="Times New Roman" w:eastAsia="宋体" w:cs="Times New Roman"/>
                      <w:color w:val="000000"/>
                      <w:szCs w:val="22"/>
                      <w:highlight w:val="none"/>
                    </w:rPr>
                    <w:t>85～90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8" w:hRule="atLeast"/>
                <w:jc w:val="center"/>
              </w:trPr>
              <w:tc>
                <w:tcPr>
                  <w:tcW w:w="245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000000"/>
                      <w:sz w:val="20"/>
                      <w:szCs w:val="20"/>
                      <w:highlight w:val="none"/>
                    </w:rPr>
                  </w:pPr>
                  <w:r>
                    <w:rPr>
                      <w:rFonts w:hint="default" w:ascii="Times New Roman" w:hAnsi="Times New Roman" w:eastAsia="宋体" w:cs="Times New Roman"/>
                      <w:color w:val="000000"/>
                      <w:szCs w:val="22"/>
                      <w:highlight w:val="none"/>
                    </w:rPr>
                    <w:t>推土机</w:t>
                  </w:r>
                </w:p>
              </w:tc>
              <w:tc>
                <w:tcPr>
                  <w:tcW w:w="300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000000"/>
                      <w:szCs w:val="22"/>
                      <w:highlight w:val="none"/>
                    </w:rPr>
                  </w:pPr>
                  <w:r>
                    <w:rPr>
                      <w:rFonts w:hint="default" w:ascii="Times New Roman" w:hAnsi="Times New Roman" w:eastAsia="宋体" w:cs="Times New Roman"/>
                      <w:color w:val="000000"/>
                      <w:szCs w:val="22"/>
                      <w:highlight w:val="none"/>
                    </w:rPr>
                    <w:t>流动性源强</w:t>
                  </w:r>
                </w:p>
              </w:tc>
              <w:tc>
                <w:tcPr>
                  <w:tcW w:w="259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000000"/>
                      <w:szCs w:val="22"/>
                      <w:highlight w:val="none"/>
                    </w:rPr>
                  </w:pPr>
                  <w:r>
                    <w:rPr>
                      <w:rFonts w:hint="default" w:ascii="Times New Roman" w:hAnsi="Times New Roman" w:eastAsia="宋体" w:cs="Times New Roman"/>
                      <w:color w:val="000000"/>
                      <w:szCs w:val="22"/>
                      <w:highlight w:val="none"/>
                    </w:rPr>
                    <w:t>80～85</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2" w:hRule="atLeast"/>
                <w:jc w:val="center"/>
              </w:trPr>
              <w:tc>
                <w:tcPr>
                  <w:tcW w:w="245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000000"/>
                      <w:szCs w:val="22"/>
                      <w:highlight w:val="none"/>
                    </w:rPr>
                  </w:pPr>
                  <w:r>
                    <w:rPr>
                      <w:rFonts w:hint="default" w:ascii="Times New Roman" w:hAnsi="Times New Roman" w:eastAsia="宋体" w:cs="Times New Roman"/>
                      <w:color w:val="000000"/>
                      <w:szCs w:val="22"/>
                      <w:highlight w:val="none"/>
                    </w:rPr>
                    <w:t>挖掘机</w:t>
                  </w:r>
                </w:p>
              </w:tc>
              <w:tc>
                <w:tcPr>
                  <w:tcW w:w="300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000000"/>
                      <w:szCs w:val="22"/>
                      <w:highlight w:val="none"/>
                    </w:rPr>
                  </w:pPr>
                  <w:r>
                    <w:rPr>
                      <w:rFonts w:hint="default" w:ascii="Times New Roman" w:hAnsi="Times New Roman" w:eastAsia="宋体" w:cs="Times New Roman"/>
                      <w:color w:val="000000"/>
                      <w:szCs w:val="22"/>
                      <w:highlight w:val="none"/>
                    </w:rPr>
                    <w:t>不稳态源强</w:t>
                  </w:r>
                </w:p>
              </w:tc>
              <w:tc>
                <w:tcPr>
                  <w:tcW w:w="259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000000"/>
                      <w:szCs w:val="22"/>
                      <w:highlight w:val="none"/>
                    </w:rPr>
                  </w:pPr>
                  <w:r>
                    <w:rPr>
                      <w:rFonts w:hint="default" w:ascii="Times New Roman" w:hAnsi="Times New Roman" w:eastAsia="宋体" w:cs="Times New Roman"/>
                      <w:color w:val="000000"/>
                      <w:szCs w:val="22"/>
                      <w:highlight w:val="none"/>
                    </w:rPr>
                    <w:t>80～85</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69" w:hRule="atLeast"/>
                <w:jc w:val="center"/>
              </w:trPr>
              <w:tc>
                <w:tcPr>
                  <w:tcW w:w="245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000000"/>
                      <w:szCs w:val="22"/>
                      <w:highlight w:val="none"/>
                    </w:rPr>
                  </w:pPr>
                  <w:r>
                    <w:rPr>
                      <w:rFonts w:hint="default" w:ascii="Times New Roman" w:hAnsi="Times New Roman" w:eastAsia="宋体" w:cs="Times New Roman"/>
                      <w:color w:val="000000"/>
                      <w:szCs w:val="22"/>
                      <w:highlight w:val="none"/>
                    </w:rPr>
                    <w:t>运输车辆</w:t>
                  </w:r>
                </w:p>
              </w:tc>
              <w:tc>
                <w:tcPr>
                  <w:tcW w:w="300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000000"/>
                      <w:szCs w:val="22"/>
                      <w:highlight w:val="none"/>
                    </w:rPr>
                  </w:pPr>
                  <w:r>
                    <w:rPr>
                      <w:rFonts w:hint="default" w:ascii="Times New Roman" w:hAnsi="Times New Roman" w:eastAsia="宋体" w:cs="Times New Roman"/>
                      <w:color w:val="000000"/>
                      <w:szCs w:val="22"/>
                      <w:highlight w:val="none"/>
                    </w:rPr>
                    <w:t>流动性源强</w:t>
                  </w:r>
                </w:p>
              </w:tc>
              <w:tc>
                <w:tcPr>
                  <w:tcW w:w="259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000000"/>
                      <w:szCs w:val="22"/>
                      <w:highlight w:val="none"/>
                    </w:rPr>
                  </w:pPr>
                  <w:r>
                    <w:rPr>
                      <w:rFonts w:hint="default" w:ascii="Times New Roman" w:hAnsi="Times New Roman" w:eastAsia="宋体" w:cs="Times New Roman"/>
                      <w:color w:val="000000"/>
                      <w:szCs w:val="22"/>
                      <w:highlight w:val="none"/>
                    </w:rPr>
                    <w:t>85～90</w:t>
                  </w:r>
                </w:p>
              </w:tc>
            </w:tr>
          </w:tbl>
          <w:p>
            <w:pPr>
              <w:pStyle w:val="14"/>
              <w:tabs>
                <w:tab w:val="left" w:pos="1425"/>
              </w:tabs>
              <w:spacing w:before="0" w:after="0" w:line="360" w:lineRule="auto"/>
              <w:ind w:right="0" w:firstLine="440" w:firstLineChars="200"/>
              <w:jc w:val="left"/>
              <w:outlineLvl w:val="0"/>
              <w:rPr>
                <w:rFonts w:hint="default" w:ascii="Times New Roman" w:hAnsi="Times New Roman" w:eastAsia="宋体" w:cs="Times New Roman"/>
                <w:color w:val="000000"/>
                <w:kern w:val="2"/>
                <w:sz w:val="22"/>
                <w:szCs w:val="22"/>
                <w:highlight w:val="none"/>
              </w:rPr>
            </w:pPr>
            <w:bookmarkStart w:id="72" w:name="_Toc8225"/>
            <w:bookmarkStart w:id="73" w:name="_Toc6493"/>
            <w:bookmarkStart w:id="74" w:name="_Toc664"/>
            <w:bookmarkStart w:id="75" w:name="_Toc21051"/>
            <w:bookmarkStart w:id="76" w:name="_Toc4111"/>
            <w:bookmarkStart w:id="77" w:name="_Toc15616"/>
            <w:bookmarkStart w:id="78" w:name="_Toc23701"/>
            <w:r>
              <w:rPr>
                <w:rFonts w:hint="default" w:ascii="Times New Roman" w:hAnsi="Times New Roman" w:eastAsia="宋体" w:cs="Times New Roman"/>
                <w:color w:val="000000"/>
                <w:kern w:val="2"/>
                <w:sz w:val="22"/>
                <w:szCs w:val="22"/>
                <w:highlight w:val="none"/>
              </w:rPr>
              <w:t>为实现施工厂界噪声达标排放，降低施工噪声对周围环境的影响，施工单位严格按照相关要求文明施工，搬运时严禁抛掷，采取了以下防治措施：</w:t>
            </w:r>
            <w:bookmarkEnd w:id="72"/>
            <w:bookmarkEnd w:id="73"/>
            <w:bookmarkEnd w:id="74"/>
            <w:bookmarkEnd w:id="75"/>
            <w:bookmarkEnd w:id="76"/>
            <w:bookmarkEnd w:id="77"/>
            <w:bookmarkEnd w:id="78"/>
          </w:p>
          <w:p>
            <w:pPr>
              <w:pStyle w:val="14"/>
              <w:tabs>
                <w:tab w:val="left" w:pos="1425"/>
              </w:tabs>
              <w:spacing w:before="0" w:after="0" w:line="360" w:lineRule="auto"/>
              <w:ind w:right="0" w:firstLine="440" w:firstLineChars="200"/>
              <w:jc w:val="left"/>
              <w:outlineLvl w:val="0"/>
              <w:rPr>
                <w:rFonts w:hint="default" w:ascii="Times New Roman" w:hAnsi="Times New Roman" w:eastAsia="宋体" w:cs="Times New Roman"/>
                <w:color w:val="000000"/>
                <w:kern w:val="2"/>
                <w:sz w:val="22"/>
                <w:szCs w:val="22"/>
                <w:highlight w:val="none"/>
              </w:rPr>
            </w:pPr>
            <w:bookmarkStart w:id="79" w:name="_Toc3908"/>
            <w:bookmarkStart w:id="80" w:name="_Toc29191"/>
            <w:bookmarkStart w:id="81" w:name="_Toc7804"/>
            <w:bookmarkStart w:id="82" w:name="_Toc8664"/>
            <w:bookmarkStart w:id="83" w:name="_Toc23667"/>
            <w:bookmarkStart w:id="84" w:name="_Toc10290"/>
            <w:bookmarkStart w:id="85" w:name="_Toc29033"/>
            <w:r>
              <w:rPr>
                <w:rFonts w:hint="default" w:ascii="Times New Roman" w:hAnsi="Times New Roman" w:eastAsia="宋体" w:cs="Times New Roman"/>
                <w:color w:val="000000"/>
                <w:kern w:val="2"/>
                <w:sz w:val="22"/>
                <w:szCs w:val="22"/>
                <w:highlight w:val="none"/>
              </w:rPr>
              <w:t>①选用低噪设备，从声源控制噪声的影响。</w:t>
            </w:r>
            <w:bookmarkEnd w:id="79"/>
            <w:bookmarkEnd w:id="80"/>
            <w:bookmarkEnd w:id="81"/>
            <w:bookmarkEnd w:id="82"/>
            <w:bookmarkEnd w:id="83"/>
            <w:bookmarkEnd w:id="84"/>
            <w:bookmarkEnd w:id="85"/>
          </w:p>
          <w:p>
            <w:pPr>
              <w:pStyle w:val="14"/>
              <w:tabs>
                <w:tab w:val="left" w:pos="1425"/>
              </w:tabs>
              <w:spacing w:before="0" w:after="0" w:line="360" w:lineRule="auto"/>
              <w:ind w:right="0" w:firstLine="440" w:firstLineChars="200"/>
              <w:jc w:val="left"/>
              <w:outlineLvl w:val="0"/>
              <w:rPr>
                <w:rFonts w:hint="default" w:ascii="Times New Roman" w:hAnsi="Times New Roman" w:eastAsia="宋体" w:cs="Times New Roman"/>
                <w:color w:val="000000"/>
                <w:kern w:val="2"/>
                <w:sz w:val="22"/>
                <w:szCs w:val="22"/>
                <w:highlight w:val="none"/>
              </w:rPr>
            </w:pPr>
            <w:bookmarkStart w:id="86" w:name="_Toc14808"/>
            <w:bookmarkStart w:id="87" w:name="_Toc17425"/>
            <w:bookmarkStart w:id="88" w:name="_Toc6788"/>
            <w:bookmarkStart w:id="89" w:name="_Toc25382"/>
            <w:bookmarkStart w:id="90" w:name="_Toc14576"/>
            <w:bookmarkStart w:id="91" w:name="_Toc1879"/>
            <w:bookmarkStart w:id="92" w:name="_Toc10671"/>
            <w:r>
              <w:rPr>
                <w:rFonts w:hint="default" w:ascii="Times New Roman" w:hAnsi="Times New Roman" w:eastAsia="宋体" w:cs="Times New Roman"/>
                <w:color w:val="000000"/>
                <w:kern w:val="2"/>
                <w:sz w:val="22"/>
                <w:szCs w:val="22"/>
                <w:highlight w:val="none"/>
              </w:rPr>
              <w:t>②对使用高噪声设备的阶段，要合理安排施工时间，同时加强管理。</w:t>
            </w:r>
            <w:bookmarkEnd w:id="86"/>
            <w:bookmarkEnd w:id="87"/>
            <w:bookmarkEnd w:id="88"/>
            <w:bookmarkEnd w:id="89"/>
            <w:bookmarkEnd w:id="90"/>
            <w:bookmarkEnd w:id="91"/>
            <w:bookmarkEnd w:id="92"/>
          </w:p>
          <w:p>
            <w:pPr>
              <w:pStyle w:val="14"/>
              <w:tabs>
                <w:tab w:val="left" w:pos="1425"/>
              </w:tabs>
              <w:spacing w:before="0" w:after="0" w:line="360" w:lineRule="auto"/>
              <w:ind w:right="0" w:firstLine="440" w:firstLineChars="200"/>
              <w:jc w:val="left"/>
              <w:outlineLvl w:val="0"/>
              <w:rPr>
                <w:rFonts w:hint="default" w:ascii="Times New Roman" w:hAnsi="Times New Roman" w:eastAsia="宋体" w:cs="Times New Roman"/>
                <w:color w:val="000000"/>
                <w:kern w:val="2"/>
                <w:sz w:val="22"/>
                <w:szCs w:val="22"/>
                <w:highlight w:val="none"/>
              </w:rPr>
            </w:pPr>
            <w:bookmarkStart w:id="93" w:name="_Toc4197"/>
            <w:bookmarkStart w:id="94" w:name="_Toc32595"/>
            <w:bookmarkStart w:id="95" w:name="_Toc29987"/>
            <w:bookmarkStart w:id="96" w:name="_Toc674"/>
            <w:bookmarkStart w:id="97" w:name="_Toc27115"/>
            <w:bookmarkStart w:id="98" w:name="_Toc11818"/>
            <w:bookmarkStart w:id="99" w:name="_Toc21680"/>
            <w:r>
              <w:rPr>
                <w:rFonts w:hint="default" w:ascii="Times New Roman" w:hAnsi="Times New Roman" w:eastAsia="宋体" w:cs="Times New Roman"/>
                <w:color w:val="000000"/>
                <w:kern w:val="2"/>
                <w:sz w:val="22"/>
                <w:szCs w:val="22"/>
                <w:highlight w:val="none"/>
              </w:rPr>
              <w:t>③合理安排高噪声施工机械的作业时间，严格控制夜间施工时间，使施工期的噪声污染控制在最低限度之内。</w:t>
            </w:r>
            <w:bookmarkEnd w:id="93"/>
            <w:bookmarkEnd w:id="94"/>
            <w:bookmarkEnd w:id="95"/>
            <w:bookmarkEnd w:id="96"/>
            <w:bookmarkEnd w:id="97"/>
            <w:bookmarkEnd w:id="98"/>
            <w:bookmarkEnd w:id="99"/>
          </w:p>
          <w:p>
            <w:pPr>
              <w:pStyle w:val="14"/>
              <w:tabs>
                <w:tab w:val="left" w:pos="1425"/>
              </w:tabs>
              <w:spacing w:before="0" w:after="0" w:line="360" w:lineRule="auto"/>
              <w:ind w:right="0" w:firstLine="440" w:firstLineChars="200"/>
              <w:jc w:val="left"/>
              <w:outlineLvl w:val="0"/>
              <w:rPr>
                <w:rFonts w:hint="default" w:ascii="Times New Roman" w:hAnsi="Times New Roman" w:eastAsia="宋体" w:cs="Times New Roman"/>
                <w:color w:val="000000"/>
                <w:kern w:val="2"/>
                <w:sz w:val="22"/>
                <w:szCs w:val="22"/>
                <w:highlight w:val="none"/>
              </w:rPr>
            </w:pPr>
            <w:bookmarkStart w:id="100" w:name="_Toc9237"/>
            <w:bookmarkStart w:id="101" w:name="_Toc28025"/>
            <w:bookmarkStart w:id="102" w:name="_Toc13851"/>
            <w:bookmarkStart w:id="103" w:name="_Toc452"/>
            <w:bookmarkStart w:id="104" w:name="_Toc10162"/>
            <w:bookmarkStart w:id="105" w:name="_Toc22097"/>
            <w:bookmarkStart w:id="106" w:name="_Toc6597"/>
            <w:r>
              <w:rPr>
                <w:rFonts w:hint="default" w:ascii="Times New Roman" w:hAnsi="Times New Roman" w:eastAsia="宋体" w:cs="Times New Roman"/>
                <w:color w:val="000000"/>
                <w:kern w:val="2"/>
                <w:sz w:val="22"/>
                <w:szCs w:val="22"/>
                <w:highlight w:val="none"/>
              </w:rPr>
              <w:t>④禁止夜间施工，若遇紧急情况需要夜间施工，须征得相关部门同意后进行，严格遵守当地管理部门相关规定，高考及中考期间不能施工。</w:t>
            </w:r>
            <w:bookmarkEnd w:id="100"/>
            <w:bookmarkEnd w:id="101"/>
            <w:bookmarkEnd w:id="102"/>
            <w:bookmarkEnd w:id="103"/>
            <w:bookmarkEnd w:id="104"/>
            <w:bookmarkEnd w:id="105"/>
            <w:bookmarkEnd w:id="106"/>
          </w:p>
          <w:p>
            <w:pPr>
              <w:spacing w:line="360" w:lineRule="auto"/>
              <w:ind w:firstLine="442" w:firstLineChars="200"/>
              <w:rPr>
                <w:rFonts w:hint="default" w:ascii="Times New Roman" w:hAnsi="Times New Roman" w:eastAsia="宋体" w:cs="Times New Roman"/>
                <w:b/>
                <w:bCs/>
                <w:color w:val="000000"/>
                <w:sz w:val="22"/>
                <w:szCs w:val="21"/>
                <w:highlight w:val="none"/>
              </w:rPr>
            </w:pPr>
            <w:r>
              <w:rPr>
                <w:rFonts w:hint="default" w:ascii="Times New Roman" w:hAnsi="Times New Roman" w:eastAsia="宋体" w:cs="Times New Roman"/>
                <w:b/>
                <w:bCs/>
                <w:color w:val="000000"/>
                <w:sz w:val="22"/>
                <w:szCs w:val="21"/>
                <w:highlight w:val="none"/>
                <w:lang w:val="en-US" w:eastAsia="zh-CN"/>
              </w:rPr>
              <w:t>4、</w:t>
            </w:r>
            <w:r>
              <w:rPr>
                <w:rFonts w:hint="default" w:ascii="Times New Roman" w:hAnsi="Times New Roman" w:eastAsia="宋体" w:cs="Times New Roman"/>
                <w:b/>
                <w:bCs/>
                <w:color w:val="000000"/>
                <w:sz w:val="22"/>
                <w:szCs w:val="21"/>
                <w:highlight w:val="none"/>
              </w:rPr>
              <w:t>固体废物</w:t>
            </w:r>
          </w:p>
          <w:p>
            <w:pPr>
              <w:pStyle w:val="14"/>
              <w:tabs>
                <w:tab w:val="left" w:pos="1425"/>
              </w:tabs>
              <w:spacing w:before="0" w:after="0" w:line="360" w:lineRule="auto"/>
              <w:ind w:right="0" w:firstLine="440" w:firstLineChars="200"/>
              <w:jc w:val="left"/>
              <w:outlineLvl w:val="0"/>
              <w:rPr>
                <w:rFonts w:hint="default" w:ascii="Times New Roman" w:hAnsi="Times New Roman" w:eastAsia="宋体" w:cs="Times New Roman"/>
                <w:color w:val="000000"/>
                <w:kern w:val="2"/>
                <w:sz w:val="22"/>
                <w:szCs w:val="22"/>
                <w:highlight w:val="none"/>
              </w:rPr>
            </w:pPr>
            <w:bookmarkStart w:id="107" w:name="_Toc29549"/>
            <w:bookmarkStart w:id="108" w:name="_Toc20826"/>
            <w:bookmarkStart w:id="109" w:name="_Toc14067"/>
            <w:bookmarkStart w:id="110" w:name="_Toc13704"/>
            <w:bookmarkStart w:id="111" w:name="_Toc7604"/>
            <w:bookmarkStart w:id="112" w:name="_Toc1213"/>
            <w:bookmarkStart w:id="113" w:name="_Toc5411"/>
            <w:r>
              <w:rPr>
                <w:rFonts w:hint="default" w:ascii="Times New Roman" w:hAnsi="Times New Roman" w:eastAsia="宋体" w:cs="Times New Roman"/>
                <w:color w:val="000000"/>
                <w:kern w:val="2"/>
                <w:sz w:val="22"/>
                <w:szCs w:val="22"/>
                <w:highlight w:val="none"/>
              </w:rPr>
              <w:t>施工期间必然会产生一定量的固体废物，若处置不当，将会影响景观，并在一段时间内构成尘源。本项目施工期的固体废物主要有</w:t>
            </w:r>
            <w:r>
              <w:rPr>
                <w:rFonts w:hint="eastAsia" w:ascii="Times New Roman" w:hAnsi="Times New Roman" w:eastAsia="宋体" w:cs="Times New Roman"/>
                <w:color w:val="000000"/>
                <w:kern w:val="2"/>
                <w:sz w:val="22"/>
                <w:szCs w:val="22"/>
                <w:highlight w:val="none"/>
                <w:lang w:val="en-US" w:eastAsia="zh-CN"/>
              </w:rPr>
              <w:t>土石方、</w:t>
            </w:r>
            <w:r>
              <w:rPr>
                <w:rFonts w:hint="default" w:ascii="Times New Roman" w:hAnsi="Times New Roman" w:eastAsia="宋体" w:cs="Times New Roman"/>
                <w:color w:val="000000"/>
                <w:kern w:val="2"/>
                <w:sz w:val="22"/>
                <w:szCs w:val="22"/>
                <w:highlight w:val="none"/>
              </w:rPr>
              <w:t>废弃的建筑材料以及施工人员的生活垃圾等。建筑垃圾若不及时进行处理，比重较轻的固体废物容易造成对周围环境空气和环境卫生的影响。</w:t>
            </w:r>
            <w:bookmarkEnd w:id="107"/>
            <w:bookmarkEnd w:id="108"/>
            <w:bookmarkEnd w:id="109"/>
            <w:bookmarkEnd w:id="110"/>
            <w:bookmarkEnd w:id="111"/>
            <w:bookmarkEnd w:id="112"/>
            <w:bookmarkEnd w:id="113"/>
          </w:p>
          <w:p>
            <w:pPr>
              <w:pStyle w:val="14"/>
              <w:tabs>
                <w:tab w:val="left" w:pos="1425"/>
              </w:tabs>
              <w:spacing w:before="0" w:after="0" w:line="360" w:lineRule="auto"/>
              <w:ind w:right="0" w:firstLine="440" w:firstLineChars="200"/>
              <w:jc w:val="left"/>
              <w:outlineLvl w:val="0"/>
              <w:rPr>
                <w:rFonts w:hint="default" w:ascii="Times New Roman" w:hAnsi="Times New Roman" w:eastAsia="宋体" w:cs="Times New Roman"/>
                <w:color w:val="000000"/>
                <w:kern w:val="2"/>
                <w:sz w:val="22"/>
                <w:szCs w:val="22"/>
                <w:highlight w:val="none"/>
              </w:rPr>
            </w:pPr>
            <w:bookmarkStart w:id="114" w:name="_Toc11879"/>
            <w:bookmarkStart w:id="115" w:name="_Toc1661"/>
            <w:bookmarkStart w:id="116" w:name="_Toc5658"/>
            <w:bookmarkStart w:id="117" w:name="_Toc21582"/>
            <w:bookmarkStart w:id="118" w:name="_Toc14905"/>
            <w:bookmarkStart w:id="119" w:name="_Toc24490"/>
            <w:bookmarkStart w:id="120" w:name="_Toc8166"/>
            <w:r>
              <w:rPr>
                <w:rFonts w:hint="default" w:ascii="Times New Roman" w:hAnsi="Times New Roman" w:eastAsia="宋体" w:cs="Times New Roman"/>
                <w:color w:val="000000"/>
                <w:kern w:val="2"/>
                <w:sz w:val="22"/>
                <w:szCs w:val="22"/>
                <w:highlight w:val="none"/>
              </w:rPr>
              <w:t>项目施工期开挖土方量全部用于工程回填、调整场地标高和绿化</w:t>
            </w:r>
            <w:r>
              <w:rPr>
                <w:rFonts w:hint="eastAsia" w:ascii="Times New Roman" w:hAnsi="Times New Roman" w:eastAsia="宋体" w:cs="Times New Roman"/>
                <w:color w:val="000000"/>
                <w:kern w:val="2"/>
                <w:sz w:val="22"/>
                <w:szCs w:val="22"/>
                <w:highlight w:val="none"/>
                <w:lang w:eastAsia="zh-CN"/>
              </w:rPr>
              <w:t>；</w:t>
            </w:r>
            <w:r>
              <w:rPr>
                <w:rFonts w:hint="default" w:ascii="Times New Roman" w:hAnsi="Times New Roman" w:eastAsia="宋体" w:cs="Times New Roman"/>
                <w:color w:val="000000"/>
                <w:kern w:val="2"/>
                <w:sz w:val="22"/>
                <w:szCs w:val="22"/>
                <w:highlight w:val="none"/>
              </w:rPr>
              <w:t>建筑垃圾</w:t>
            </w:r>
            <w:r>
              <w:rPr>
                <w:rFonts w:hint="default" w:ascii="Times New Roman" w:hAnsi="Times New Roman" w:eastAsia="宋体" w:cs="Times New Roman"/>
                <w:color w:val="000000"/>
                <w:kern w:val="2"/>
                <w:sz w:val="22"/>
                <w:szCs w:val="24"/>
                <w:highlight w:val="none"/>
              </w:rPr>
              <w:t>建筑垃圾主要包括砂石、石块、碎砖瓦、废木料、废金属等杂物，建筑垃圾在综合利用后</w:t>
            </w:r>
            <w:r>
              <w:rPr>
                <w:rFonts w:hint="default" w:ascii="Times New Roman" w:hAnsi="Times New Roman" w:eastAsia="宋体" w:cs="Times New Roman"/>
                <w:b/>
                <w:color w:val="000000"/>
                <w:kern w:val="2"/>
                <w:sz w:val="22"/>
                <w:szCs w:val="24"/>
                <w:highlight w:val="none"/>
              </w:rPr>
              <w:t>定期由建设单位运送至政府指定的建筑垃圾堆放点堆放</w:t>
            </w:r>
            <w:r>
              <w:rPr>
                <w:rFonts w:hint="default" w:ascii="Times New Roman" w:hAnsi="Times New Roman" w:eastAsia="宋体" w:cs="Times New Roman"/>
                <w:color w:val="000000"/>
                <w:kern w:val="2"/>
                <w:sz w:val="22"/>
                <w:szCs w:val="24"/>
                <w:highlight w:val="none"/>
              </w:rPr>
              <w:t>。</w:t>
            </w:r>
            <w:r>
              <w:rPr>
                <w:rFonts w:hint="default" w:ascii="Times New Roman" w:hAnsi="Times New Roman" w:eastAsia="宋体" w:cs="Times New Roman"/>
                <w:color w:val="000000"/>
                <w:kern w:val="2"/>
                <w:sz w:val="22"/>
                <w:szCs w:val="22"/>
                <w:highlight w:val="none"/>
              </w:rPr>
              <w:t>为防止造成二次污染，建筑垃圾在运输的过程中，运输车辆禁止超载，且采用篷布遮盖，避免运输的过程中散落。</w:t>
            </w:r>
            <w:bookmarkEnd w:id="114"/>
            <w:bookmarkEnd w:id="115"/>
            <w:bookmarkEnd w:id="116"/>
            <w:bookmarkEnd w:id="117"/>
            <w:bookmarkEnd w:id="118"/>
            <w:bookmarkEnd w:id="119"/>
            <w:bookmarkEnd w:id="120"/>
          </w:p>
          <w:p>
            <w:pPr>
              <w:pStyle w:val="14"/>
              <w:tabs>
                <w:tab w:val="left" w:pos="1425"/>
              </w:tabs>
              <w:spacing w:before="0" w:after="0" w:line="360" w:lineRule="auto"/>
              <w:ind w:right="0" w:firstLine="440" w:firstLineChars="200"/>
              <w:jc w:val="left"/>
              <w:outlineLvl w:val="0"/>
              <w:rPr>
                <w:rFonts w:hint="default" w:ascii="Times New Roman" w:hAnsi="Times New Roman" w:eastAsia="宋体" w:cs="Times New Roman"/>
                <w:color w:val="000000"/>
                <w:kern w:val="2"/>
                <w:sz w:val="22"/>
                <w:szCs w:val="22"/>
                <w:highlight w:val="none"/>
              </w:rPr>
            </w:pPr>
            <w:bookmarkStart w:id="121" w:name="_Toc20203"/>
            <w:bookmarkStart w:id="122" w:name="_Toc10149"/>
            <w:bookmarkStart w:id="123" w:name="_Toc1376"/>
            <w:bookmarkStart w:id="124" w:name="_Toc5263"/>
            <w:bookmarkStart w:id="125" w:name="_Toc12038"/>
            <w:bookmarkStart w:id="126" w:name="_Toc17686"/>
            <w:bookmarkStart w:id="127" w:name="_Toc22192"/>
            <w:r>
              <w:rPr>
                <w:rFonts w:hint="default" w:ascii="Times New Roman" w:hAnsi="Times New Roman" w:eastAsia="宋体" w:cs="Times New Roman"/>
                <w:color w:val="000000"/>
                <w:kern w:val="2"/>
                <w:sz w:val="22"/>
                <w:szCs w:val="22"/>
                <w:highlight w:val="none"/>
              </w:rPr>
              <w:t>项目施工期生活垃圾产生量较小，每天产生量按0.5kg/人计算，每天产生生活垃圾约10kg，经收集后送至当地环卫部门指定堆放地点处，由环卫部门</w:t>
            </w:r>
            <w:r>
              <w:rPr>
                <w:rFonts w:hint="default" w:ascii="Times New Roman" w:hAnsi="Times New Roman" w:eastAsia="宋体" w:cs="Times New Roman"/>
                <w:color w:val="000000"/>
                <w:kern w:val="2"/>
                <w:sz w:val="22"/>
                <w:szCs w:val="22"/>
                <w:highlight w:val="none"/>
                <w:lang w:eastAsia="zh-CN"/>
              </w:rPr>
              <w:t>定期清运</w:t>
            </w:r>
            <w:r>
              <w:rPr>
                <w:rFonts w:hint="default" w:ascii="Times New Roman" w:hAnsi="Times New Roman" w:eastAsia="宋体" w:cs="Times New Roman"/>
                <w:color w:val="000000"/>
                <w:kern w:val="2"/>
                <w:sz w:val="22"/>
                <w:szCs w:val="22"/>
                <w:highlight w:val="none"/>
              </w:rPr>
              <w:t>。</w:t>
            </w:r>
            <w:bookmarkEnd w:id="121"/>
            <w:bookmarkEnd w:id="122"/>
            <w:bookmarkEnd w:id="123"/>
            <w:bookmarkEnd w:id="124"/>
            <w:bookmarkEnd w:id="125"/>
            <w:bookmarkEnd w:id="126"/>
            <w:bookmarkEnd w:id="127"/>
          </w:p>
          <w:p>
            <w:pPr>
              <w:spacing w:line="360" w:lineRule="auto"/>
              <w:ind w:firstLine="442" w:firstLineChars="200"/>
              <w:rPr>
                <w:rFonts w:hint="default" w:ascii="Times New Roman" w:hAnsi="Times New Roman" w:eastAsia="宋体" w:cs="Times New Roman"/>
                <w:b/>
                <w:bCs/>
                <w:color w:val="000000"/>
                <w:sz w:val="22"/>
                <w:szCs w:val="21"/>
                <w:highlight w:val="none"/>
              </w:rPr>
            </w:pPr>
            <w:r>
              <w:rPr>
                <w:rFonts w:hint="default" w:ascii="Times New Roman" w:hAnsi="Times New Roman" w:eastAsia="宋体" w:cs="Times New Roman"/>
                <w:b/>
                <w:bCs/>
                <w:color w:val="000000"/>
                <w:sz w:val="22"/>
                <w:szCs w:val="21"/>
                <w:highlight w:val="none"/>
                <w:lang w:val="en-US" w:eastAsia="zh-CN"/>
              </w:rPr>
              <w:t>5、</w:t>
            </w:r>
            <w:r>
              <w:rPr>
                <w:rFonts w:hint="default" w:ascii="Times New Roman" w:hAnsi="Times New Roman" w:eastAsia="宋体" w:cs="Times New Roman"/>
                <w:b/>
                <w:bCs/>
                <w:color w:val="000000"/>
                <w:sz w:val="22"/>
                <w:szCs w:val="21"/>
                <w:highlight w:val="none"/>
              </w:rPr>
              <w:t>水土保持</w:t>
            </w:r>
          </w:p>
          <w:p>
            <w:pPr>
              <w:pStyle w:val="14"/>
              <w:tabs>
                <w:tab w:val="left" w:pos="1425"/>
              </w:tabs>
              <w:spacing w:before="0" w:after="0" w:line="360" w:lineRule="auto"/>
              <w:ind w:right="0" w:firstLine="440" w:firstLineChars="200"/>
              <w:jc w:val="left"/>
              <w:outlineLvl w:val="0"/>
              <w:rPr>
                <w:rFonts w:hint="default" w:ascii="Times New Roman" w:hAnsi="Times New Roman" w:eastAsia="宋体" w:cs="Times New Roman"/>
                <w:color w:val="000000"/>
                <w:kern w:val="2"/>
                <w:sz w:val="22"/>
                <w:szCs w:val="22"/>
                <w:highlight w:val="none"/>
                <w:lang w:eastAsia="zh-CN"/>
              </w:rPr>
            </w:pPr>
            <w:bookmarkStart w:id="128" w:name="_Toc11434"/>
            <w:bookmarkStart w:id="129" w:name="_Toc3887"/>
            <w:bookmarkStart w:id="130" w:name="_Toc12354"/>
            <w:bookmarkStart w:id="131" w:name="_Toc3374"/>
            <w:bookmarkStart w:id="132" w:name="_Toc5690"/>
            <w:bookmarkStart w:id="133" w:name="_Toc9858"/>
            <w:bookmarkStart w:id="134" w:name="_Toc11468"/>
            <w:r>
              <w:rPr>
                <w:rFonts w:hint="default" w:ascii="Times New Roman" w:hAnsi="Times New Roman" w:eastAsia="宋体" w:cs="Times New Roman"/>
                <w:color w:val="000000"/>
                <w:kern w:val="2"/>
                <w:sz w:val="22"/>
                <w:szCs w:val="22"/>
                <w:highlight w:val="none"/>
                <w:lang w:eastAsia="zh-CN"/>
              </w:rPr>
              <w:t>本项目施工期生态环境影响主要为施工开挖对当地植被破坏以及新增水土流失对当地生态环境的影响。施工单位采取以下措施减轻本项目建设过程中的生态环境影响：</w:t>
            </w:r>
            <w:bookmarkEnd w:id="128"/>
            <w:bookmarkEnd w:id="129"/>
            <w:bookmarkEnd w:id="130"/>
            <w:bookmarkEnd w:id="131"/>
          </w:p>
          <w:p>
            <w:pPr>
              <w:pStyle w:val="14"/>
              <w:tabs>
                <w:tab w:val="left" w:pos="1425"/>
              </w:tabs>
              <w:spacing w:before="0" w:after="0" w:line="360" w:lineRule="auto"/>
              <w:ind w:right="0" w:firstLine="440" w:firstLineChars="200"/>
              <w:jc w:val="left"/>
              <w:outlineLvl w:val="0"/>
              <w:rPr>
                <w:rFonts w:hint="default" w:ascii="Times New Roman" w:hAnsi="Times New Roman" w:eastAsia="宋体" w:cs="Times New Roman"/>
                <w:color w:val="000000"/>
                <w:kern w:val="2"/>
                <w:sz w:val="22"/>
                <w:szCs w:val="22"/>
                <w:highlight w:val="none"/>
                <w:lang w:eastAsia="zh-CN"/>
              </w:rPr>
            </w:pPr>
            <w:bookmarkStart w:id="135" w:name="_Toc24629"/>
            <w:bookmarkStart w:id="136" w:name="_Toc17331"/>
            <w:bookmarkStart w:id="137" w:name="_Toc3965"/>
            <w:bookmarkStart w:id="138" w:name="_Toc7992"/>
            <w:r>
              <w:rPr>
                <w:rFonts w:hint="default" w:ascii="Times New Roman" w:hAnsi="Times New Roman" w:eastAsia="宋体" w:cs="Times New Roman"/>
                <w:color w:val="000000"/>
                <w:kern w:val="2"/>
                <w:sz w:val="22"/>
                <w:szCs w:val="22"/>
                <w:highlight w:val="none"/>
                <w:lang w:eastAsia="zh-CN"/>
              </w:rPr>
              <w:t>（</w:t>
            </w:r>
            <w:r>
              <w:rPr>
                <w:rFonts w:hint="default" w:ascii="Times New Roman" w:hAnsi="Times New Roman" w:eastAsia="宋体" w:cs="Times New Roman"/>
                <w:color w:val="000000"/>
                <w:kern w:val="2"/>
                <w:sz w:val="22"/>
                <w:szCs w:val="22"/>
                <w:highlight w:val="none"/>
                <w:lang w:val="en-US" w:eastAsia="zh-CN"/>
              </w:rPr>
              <w:t>1</w:t>
            </w:r>
            <w:r>
              <w:rPr>
                <w:rFonts w:hint="default" w:ascii="Times New Roman" w:hAnsi="Times New Roman" w:eastAsia="宋体" w:cs="Times New Roman"/>
                <w:color w:val="000000"/>
                <w:kern w:val="2"/>
                <w:sz w:val="22"/>
                <w:szCs w:val="22"/>
                <w:highlight w:val="none"/>
                <w:lang w:eastAsia="zh-CN"/>
              </w:rPr>
              <w:t>）合理安排施工，施工期应尽量避开雨季，注意开挖土石方的堆放并及时回填，施工完成后及时开展植被恢复工作；</w:t>
            </w:r>
            <w:bookmarkEnd w:id="135"/>
            <w:bookmarkEnd w:id="136"/>
            <w:bookmarkEnd w:id="137"/>
            <w:bookmarkEnd w:id="138"/>
          </w:p>
          <w:bookmarkEnd w:id="132"/>
          <w:bookmarkEnd w:id="133"/>
          <w:bookmarkEnd w:id="134"/>
          <w:p>
            <w:pPr>
              <w:pStyle w:val="14"/>
              <w:tabs>
                <w:tab w:val="left" w:pos="1425"/>
              </w:tabs>
              <w:spacing w:before="0" w:after="0" w:line="360" w:lineRule="auto"/>
              <w:ind w:right="0" w:firstLine="440" w:firstLineChars="200"/>
              <w:jc w:val="left"/>
              <w:outlineLvl w:val="0"/>
              <w:rPr>
                <w:rFonts w:hint="default" w:ascii="Times New Roman" w:hAnsi="Times New Roman" w:eastAsia="宋体" w:cs="Times New Roman"/>
                <w:color w:val="000000"/>
                <w:kern w:val="2"/>
                <w:sz w:val="22"/>
                <w:szCs w:val="22"/>
                <w:highlight w:val="none"/>
                <w:lang w:eastAsia="zh-CN"/>
              </w:rPr>
            </w:pPr>
            <w:bookmarkStart w:id="139" w:name="_Toc28020"/>
            <w:bookmarkStart w:id="140" w:name="_Toc18472"/>
            <w:bookmarkStart w:id="141" w:name="_Toc1223"/>
            <w:bookmarkStart w:id="142" w:name="_Toc23116"/>
            <w:bookmarkStart w:id="143" w:name="_Toc29614"/>
            <w:bookmarkStart w:id="144" w:name="_Toc11776"/>
            <w:bookmarkStart w:id="145" w:name="_Toc22631"/>
            <w:r>
              <w:rPr>
                <w:rFonts w:hint="default" w:ascii="Times New Roman" w:hAnsi="Times New Roman" w:eastAsia="宋体" w:cs="Times New Roman"/>
                <w:color w:val="000000"/>
                <w:kern w:val="2"/>
                <w:sz w:val="22"/>
                <w:szCs w:val="22"/>
                <w:highlight w:val="none"/>
                <w:lang w:eastAsia="zh-CN"/>
              </w:rPr>
              <w:t>（</w:t>
            </w:r>
            <w:r>
              <w:rPr>
                <w:rFonts w:hint="eastAsia" w:ascii="Times New Roman" w:hAnsi="Times New Roman" w:eastAsia="宋体" w:cs="Times New Roman"/>
                <w:color w:val="000000"/>
                <w:kern w:val="2"/>
                <w:sz w:val="22"/>
                <w:szCs w:val="22"/>
                <w:highlight w:val="none"/>
                <w:lang w:val="en-US" w:eastAsia="zh-CN"/>
              </w:rPr>
              <w:t>2</w:t>
            </w:r>
            <w:r>
              <w:rPr>
                <w:rFonts w:hint="default" w:ascii="Times New Roman" w:hAnsi="Times New Roman" w:eastAsia="宋体" w:cs="Times New Roman"/>
                <w:color w:val="000000"/>
                <w:kern w:val="2"/>
                <w:sz w:val="22"/>
                <w:szCs w:val="22"/>
                <w:highlight w:val="none"/>
                <w:lang w:eastAsia="zh-CN"/>
              </w:rPr>
              <w:t>）雨天禁止挖方作业。</w:t>
            </w:r>
            <w:bookmarkEnd w:id="139"/>
            <w:bookmarkEnd w:id="140"/>
            <w:bookmarkEnd w:id="141"/>
            <w:bookmarkEnd w:id="142"/>
          </w:p>
          <w:p>
            <w:pPr>
              <w:pStyle w:val="14"/>
              <w:tabs>
                <w:tab w:val="left" w:pos="1425"/>
              </w:tabs>
              <w:spacing w:before="0" w:after="0" w:line="360" w:lineRule="auto"/>
              <w:ind w:right="0" w:firstLine="440" w:firstLineChars="200"/>
              <w:jc w:val="left"/>
              <w:outlineLvl w:val="0"/>
              <w:rPr>
                <w:rFonts w:hint="default" w:ascii="Times New Roman" w:hAnsi="Times New Roman" w:eastAsia="宋体" w:cs="Times New Roman"/>
                <w:color w:val="000000"/>
                <w:kern w:val="2"/>
                <w:sz w:val="22"/>
                <w:szCs w:val="22"/>
                <w:highlight w:val="none"/>
              </w:rPr>
            </w:pPr>
            <w:bookmarkStart w:id="146" w:name="_Toc22549"/>
            <w:bookmarkStart w:id="147" w:name="_Toc6791"/>
            <w:bookmarkStart w:id="148" w:name="_Toc18128"/>
            <w:bookmarkStart w:id="149" w:name="_Toc26080"/>
            <w:r>
              <w:rPr>
                <w:rFonts w:hint="default" w:ascii="Times New Roman" w:hAnsi="Times New Roman" w:eastAsia="宋体" w:cs="Times New Roman"/>
                <w:color w:val="000000"/>
                <w:kern w:val="2"/>
                <w:sz w:val="22"/>
                <w:szCs w:val="22"/>
                <w:highlight w:val="none"/>
                <w:lang w:eastAsia="zh-CN"/>
              </w:rPr>
              <w:t>（</w:t>
            </w:r>
            <w:r>
              <w:rPr>
                <w:rFonts w:hint="eastAsia" w:ascii="Times New Roman" w:hAnsi="Times New Roman" w:eastAsia="宋体" w:cs="Times New Roman"/>
                <w:color w:val="000000"/>
                <w:kern w:val="2"/>
                <w:sz w:val="22"/>
                <w:szCs w:val="22"/>
                <w:highlight w:val="none"/>
                <w:lang w:val="en-US" w:eastAsia="zh-CN"/>
              </w:rPr>
              <w:t>3</w:t>
            </w:r>
            <w:r>
              <w:rPr>
                <w:rFonts w:hint="default" w:ascii="Times New Roman" w:hAnsi="Times New Roman" w:eastAsia="宋体" w:cs="Times New Roman"/>
                <w:color w:val="000000"/>
                <w:kern w:val="2"/>
                <w:sz w:val="22"/>
                <w:szCs w:val="22"/>
                <w:highlight w:val="none"/>
                <w:lang w:eastAsia="zh-CN"/>
              </w:rPr>
              <w:t>）施工过程采取边开挖、边回填、边压实的防护措施。</w:t>
            </w:r>
            <w:r>
              <w:rPr>
                <w:rFonts w:hint="default" w:ascii="Times New Roman" w:hAnsi="Times New Roman" w:eastAsia="宋体" w:cs="Times New Roman"/>
                <w:color w:val="000000"/>
                <w:kern w:val="2"/>
                <w:sz w:val="22"/>
                <w:szCs w:val="22"/>
                <w:highlight w:val="none"/>
              </w:rPr>
              <w:t>本项目建设场址挖方量较小，全部回填。</w:t>
            </w:r>
            <w:bookmarkEnd w:id="143"/>
            <w:bookmarkEnd w:id="144"/>
            <w:bookmarkEnd w:id="145"/>
            <w:bookmarkEnd w:id="146"/>
            <w:bookmarkEnd w:id="147"/>
            <w:bookmarkEnd w:id="148"/>
            <w:bookmarkEnd w:id="149"/>
          </w:p>
          <w:p>
            <w:pPr>
              <w:pStyle w:val="14"/>
              <w:tabs>
                <w:tab w:val="left" w:pos="1425"/>
              </w:tabs>
              <w:spacing w:before="0" w:after="0" w:line="360" w:lineRule="auto"/>
              <w:ind w:right="0" w:firstLine="440" w:firstLineChars="200"/>
              <w:jc w:val="left"/>
              <w:outlineLvl w:val="0"/>
              <w:rPr>
                <w:rFonts w:hint="default" w:ascii="Times New Roman" w:hAnsi="Times New Roman" w:eastAsia="宋体" w:cs="Times New Roman"/>
                <w:color w:val="000000"/>
                <w:kern w:val="2"/>
                <w:sz w:val="22"/>
                <w:szCs w:val="22"/>
                <w:highlight w:val="none"/>
                <w:lang w:eastAsia="zh-CN"/>
              </w:rPr>
            </w:pPr>
            <w:bookmarkStart w:id="150" w:name="_Toc21942"/>
            <w:bookmarkStart w:id="151" w:name="_Toc1180"/>
            <w:bookmarkStart w:id="152" w:name="_Toc4189"/>
            <w:bookmarkStart w:id="153" w:name="_Toc23889"/>
            <w:bookmarkStart w:id="154" w:name="_Toc345"/>
            <w:bookmarkStart w:id="155" w:name="_Toc11702"/>
            <w:bookmarkStart w:id="156" w:name="_Toc27287"/>
            <w:r>
              <w:rPr>
                <w:rFonts w:hint="default" w:ascii="Times New Roman" w:hAnsi="Times New Roman" w:eastAsia="宋体" w:cs="Times New Roman"/>
                <w:color w:val="000000"/>
                <w:kern w:val="2"/>
                <w:sz w:val="22"/>
                <w:szCs w:val="22"/>
                <w:highlight w:val="none"/>
                <w:lang w:eastAsia="zh-CN"/>
              </w:rPr>
              <w:t>（</w:t>
            </w:r>
            <w:r>
              <w:rPr>
                <w:rFonts w:hint="eastAsia" w:ascii="Times New Roman" w:hAnsi="Times New Roman" w:eastAsia="宋体" w:cs="Times New Roman"/>
                <w:color w:val="000000"/>
                <w:kern w:val="2"/>
                <w:sz w:val="22"/>
                <w:szCs w:val="22"/>
                <w:highlight w:val="none"/>
                <w:lang w:val="en-US" w:eastAsia="zh-CN"/>
              </w:rPr>
              <w:t>4</w:t>
            </w:r>
            <w:r>
              <w:rPr>
                <w:rFonts w:hint="default" w:ascii="Times New Roman" w:hAnsi="Times New Roman" w:eastAsia="宋体" w:cs="Times New Roman"/>
                <w:color w:val="000000"/>
                <w:kern w:val="2"/>
                <w:sz w:val="22"/>
                <w:szCs w:val="22"/>
                <w:highlight w:val="none"/>
                <w:lang w:eastAsia="zh-CN"/>
              </w:rPr>
              <w:t>）加强施工人员环境保护知识教育，加强施工期间管理。</w:t>
            </w:r>
            <w:bookmarkEnd w:id="150"/>
            <w:bookmarkEnd w:id="151"/>
            <w:bookmarkEnd w:id="152"/>
            <w:bookmarkEnd w:id="153"/>
          </w:p>
          <w:bookmarkEnd w:id="154"/>
          <w:bookmarkEnd w:id="155"/>
          <w:bookmarkEnd w:id="156"/>
          <w:p>
            <w:pPr>
              <w:spacing w:line="360" w:lineRule="auto"/>
              <w:ind w:firstLine="480"/>
              <w:rPr>
                <w:rFonts w:hint="default" w:ascii="Times New Roman" w:hAnsi="Times New Roman" w:eastAsia="宋体" w:cs="Times New Roman"/>
                <w:color w:val="000000"/>
                <w:kern w:val="2"/>
                <w:sz w:val="22"/>
                <w:szCs w:val="22"/>
                <w:highlight w:val="none"/>
                <w:lang w:eastAsia="zh-CN"/>
              </w:rPr>
            </w:pPr>
            <w:bookmarkStart w:id="157" w:name="_Toc10742"/>
            <w:bookmarkStart w:id="158" w:name="_Toc9566"/>
            <w:bookmarkStart w:id="159" w:name="_Toc27789"/>
            <w:bookmarkStart w:id="160" w:name="_Toc6628"/>
            <w:r>
              <w:rPr>
                <w:rFonts w:hint="default" w:ascii="Times New Roman" w:hAnsi="Times New Roman" w:eastAsia="宋体" w:cs="Times New Roman"/>
                <w:color w:val="000000"/>
                <w:kern w:val="2"/>
                <w:sz w:val="22"/>
                <w:szCs w:val="22"/>
                <w:highlight w:val="none"/>
                <w:lang w:eastAsia="zh-CN"/>
              </w:rPr>
              <w:t>待施工完全结束后，施工期污染影响也将消失。</w:t>
            </w:r>
            <w:bookmarkEnd w:id="157"/>
            <w:bookmarkEnd w:id="158"/>
            <w:bookmarkEnd w:id="159"/>
            <w:bookmarkEnd w:id="160"/>
          </w:p>
          <w:p>
            <w:pPr>
              <w:spacing w:line="360" w:lineRule="auto"/>
              <w:ind w:firstLine="480"/>
              <w:rPr>
                <w:rFonts w:hint="default" w:ascii="Times New Roman" w:hAnsi="Times New Roman" w:eastAsia="宋体" w:cs="Times New Roman"/>
                <w:color w:val="000000"/>
                <w:kern w:val="2"/>
                <w:sz w:val="22"/>
                <w:szCs w:val="22"/>
                <w:highlight w:val="none"/>
                <w:lang w:eastAsia="zh-CN"/>
              </w:rPr>
            </w:pPr>
          </w:p>
          <w:p>
            <w:pPr>
              <w:spacing w:line="360" w:lineRule="auto"/>
              <w:ind w:firstLine="480"/>
              <w:rPr>
                <w:rFonts w:hint="default" w:ascii="Times New Roman" w:hAnsi="Times New Roman" w:eastAsia="宋体" w:cs="Times New Roman"/>
                <w:color w:val="000000"/>
                <w:kern w:val="2"/>
                <w:sz w:val="22"/>
                <w:szCs w:val="22"/>
                <w:highlight w:val="none"/>
                <w:lang w:eastAsia="zh-CN"/>
              </w:rPr>
            </w:pPr>
          </w:p>
          <w:p>
            <w:pPr>
              <w:spacing w:line="360" w:lineRule="auto"/>
              <w:ind w:firstLine="480"/>
              <w:rPr>
                <w:rFonts w:hint="default" w:ascii="Times New Roman" w:hAnsi="Times New Roman" w:eastAsia="宋体" w:cs="Times New Roman"/>
                <w:color w:val="000000"/>
                <w:kern w:val="2"/>
                <w:sz w:val="22"/>
                <w:szCs w:val="22"/>
                <w:highlight w:val="none"/>
                <w:lang w:eastAsia="zh-CN"/>
              </w:rPr>
            </w:pPr>
          </w:p>
          <w:p>
            <w:pPr>
              <w:spacing w:line="360" w:lineRule="auto"/>
              <w:ind w:firstLine="480"/>
              <w:rPr>
                <w:rFonts w:hint="default" w:ascii="Times New Roman" w:hAnsi="Times New Roman" w:eastAsia="宋体" w:cs="Times New Roman"/>
                <w:color w:val="000000"/>
                <w:kern w:val="2"/>
                <w:sz w:val="22"/>
                <w:szCs w:val="22"/>
                <w:highlight w:val="none"/>
                <w:lang w:eastAsia="zh-CN"/>
              </w:rPr>
            </w:pPr>
          </w:p>
          <w:p>
            <w:pPr>
              <w:spacing w:line="360" w:lineRule="auto"/>
              <w:ind w:firstLine="480"/>
              <w:rPr>
                <w:rFonts w:hint="default" w:ascii="Times New Roman" w:hAnsi="Times New Roman" w:eastAsia="宋体" w:cs="Times New Roman"/>
                <w:color w:val="000000"/>
                <w:kern w:val="2"/>
                <w:sz w:val="22"/>
                <w:szCs w:val="22"/>
                <w:highlight w:val="none"/>
                <w:lang w:eastAsia="zh-CN"/>
              </w:rPr>
            </w:pPr>
          </w:p>
          <w:p>
            <w:pPr>
              <w:spacing w:line="360" w:lineRule="auto"/>
              <w:ind w:firstLine="480"/>
              <w:rPr>
                <w:rFonts w:hint="default" w:ascii="Times New Roman" w:hAnsi="Times New Roman" w:eastAsia="宋体" w:cs="Times New Roman"/>
                <w:color w:val="000000"/>
                <w:kern w:val="2"/>
                <w:sz w:val="22"/>
                <w:szCs w:val="22"/>
                <w:highlight w:val="none"/>
                <w:lang w:eastAsia="zh-CN"/>
              </w:rPr>
            </w:pPr>
          </w:p>
          <w:p>
            <w:pPr>
              <w:spacing w:line="360" w:lineRule="auto"/>
              <w:ind w:firstLine="480"/>
              <w:rPr>
                <w:rFonts w:hint="default" w:ascii="Times New Roman" w:hAnsi="Times New Roman" w:eastAsia="宋体" w:cs="Times New Roman"/>
                <w:color w:val="000000"/>
                <w:kern w:val="2"/>
                <w:sz w:val="22"/>
                <w:szCs w:val="22"/>
                <w:highlight w:val="none"/>
                <w:lang w:eastAsia="zh-CN"/>
              </w:rPr>
            </w:pPr>
          </w:p>
          <w:p>
            <w:pPr>
              <w:spacing w:line="360" w:lineRule="auto"/>
              <w:ind w:firstLine="480"/>
              <w:rPr>
                <w:rFonts w:hint="default" w:ascii="Times New Roman" w:hAnsi="Times New Roman" w:eastAsia="宋体" w:cs="Times New Roman"/>
                <w:color w:val="000000"/>
                <w:kern w:val="2"/>
                <w:sz w:val="22"/>
                <w:szCs w:val="22"/>
                <w:highlight w:val="none"/>
                <w:lang w:eastAsia="zh-CN"/>
              </w:rPr>
            </w:pPr>
          </w:p>
          <w:p>
            <w:pPr>
              <w:spacing w:line="360" w:lineRule="auto"/>
              <w:ind w:firstLine="480"/>
              <w:rPr>
                <w:rFonts w:hint="default" w:ascii="Times New Roman" w:hAnsi="Times New Roman" w:eastAsia="宋体" w:cs="Times New Roman"/>
                <w:color w:val="000000"/>
                <w:kern w:val="2"/>
                <w:sz w:val="22"/>
                <w:szCs w:val="22"/>
                <w:highlight w:val="none"/>
                <w:lang w:eastAsia="zh-CN"/>
              </w:rPr>
            </w:pPr>
          </w:p>
          <w:p>
            <w:pPr>
              <w:spacing w:line="360" w:lineRule="auto"/>
              <w:ind w:firstLine="480"/>
              <w:rPr>
                <w:rFonts w:hint="default" w:ascii="Times New Roman" w:hAnsi="Times New Roman" w:eastAsia="宋体" w:cs="Times New Roman"/>
                <w:color w:val="000000"/>
                <w:kern w:val="2"/>
                <w:sz w:val="22"/>
                <w:szCs w:val="22"/>
                <w:highlight w:val="none"/>
                <w:lang w:eastAsia="zh-CN"/>
              </w:rPr>
            </w:pPr>
          </w:p>
          <w:p>
            <w:pPr>
              <w:spacing w:line="360" w:lineRule="auto"/>
              <w:ind w:firstLine="480"/>
              <w:rPr>
                <w:rFonts w:hint="default" w:ascii="Times New Roman" w:hAnsi="Times New Roman" w:eastAsia="宋体" w:cs="Times New Roman"/>
                <w:bCs/>
                <w:color w:val="auto"/>
                <w:spacing w:val="-10"/>
                <w:szCs w:val="21"/>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17" w:hRule="atLeast"/>
          <w:jc w:val="center"/>
        </w:trPr>
        <w:tc>
          <w:tcPr>
            <w:tcW w:w="746" w:type="dxa"/>
            <w:noWrap w:val="0"/>
            <w:tcMar>
              <w:left w:w="28" w:type="dxa"/>
              <w:right w:w="28" w:type="dxa"/>
            </w:tcMar>
            <w:vAlign w:val="center"/>
          </w:tcPr>
          <w:p>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运营</w:t>
            </w:r>
          </w:p>
          <w:p>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期环</w:t>
            </w:r>
          </w:p>
          <w:p>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境影</w:t>
            </w:r>
          </w:p>
          <w:p>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响和</w:t>
            </w:r>
          </w:p>
          <w:p>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保护</w:t>
            </w:r>
          </w:p>
          <w:p>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措施</w:t>
            </w:r>
          </w:p>
        </w:tc>
        <w:tc>
          <w:tcPr>
            <w:tcW w:w="8162" w:type="dxa"/>
            <w:noWrap w:val="0"/>
            <w:vAlign w:val="center"/>
          </w:tcPr>
          <w:p>
            <w:pPr>
              <w:adjustRightInd w:val="0"/>
              <w:spacing w:line="360" w:lineRule="auto"/>
              <w:ind w:firstLine="442" w:firstLineChars="200"/>
              <w:textAlignment w:val="baseline"/>
              <w:outlineLvl w:val="2"/>
              <w:rPr>
                <w:rFonts w:hint="default" w:ascii="Times New Roman" w:hAnsi="Times New Roman" w:cs="Times New Roman"/>
                <w:b/>
                <w:bCs/>
                <w:color w:val="auto"/>
                <w:sz w:val="22"/>
                <w:szCs w:val="22"/>
                <w:highlight w:val="none"/>
              </w:rPr>
            </w:pPr>
            <w:bookmarkStart w:id="161" w:name="_Toc16360"/>
            <w:bookmarkStart w:id="162" w:name="_Toc4512"/>
            <w:bookmarkStart w:id="163" w:name="_Toc17226"/>
            <w:r>
              <w:rPr>
                <w:rFonts w:hint="default" w:ascii="Times New Roman" w:hAnsi="Times New Roman" w:cs="Times New Roman"/>
                <w:b/>
                <w:bCs/>
                <w:color w:val="auto"/>
                <w:sz w:val="22"/>
                <w:szCs w:val="22"/>
                <w:highlight w:val="none"/>
              </w:rPr>
              <w:t>1、废气</w:t>
            </w:r>
            <w:bookmarkEnd w:id="161"/>
            <w:bookmarkEnd w:id="162"/>
            <w:bookmarkEnd w:id="163"/>
          </w:p>
          <w:p>
            <w:pPr>
              <w:spacing w:line="360" w:lineRule="auto"/>
              <w:ind w:firstLine="480"/>
              <w:rPr>
                <w:rFonts w:hint="default" w:ascii="Times New Roman" w:hAnsi="Times New Roman" w:cs="Times New Roman"/>
                <w:b/>
                <w:bCs/>
                <w:color w:val="auto"/>
                <w:kern w:val="2"/>
                <w:sz w:val="22"/>
                <w:szCs w:val="21"/>
                <w:highlight w:val="none"/>
                <w:lang w:val="en-US" w:eastAsia="zh-CN" w:bidi="ar-SA"/>
              </w:rPr>
            </w:pPr>
            <w:r>
              <w:rPr>
                <w:rFonts w:hint="default" w:ascii="Times New Roman" w:hAnsi="Times New Roman" w:cs="Times New Roman"/>
                <w:b/>
                <w:bCs/>
                <w:color w:val="auto"/>
                <w:kern w:val="2"/>
                <w:sz w:val="22"/>
                <w:szCs w:val="21"/>
                <w:highlight w:val="none"/>
                <w:lang w:val="en-US" w:eastAsia="zh-CN" w:bidi="ar-SA"/>
              </w:rPr>
              <w:t>1.1</w:t>
            </w:r>
            <w:r>
              <w:rPr>
                <w:rFonts w:hint="eastAsia" w:ascii="Times New Roman" w:hAnsi="Times New Roman" w:cs="Times New Roman"/>
                <w:b/>
                <w:bCs/>
                <w:color w:val="auto"/>
                <w:kern w:val="2"/>
                <w:sz w:val="22"/>
                <w:szCs w:val="21"/>
                <w:highlight w:val="none"/>
                <w:lang w:val="en-US" w:eastAsia="zh-CN" w:bidi="ar-SA"/>
              </w:rPr>
              <w:t>正常生产废气产排污情况</w:t>
            </w:r>
          </w:p>
          <w:p>
            <w:pPr>
              <w:spacing w:line="360" w:lineRule="auto"/>
              <w:ind w:firstLine="480"/>
              <w:rPr>
                <w:rFonts w:hint="default" w:ascii="Times New Roman" w:hAnsi="Times New Roman" w:cs="Times New Roman"/>
                <w:b w:val="0"/>
                <w:bCs w:val="0"/>
                <w:color w:val="auto"/>
                <w:kern w:val="2"/>
                <w:sz w:val="22"/>
                <w:szCs w:val="21"/>
                <w:highlight w:val="none"/>
                <w:lang w:val="en-US" w:eastAsia="zh-CN" w:bidi="ar-SA"/>
              </w:rPr>
            </w:pPr>
            <w:r>
              <w:rPr>
                <w:rFonts w:hint="eastAsia" w:ascii="Times New Roman" w:hAnsi="Times New Roman" w:cs="Times New Roman"/>
                <w:b w:val="0"/>
                <w:bCs w:val="0"/>
                <w:color w:val="auto"/>
                <w:kern w:val="2"/>
                <w:sz w:val="22"/>
                <w:szCs w:val="21"/>
                <w:highlight w:val="none"/>
                <w:lang w:val="en-US" w:eastAsia="zh-CN" w:bidi="ar-SA"/>
              </w:rPr>
              <w:t>（1）夹层玻璃夹胶成型工序废气</w:t>
            </w:r>
          </w:p>
          <w:p>
            <w:pPr>
              <w:pStyle w:val="52"/>
              <w:spacing w:line="360" w:lineRule="auto"/>
              <w:ind w:firstLine="440" w:firstLineChars="200"/>
              <w:jc w:val="both"/>
              <w:rPr>
                <w:rFonts w:hint="default" w:ascii="Times New Roman" w:hAnsi="Times New Roman" w:eastAsia="宋体" w:cs="Times New Roman"/>
                <w:color w:val="000000"/>
                <w:kern w:val="2"/>
                <w:sz w:val="22"/>
                <w:szCs w:val="22"/>
                <w:lang w:val="en-US" w:eastAsia="zh-CN"/>
              </w:rPr>
            </w:pPr>
            <w:r>
              <w:rPr>
                <w:rFonts w:hint="eastAsia" w:ascii="Times New Roman" w:hAnsi="Times New Roman" w:eastAsia="宋体" w:cs="Times New Roman"/>
                <w:color w:val="000000"/>
                <w:kern w:val="2"/>
                <w:sz w:val="22"/>
                <w:szCs w:val="22"/>
                <w:lang w:val="en-US" w:eastAsia="zh-CN"/>
              </w:rPr>
              <w:t>项目生产是废气为玻璃出高压釜冷却时产生的热空气，热空气除热污染外无其其它污染因素，高压釜采用电加热，自带集气罩，热空气直接排出室外。</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40" w:firstLineChars="200"/>
              <w:jc w:val="left"/>
              <w:textAlignment w:val="auto"/>
              <w:outlineLvl w:val="9"/>
              <w:rPr>
                <w:rFonts w:hint="default" w:ascii="Times New Roman" w:hAnsi="Times New Roman" w:eastAsia="宋体" w:cs="Times New Roman"/>
                <w:color w:val="000000"/>
                <w:sz w:val="22"/>
                <w:szCs w:val="22"/>
                <w:lang w:val="en-US" w:eastAsia="zh-CN"/>
              </w:rPr>
            </w:pPr>
            <w:r>
              <w:rPr>
                <w:rFonts w:hint="eastAsia" w:ascii="Times New Roman" w:hAnsi="Times New Roman" w:eastAsia="宋体" w:cs="Times New Roman"/>
                <w:color w:val="000000"/>
                <w:kern w:val="2"/>
                <w:sz w:val="22"/>
                <w:szCs w:val="22"/>
                <w:lang w:val="en-US" w:eastAsia="zh-CN"/>
              </w:rPr>
              <w:t>本</w:t>
            </w:r>
            <w:r>
              <w:rPr>
                <w:rFonts w:hint="eastAsia" w:ascii="Times New Roman" w:hAnsi="Times New Roman" w:cs="Times New Roman"/>
                <w:bCs/>
                <w:color w:val="auto"/>
                <w:sz w:val="22"/>
                <w:szCs w:val="22"/>
                <w:highlight w:val="none"/>
                <w:lang w:val="en-US" w:eastAsia="zh-CN"/>
              </w:rPr>
              <w:t>PVB胶片是半透明的膜片，由聚乙烯醇丁醛经增塑剂塑化挤压成型的一种高分子材料，性能稳定。PVB胶片软化温度为60-65℃，200℃时发生分解。本项目工作温度控制在120-130℃左右，PVB胶片不会分解，本次不考虑挥发性气体的产生。</w:t>
            </w:r>
          </w:p>
          <w:p>
            <w:pPr>
              <w:pStyle w:val="52"/>
              <w:spacing w:line="360" w:lineRule="auto"/>
              <w:ind w:firstLine="440" w:firstLineChars="200"/>
              <w:rPr>
                <w:rFonts w:hint="eastAsia" w:ascii="Times New Roman" w:hAnsi="Times New Roman" w:eastAsia="宋体" w:cs="Times New Roman"/>
                <w:color w:val="000000"/>
                <w:kern w:val="2"/>
                <w:sz w:val="22"/>
                <w:szCs w:val="22"/>
                <w:lang w:val="en-US" w:eastAsia="zh-CN"/>
              </w:rPr>
            </w:pPr>
            <w:r>
              <w:rPr>
                <w:rFonts w:hint="eastAsia" w:ascii="Times New Roman" w:hAnsi="Times New Roman" w:eastAsia="宋体" w:cs="Times New Roman"/>
                <w:color w:val="000000"/>
                <w:kern w:val="2"/>
                <w:sz w:val="22"/>
                <w:szCs w:val="22"/>
                <w:lang w:val="en-US" w:eastAsia="zh-CN"/>
              </w:rPr>
              <w:t>（2）磨边工序废气</w:t>
            </w:r>
          </w:p>
          <w:p>
            <w:pPr>
              <w:pStyle w:val="52"/>
              <w:spacing w:line="360" w:lineRule="auto"/>
              <w:ind w:firstLine="440" w:firstLineChars="200"/>
              <w:rPr>
                <w:rFonts w:hint="eastAsia" w:ascii="Times New Roman" w:hAnsi="Times New Roman" w:eastAsia="宋体" w:cs="Times New Roman"/>
                <w:color w:val="000000"/>
                <w:kern w:val="2"/>
                <w:sz w:val="22"/>
                <w:szCs w:val="22"/>
                <w:lang w:val="en-US" w:eastAsia="zh-CN"/>
              </w:rPr>
            </w:pPr>
            <w:r>
              <w:rPr>
                <w:rFonts w:hint="eastAsia" w:ascii="Times New Roman" w:hAnsi="Times New Roman" w:eastAsia="宋体" w:cs="Times New Roman"/>
                <w:color w:val="000000"/>
                <w:kern w:val="2"/>
                <w:sz w:val="22"/>
                <w:szCs w:val="22"/>
                <w:lang w:val="en-US" w:eastAsia="zh-CN"/>
              </w:rPr>
              <w:t>本项目生产设备均位于厂房内，在玻璃磨边过程中会产生玻璃粉尘，项目采用湿法磨边，粉尘随磨边废水一起进入循环水池，本次不考虑。</w:t>
            </w:r>
          </w:p>
          <w:p>
            <w:pPr>
              <w:spacing w:line="360" w:lineRule="auto"/>
              <w:ind w:firstLine="480"/>
              <w:rPr>
                <w:rFonts w:hint="default" w:ascii="Times New Roman" w:hAnsi="Times New Roman" w:cs="Times New Roman"/>
                <w:b w:val="0"/>
                <w:bCs w:val="0"/>
                <w:color w:val="auto"/>
                <w:kern w:val="2"/>
                <w:sz w:val="22"/>
                <w:szCs w:val="21"/>
                <w:highlight w:val="none"/>
                <w:lang w:val="en-US" w:eastAsia="zh-CN" w:bidi="ar-SA"/>
              </w:rPr>
            </w:pPr>
            <w:r>
              <w:rPr>
                <w:rFonts w:hint="eastAsia" w:ascii="Times New Roman" w:hAnsi="Times New Roman" w:eastAsia="宋体" w:cs="Times New Roman"/>
                <w:b w:val="0"/>
                <w:bCs w:val="0"/>
                <w:color w:val="000000"/>
                <w:kern w:val="2"/>
                <w:sz w:val="22"/>
                <w:szCs w:val="22"/>
                <w:lang w:val="en-US" w:eastAsia="zh-CN"/>
              </w:rPr>
              <w:t>（3）</w:t>
            </w:r>
            <w:r>
              <w:rPr>
                <w:rFonts w:hint="eastAsia" w:ascii="Times New Roman" w:hAnsi="Times New Roman" w:cs="Times New Roman"/>
                <w:b w:val="0"/>
                <w:bCs w:val="0"/>
                <w:color w:val="auto"/>
                <w:sz w:val="22"/>
                <w:szCs w:val="22"/>
                <w:highlight w:val="none"/>
                <w:lang w:eastAsia="zh-CN"/>
              </w:rPr>
              <w:t>食堂油烟</w:t>
            </w:r>
          </w:p>
          <w:p>
            <w:pPr>
              <w:pStyle w:val="52"/>
              <w:spacing w:line="360" w:lineRule="auto"/>
              <w:ind w:firstLine="440" w:firstLineChars="200"/>
              <w:rPr>
                <w:rFonts w:hint="eastAsia" w:ascii="Times New Roman" w:hAnsi="Times New Roman" w:eastAsia="宋体" w:cs="Times New Roman"/>
                <w:color w:val="000000"/>
                <w:kern w:val="2"/>
                <w:sz w:val="22"/>
                <w:szCs w:val="22"/>
                <w:lang w:val="en-US" w:eastAsia="zh-CN"/>
              </w:rPr>
            </w:pPr>
            <w:r>
              <w:rPr>
                <w:rFonts w:hint="eastAsia" w:ascii="Times New Roman" w:hAnsi="Times New Roman" w:eastAsia="宋体" w:cs="Times New Roman"/>
                <w:color w:val="auto"/>
                <w:kern w:val="2"/>
                <w:sz w:val="22"/>
                <w:szCs w:val="21"/>
                <w:highlight w:val="none"/>
                <w:lang w:val="eu-ES" w:eastAsia="zh-CN" w:bidi="ar-SA"/>
              </w:rPr>
              <w:t>本项目职工</w:t>
            </w:r>
            <w:r>
              <w:rPr>
                <w:rFonts w:hint="eastAsia" w:ascii="Times New Roman" w:hAnsi="Times New Roman" w:eastAsia="宋体" w:cs="Times New Roman"/>
                <w:color w:val="auto"/>
                <w:kern w:val="2"/>
                <w:sz w:val="22"/>
                <w:szCs w:val="21"/>
                <w:highlight w:val="none"/>
                <w:lang w:val="en-US" w:eastAsia="zh-CN" w:bidi="ar-SA"/>
              </w:rPr>
              <w:t>30</w:t>
            </w:r>
            <w:r>
              <w:rPr>
                <w:rFonts w:hint="eastAsia" w:ascii="Times New Roman" w:hAnsi="Times New Roman" w:eastAsia="宋体" w:cs="Times New Roman"/>
                <w:color w:val="auto"/>
                <w:kern w:val="2"/>
                <w:sz w:val="22"/>
                <w:szCs w:val="21"/>
                <w:highlight w:val="none"/>
                <w:lang w:val="eu-ES" w:eastAsia="zh-CN" w:bidi="ar-SA"/>
              </w:rPr>
              <w:t>人，人均日食用油量按30g/（人·d）计，油烟产生率按用油量的</w:t>
            </w:r>
            <w:r>
              <w:rPr>
                <w:rFonts w:hint="eastAsia" w:ascii="Times New Roman" w:hAnsi="Times New Roman" w:eastAsia="宋体" w:cs="Times New Roman"/>
                <w:color w:val="auto"/>
                <w:kern w:val="2"/>
                <w:sz w:val="22"/>
                <w:szCs w:val="21"/>
                <w:highlight w:val="none"/>
                <w:lang w:val="en-US" w:eastAsia="zh-CN" w:bidi="ar-SA"/>
              </w:rPr>
              <w:t>2.83</w:t>
            </w:r>
            <w:r>
              <w:rPr>
                <w:rFonts w:hint="eastAsia" w:ascii="Times New Roman" w:hAnsi="Times New Roman" w:eastAsia="宋体" w:cs="Times New Roman"/>
                <w:color w:val="auto"/>
                <w:kern w:val="2"/>
                <w:sz w:val="22"/>
                <w:szCs w:val="21"/>
                <w:highlight w:val="none"/>
                <w:lang w:val="eu-ES" w:eastAsia="zh-CN" w:bidi="ar-SA"/>
              </w:rPr>
              <w:t>%计，则用油量0.</w:t>
            </w:r>
            <w:r>
              <w:rPr>
                <w:rFonts w:hint="eastAsia" w:ascii="Times New Roman" w:hAnsi="Times New Roman" w:eastAsia="宋体" w:cs="Times New Roman"/>
                <w:color w:val="auto"/>
                <w:kern w:val="2"/>
                <w:sz w:val="22"/>
                <w:szCs w:val="21"/>
                <w:highlight w:val="none"/>
                <w:lang w:val="en-US" w:eastAsia="zh-CN" w:bidi="ar-SA"/>
              </w:rPr>
              <w:t>27</w:t>
            </w:r>
            <w:r>
              <w:rPr>
                <w:rFonts w:hint="eastAsia" w:ascii="Times New Roman" w:hAnsi="Times New Roman" w:eastAsia="宋体" w:cs="Times New Roman"/>
                <w:color w:val="auto"/>
                <w:kern w:val="2"/>
                <w:sz w:val="22"/>
                <w:szCs w:val="21"/>
                <w:highlight w:val="none"/>
                <w:lang w:val="eu-ES" w:eastAsia="zh-CN" w:bidi="ar-SA"/>
              </w:rPr>
              <w:t>t/a，油烟产生量为0.0</w:t>
            </w:r>
            <w:r>
              <w:rPr>
                <w:rFonts w:hint="eastAsia" w:ascii="Times New Roman" w:hAnsi="Times New Roman" w:eastAsia="宋体" w:cs="Times New Roman"/>
                <w:color w:val="auto"/>
                <w:kern w:val="2"/>
                <w:sz w:val="22"/>
                <w:szCs w:val="21"/>
                <w:highlight w:val="none"/>
                <w:lang w:val="en-US" w:eastAsia="zh-CN" w:bidi="ar-SA"/>
              </w:rPr>
              <w:t>0764</w:t>
            </w:r>
            <w:r>
              <w:rPr>
                <w:rFonts w:hint="eastAsia" w:ascii="Times New Roman" w:hAnsi="Times New Roman" w:eastAsia="宋体" w:cs="Times New Roman"/>
                <w:color w:val="auto"/>
                <w:kern w:val="2"/>
                <w:sz w:val="22"/>
                <w:szCs w:val="21"/>
                <w:highlight w:val="none"/>
                <w:lang w:val="eu-ES" w:eastAsia="zh-CN" w:bidi="ar-SA"/>
              </w:rPr>
              <w:t>t/a。油烟机风机风量以</w:t>
            </w:r>
            <w:r>
              <w:rPr>
                <w:rFonts w:hint="eastAsia" w:ascii="Times New Roman" w:hAnsi="Times New Roman" w:eastAsia="宋体" w:cs="Times New Roman"/>
                <w:color w:val="auto"/>
                <w:kern w:val="2"/>
                <w:sz w:val="22"/>
                <w:szCs w:val="21"/>
                <w:highlight w:val="none"/>
                <w:lang w:val="en-US" w:eastAsia="zh-CN" w:bidi="ar-SA"/>
              </w:rPr>
              <w:t>2000m</w:t>
            </w:r>
            <w:r>
              <w:rPr>
                <w:rFonts w:hint="eastAsia" w:ascii="Times New Roman" w:hAnsi="Times New Roman" w:eastAsia="宋体" w:cs="Times New Roman"/>
                <w:color w:val="auto"/>
                <w:kern w:val="2"/>
                <w:sz w:val="22"/>
                <w:szCs w:val="21"/>
                <w:highlight w:val="none"/>
                <w:vertAlign w:val="superscript"/>
                <w:lang w:val="en-US" w:eastAsia="zh-CN" w:bidi="ar-SA"/>
              </w:rPr>
              <w:t>3</w:t>
            </w:r>
            <w:r>
              <w:rPr>
                <w:rFonts w:hint="eastAsia" w:ascii="Times New Roman" w:hAnsi="Times New Roman" w:eastAsia="宋体" w:cs="Times New Roman"/>
                <w:color w:val="auto"/>
                <w:kern w:val="2"/>
                <w:sz w:val="22"/>
                <w:szCs w:val="21"/>
                <w:highlight w:val="none"/>
                <w:lang w:val="en-US" w:eastAsia="zh-CN" w:bidi="ar-SA"/>
              </w:rPr>
              <w:t>/h计，每天使用时间以3小时计，则油烟产生浓度约为4.25mg/m</w:t>
            </w:r>
            <w:r>
              <w:rPr>
                <w:rFonts w:hint="eastAsia" w:ascii="Times New Roman" w:hAnsi="Times New Roman" w:eastAsia="宋体" w:cs="Times New Roman"/>
                <w:color w:val="auto"/>
                <w:kern w:val="2"/>
                <w:sz w:val="22"/>
                <w:szCs w:val="21"/>
                <w:highlight w:val="none"/>
                <w:vertAlign w:val="superscript"/>
                <w:lang w:val="en-US" w:eastAsia="zh-CN" w:bidi="ar-SA"/>
              </w:rPr>
              <w:t>3</w:t>
            </w:r>
            <w:r>
              <w:rPr>
                <w:rFonts w:hint="eastAsia" w:ascii="Times New Roman" w:hAnsi="Times New Roman" w:eastAsia="宋体" w:cs="Times New Roman"/>
                <w:color w:val="auto"/>
                <w:kern w:val="2"/>
                <w:sz w:val="22"/>
                <w:szCs w:val="21"/>
                <w:highlight w:val="none"/>
                <w:lang w:val="en-US" w:eastAsia="zh-CN" w:bidi="ar-SA"/>
              </w:rPr>
              <w:t>，厨房安装油烟净化器</w:t>
            </w:r>
            <w:r>
              <w:rPr>
                <w:rFonts w:hint="eastAsia" w:ascii="Times New Roman" w:hAnsi="Times New Roman" w:eastAsia="宋体" w:cs="Times New Roman"/>
                <w:color w:val="auto"/>
                <w:kern w:val="2"/>
                <w:sz w:val="22"/>
                <w:szCs w:val="21"/>
                <w:highlight w:val="none"/>
                <w:lang w:val="eu-ES" w:eastAsia="zh-CN" w:bidi="ar-SA"/>
              </w:rPr>
              <w:t>（净化效率≥</w:t>
            </w:r>
            <w:r>
              <w:rPr>
                <w:rFonts w:hint="eastAsia" w:ascii="Times New Roman" w:hAnsi="Times New Roman" w:eastAsia="宋体" w:cs="Times New Roman"/>
                <w:color w:val="auto"/>
                <w:kern w:val="2"/>
                <w:sz w:val="22"/>
                <w:szCs w:val="21"/>
                <w:highlight w:val="none"/>
                <w:lang w:val="en-US" w:eastAsia="zh-CN" w:bidi="ar-SA"/>
              </w:rPr>
              <w:t>60%</w:t>
            </w:r>
            <w:r>
              <w:rPr>
                <w:rFonts w:hint="eastAsia" w:ascii="Times New Roman" w:hAnsi="Times New Roman" w:eastAsia="宋体" w:cs="Times New Roman"/>
                <w:color w:val="auto"/>
                <w:kern w:val="2"/>
                <w:sz w:val="22"/>
                <w:szCs w:val="21"/>
                <w:highlight w:val="none"/>
                <w:lang w:val="eu-ES" w:eastAsia="zh-CN" w:bidi="ar-SA"/>
              </w:rPr>
              <w:t>），则油烟的排放量为</w:t>
            </w:r>
            <w:r>
              <w:rPr>
                <w:rFonts w:hint="eastAsia" w:ascii="Times New Roman" w:hAnsi="Times New Roman" w:eastAsia="宋体" w:cs="Times New Roman"/>
                <w:color w:val="auto"/>
                <w:kern w:val="2"/>
                <w:sz w:val="22"/>
                <w:szCs w:val="21"/>
                <w:highlight w:val="none"/>
                <w:lang w:val="en-US" w:eastAsia="zh-CN" w:bidi="ar-SA"/>
              </w:rPr>
              <w:t>0.00306</w:t>
            </w:r>
            <w:r>
              <w:rPr>
                <w:rFonts w:hint="eastAsia" w:ascii="Times New Roman" w:hAnsi="Times New Roman" w:eastAsia="宋体" w:cs="Times New Roman"/>
                <w:color w:val="auto"/>
                <w:kern w:val="2"/>
                <w:sz w:val="22"/>
                <w:szCs w:val="21"/>
                <w:highlight w:val="none"/>
                <w:lang w:val="eu-ES" w:eastAsia="zh-CN" w:bidi="ar-SA"/>
              </w:rPr>
              <w:t>t/a，排放浓度约为</w:t>
            </w:r>
            <w:r>
              <w:rPr>
                <w:rFonts w:hint="eastAsia" w:ascii="Times New Roman" w:hAnsi="Times New Roman" w:eastAsia="宋体" w:cs="Times New Roman"/>
                <w:color w:val="auto"/>
                <w:kern w:val="2"/>
                <w:sz w:val="22"/>
                <w:szCs w:val="21"/>
                <w:highlight w:val="none"/>
                <w:lang w:val="en-US" w:eastAsia="zh-CN" w:bidi="ar-SA"/>
              </w:rPr>
              <w:t>1.7mg/m</w:t>
            </w:r>
            <w:r>
              <w:rPr>
                <w:rFonts w:hint="eastAsia" w:ascii="Times New Roman" w:hAnsi="Times New Roman" w:eastAsia="宋体" w:cs="Times New Roman"/>
                <w:color w:val="auto"/>
                <w:kern w:val="2"/>
                <w:sz w:val="22"/>
                <w:szCs w:val="21"/>
                <w:highlight w:val="none"/>
                <w:vertAlign w:val="superscript"/>
                <w:lang w:val="en-US" w:eastAsia="zh-CN" w:bidi="ar-SA"/>
              </w:rPr>
              <w:t>3</w:t>
            </w:r>
            <w:r>
              <w:rPr>
                <w:rFonts w:hint="eastAsia" w:ascii="Times New Roman" w:hAnsi="Times New Roman" w:eastAsia="宋体" w:cs="Times New Roman"/>
                <w:color w:val="auto"/>
                <w:kern w:val="2"/>
                <w:sz w:val="22"/>
                <w:szCs w:val="21"/>
                <w:highlight w:val="none"/>
                <w:lang w:val="en-US" w:eastAsia="zh-CN" w:bidi="ar-SA"/>
              </w:rPr>
              <w:t>，小于2mg/m</w:t>
            </w:r>
            <w:r>
              <w:rPr>
                <w:rFonts w:hint="eastAsia" w:ascii="Times New Roman" w:hAnsi="Times New Roman" w:eastAsia="宋体" w:cs="Times New Roman"/>
                <w:color w:val="auto"/>
                <w:kern w:val="2"/>
                <w:sz w:val="22"/>
                <w:szCs w:val="21"/>
                <w:highlight w:val="none"/>
                <w:vertAlign w:val="superscript"/>
                <w:lang w:val="en-US" w:eastAsia="zh-CN" w:bidi="ar-SA"/>
              </w:rPr>
              <w:t>3</w:t>
            </w:r>
            <w:r>
              <w:rPr>
                <w:rFonts w:hint="eastAsia" w:ascii="Times New Roman" w:hAnsi="Times New Roman" w:eastAsia="宋体" w:cs="Times New Roman"/>
                <w:color w:val="auto"/>
                <w:kern w:val="2"/>
                <w:sz w:val="22"/>
                <w:szCs w:val="21"/>
                <w:highlight w:val="none"/>
                <w:lang w:val="en-US" w:eastAsia="zh-CN" w:bidi="ar-SA"/>
              </w:rPr>
              <w:t>，</w:t>
            </w:r>
            <w:r>
              <w:rPr>
                <w:rFonts w:hint="eastAsia" w:ascii="Times New Roman" w:hAnsi="Times New Roman" w:eastAsia="宋体" w:cs="Times New Roman"/>
                <w:color w:val="auto"/>
                <w:kern w:val="2"/>
                <w:sz w:val="22"/>
                <w:szCs w:val="21"/>
                <w:highlight w:val="none"/>
                <w:lang w:val="eu-ES" w:eastAsia="zh-CN" w:bidi="ar-SA"/>
              </w:rPr>
              <w:t>能够满足《饮食业油烟排放标准》中标准限值要求。</w:t>
            </w:r>
          </w:p>
          <w:p>
            <w:pPr>
              <w:pStyle w:val="52"/>
              <w:spacing w:line="360" w:lineRule="auto"/>
              <w:ind w:firstLine="440" w:firstLineChars="200"/>
              <w:rPr>
                <w:rFonts w:hint="default" w:ascii="Times New Roman" w:hAnsi="Times New Roman" w:eastAsia="宋体" w:cs="Times New Roman"/>
                <w:color w:val="000000"/>
                <w:kern w:val="2"/>
                <w:sz w:val="22"/>
                <w:szCs w:val="22"/>
                <w:lang w:val="en-US" w:eastAsia="zh-CN"/>
              </w:rPr>
            </w:pPr>
            <w:r>
              <w:rPr>
                <w:rFonts w:hint="eastAsia" w:ascii="Times New Roman" w:hAnsi="Times New Roman" w:eastAsia="宋体" w:cs="Times New Roman"/>
                <w:color w:val="000000"/>
                <w:kern w:val="2"/>
                <w:sz w:val="22"/>
                <w:szCs w:val="22"/>
                <w:lang w:val="en-US" w:eastAsia="zh-CN"/>
              </w:rPr>
              <w:t>（4）喷漆房废气（调漆、喷漆）</w:t>
            </w:r>
          </w:p>
          <w:p>
            <w:pPr>
              <w:pStyle w:val="52"/>
              <w:spacing w:line="360" w:lineRule="auto"/>
              <w:ind w:firstLine="440" w:firstLineChars="200"/>
              <w:rPr>
                <w:rFonts w:hint="eastAsia" w:ascii="Times New Roman" w:hAnsi="Times New Roman" w:eastAsia="宋体" w:cs="Times New Roman"/>
                <w:color w:val="000000"/>
                <w:kern w:val="2"/>
                <w:sz w:val="22"/>
                <w:szCs w:val="22"/>
                <w:lang w:val="en-US" w:eastAsia="zh-CN"/>
              </w:rPr>
            </w:pPr>
            <w:r>
              <w:rPr>
                <w:rFonts w:hint="eastAsia" w:ascii="Times New Roman" w:hAnsi="Times New Roman" w:eastAsia="宋体" w:cs="Times New Roman"/>
                <w:color w:val="000000"/>
                <w:kern w:val="2"/>
                <w:sz w:val="22"/>
                <w:szCs w:val="22"/>
                <w:lang w:val="en-US" w:eastAsia="zh-CN"/>
              </w:rPr>
              <w:t>按照漆料及稀释剂组分，本项目在调漆、喷漆、晾干过程产生的废气主要为颗粒物（漆雾）、VOCs（以非甲烷总烃计）。</w:t>
            </w:r>
          </w:p>
          <w:p>
            <w:pPr>
              <w:pStyle w:val="52"/>
              <w:spacing w:line="360" w:lineRule="auto"/>
              <w:ind w:firstLine="440" w:firstLineChars="200"/>
              <w:rPr>
                <w:rFonts w:hint="default" w:ascii="Times New Roman" w:hAnsi="Times New Roman" w:eastAsia="宋体" w:cs="Times New Roman"/>
                <w:color w:val="auto"/>
                <w:kern w:val="2"/>
                <w:sz w:val="22"/>
                <w:szCs w:val="21"/>
                <w:highlight w:val="none"/>
                <w:lang w:val="en-US" w:eastAsia="zh-CN" w:bidi="ar-SA"/>
              </w:rPr>
            </w:pPr>
            <w:r>
              <w:rPr>
                <w:rFonts w:hint="default" w:ascii="Times New Roman" w:hAnsi="Times New Roman" w:eastAsia="宋体" w:cs="Times New Roman"/>
                <w:color w:val="auto"/>
                <w:kern w:val="2"/>
                <w:sz w:val="22"/>
                <w:szCs w:val="21"/>
                <w:highlight w:val="none"/>
                <w:lang w:val="en-US" w:eastAsia="zh-CN" w:bidi="ar-SA"/>
              </w:rPr>
              <w:t>根据企业提供的资料，调漆在喷漆房内现场调制，由于调漆时间较短，即调即用，因此，本次评价将调漆废气与喷漆废气合并评价，不单独评价调漆废气。</w:t>
            </w:r>
          </w:p>
          <w:p>
            <w:pPr>
              <w:pStyle w:val="52"/>
              <w:spacing w:line="360" w:lineRule="auto"/>
              <w:ind w:firstLine="440" w:firstLineChars="200"/>
              <w:rPr>
                <w:rFonts w:hint="default" w:ascii="Times New Roman" w:hAnsi="Times New Roman" w:eastAsia="宋体" w:cs="Times New Roman"/>
                <w:color w:val="auto"/>
                <w:kern w:val="2"/>
                <w:sz w:val="22"/>
                <w:szCs w:val="21"/>
                <w:highlight w:val="none"/>
                <w:lang w:val="en-US" w:eastAsia="zh-CN" w:bidi="ar-SA"/>
              </w:rPr>
            </w:pPr>
            <w:r>
              <w:rPr>
                <w:rFonts w:hint="default" w:ascii="Times New Roman" w:hAnsi="Times New Roman" w:eastAsia="宋体" w:cs="Times New Roman"/>
                <w:color w:val="auto"/>
                <w:kern w:val="2"/>
                <w:sz w:val="22"/>
                <w:szCs w:val="21"/>
                <w:highlight w:val="none"/>
                <w:lang w:val="en-US" w:eastAsia="zh-CN" w:bidi="ar-SA"/>
              </w:rPr>
              <w:t>项目采用手工喷涂方式，有机废气主要来自漆料的挥发，</w:t>
            </w:r>
            <w:r>
              <w:rPr>
                <w:rFonts w:hint="eastAsia" w:ascii="Times New Roman" w:hAnsi="Times New Roman" w:eastAsia="宋体" w:cs="Times New Roman"/>
                <w:bCs/>
                <w:color w:val="auto"/>
                <w:sz w:val="22"/>
                <w:szCs w:val="22"/>
                <w:highlight w:val="none"/>
                <w:lang w:val="en-US" w:eastAsia="zh-CN"/>
              </w:rPr>
              <w:t>根据漆料检测报告（见附件，报告为三种材料按比例混合后的检测结果），按照《色漆和清漆 划格试验》（GB/T9286-2021），漆料附着力为1级：发生脱落的交叉切割面积不大于5%，结合同行类企业类比和业主提供的资料，上漆率以85%计，</w:t>
            </w:r>
            <w:r>
              <w:rPr>
                <w:rFonts w:hint="eastAsia" w:ascii="Times New Roman" w:hAnsi="Times New Roman" w:eastAsia="宋体" w:cs="Times New Roman"/>
                <w:color w:val="auto"/>
                <w:szCs w:val="21"/>
                <w:highlight w:val="none"/>
                <w:lang w:val="en-US" w:eastAsia="zh-CN"/>
              </w:rPr>
              <w:t>不挥发物含量含量为80.3%。</w:t>
            </w:r>
            <w:r>
              <w:rPr>
                <w:rFonts w:hint="default" w:ascii="Times New Roman" w:hAnsi="Times New Roman" w:eastAsia="宋体" w:cs="Times New Roman"/>
                <w:color w:val="auto"/>
                <w:kern w:val="2"/>
                <w:sz w:val="22"/>
                <w:szCs w:val="21"/>
                <w:highlight w:val="none"/>
                <w:lang w:val="en-US" w:eastAsia="zh-CN" w:bidi="ar-SA"/>
              </w:rPr>
              <w:t>综上，本项目颗粒物（漆雾）</w:t>
            </w:r>
            <w:r>
              <w:rPr>
                <w:rFonts w:hint="eastAsia" w:ascii="Times New Roman" w:hAnsi="Times New Roman" w:eastAsia="宋体" w:cs="Times New Roman"/>
                <w:color w:val="auto"/>
                <w:kern w:val="2"/>
                <w:sz w:val="22"/>
                <w:szCs w:val="21"/>
                <w:highlight w:val="none"/>
                <w:lang w:val="en-US" w:eastAsia="zh-CN" w:bidi="ar-SA"/>
              </w:rPr>
              <w:t>产生量为0.017t/a</w:t>
            </w:r>
            <w:r>
              <w:rPr>
                <w:rFonts w:hint="default" w:ascii="Times New Roman" w:hAnsi="Times New Roman" w:eastAsia="宋体" w:cs="Times New Roman"/>
                <w:color w:val="auto"/>
                <w:kern w:val="2"/>
                <w:sz w:val="22"/>
                <w:szCs w:val="21"/>
                <w:highlight w:val="none"/>
                <w:lang w:val="en-US" w:eastAsia="zh-CN" w:bidi="ar-SA"/>
              </w:rPr>
              <w:t>、VOCs产生</w:t>
            </w:r>
            <w:r>
              <w:rPr>
                <w:rFonts w:hint="eastAsia" w:ascii="Times New Roman" w:hAnsi="Times New Roman" w:eastAsia="宋体" w:cs="Times New Roman"/>
                <w:color w:val="auto"/>
                <w:kern w:val="2"/>
                <w:sz w:val="22"/>
                <w:szCs w:val="21"/>
                <w:highlight w:val="none"/>
                <w:lang w:val="en-US" w:eastAsia="zh-CN" w:bidi="ar-SA"/>
              </w:rPr>
              <w:t>量为0.028t/a。</w:t>
            </w:r>
          </w:p>
          <w:p>
            <w:pPr>
              <w:spacing w:line="360" w:lineRule="auto"/>
              <w:ind w:firstLine="480"/>
              <w:rPr>
                <w:rFonts w:hint="default" w:ascii="Times New Roman" w:hAnsi="Times New Roman" w:eastAsia="宋体" w:cs="Times New Roman"/>
                <w:bCs/>
                <w:color w:val="auto"/>
                <w:sz w:val="22"/>
                <w:szCs w:val="22"/>
                <w:highlight w:val="none"/>
                <w:lang w:val="en-US" w:eastAsia="zh-CN"/>
              </w:rPr>
            </w:pPr>
            <w:r>
              <w:rPr>
                <w:rFonts w:hint="default" w:ascii="Times New Roman" w:hAnsi="Times New Roman" w:eastAsia="宋体" w:cs="Times New Roman"/>
                <w:color w:val="auto"/>
                <w:kern w:val="2"/>
                <w:sz w:val="22"/>
                <w:szCs w:val="21"/>
                <w:highlight w:val="none"/>
                <w:lang w:val="en-US" w:eastAsia="zh-CN" w:bidi="ar-SA"/>
              </w:rPr>
              <w:t>本项目调漆、喷漆均在的密闭喷漆房中进行，喷漆房年运行时间2</w:t>
            </w:r>
            <w:r>
              <w:rPr>
                <w:rFonts w:hint="eastAsia" w:ascii="Times New Roman" w:hAnsi="Times New Roman" w:eastAsia="宋体" w:cs="Times New Roman"/>
                <w:color w:val="auto"/>
                <w:kern w:val="2"/>
                <w:sz w:val="22"/>
                <w:szCs w:val="21"/>
                <w:highlight w:val="none"/>
                <w:lang w:val="en-US" w:eastAsia="zh-CN" w:bidi="ar-SA"/>
              </w:rPr>
              <w:t>40</w:t>
            </w:r>
            <w:r>
              <w:rPr>
                <w:rFonts w:hint="default" w:ascii="Times New Roman" w:hAnsi="Times New Roman" w:eastAsia="宋体" w:cs="Times New Roman"/>
                <w:color w:val="auto"/>
                <w:kern w:val="2"/>
                <w:sz w:val="22"/>
                <w:szCs w:val="21"/>
                <w:highlight w:val="none"/>
                <w:lang w:val="en-US" w:eastAsia="zh-CN" w:bidi="ar-SA"/>
              </w:rPr>
              <w:t>0h</w:t>
            </w:r>
            <w:r>
              <w:rPr>
                <w:rFonts w:hint="eastAsia" w:ascii="Times New Roman" w:hAnsi="Times New Roman" w:eastAsia="宋体" w:cs="Times New Roman"/>
                <w:color w:val="auto"/>
                <w:kern w:val="2"/>
                <w:sz w:val="22"/>
                <w:szCs w:val="21"/>
                <w:highlight w:val="none"/>
                <w:lang w:val="en-US" w:eastAsia="zh-CN" w:bidi="ar-SA"/>
              </w:rPr>
              <w:t>，密闭负压</w:t>
            </w:r>
            <w:r>
              <w:rPr>
                <w:rFonts w:hint="default" w:ascii="Times New Roman" w:hAnsi="Times New Roman" w:eastAsia="宋体" w:cs="Times New Roman"/>
                <w:color w:val="auto"/>
                <w:kern w:val="2"/>
                <w:sz w:val="22"/>
                <w:szCs w:val="21"/>
                <w:highlight w:val="none"/>
                <w:lang w:val="en-US" w:eastAsia="zh-CN" w:bidi="ar-SA"/>
              </w:rPr>
              <w:t>收集后废气采用</w:t>
            </w:r>
            <w:r>
              <w:rPr>
                <w:rFonts w:hint="eastAsia" w:ascii="Times New Roman" w:hAnsi="Times New Roman" w:eastAsia="宋体" w:cs="Times New Roman"/>
                <w:color w:val="auto"/>
                <w:kern w:val="2"/>
                <w:sz w:val="22"/>
                <w:szCs w:val="21"/>
                <w:highlight w:val="none"/>
                <w:lang w:val="en-US" w:eastAsia="zh-CN" w:bidi="ar-SA"/>
              </w:rPr>
              <w:t>“</w:t>
            </w:r>
            <w:r>
              <w:rPr>
                <w:rFonts w:hint="default" w:ascii="Times New Roman" w:hAnsi="Times New Roman" w:eastAsia="宋体" w:cs="Times New Roman"/>
                <w:bCs/>
                <w:color w:val="auto"/>
                <w:sz w:val="22"/>
                <w:szCs w:val="22"/>
                <w:highlight w:val="none"/>
                <w:lang w:val="en-US" w:eastAsia="zh-CN"/>
              </w:rPr>
              <w:t>水帘柜+干式过滤+两级活性炭</w:t>
            </w:r>
            <w:r>
              <w:rPr>
                <w:rFonts w:hint="eastAsia" w:ascii="Times New Roman" w:hAnsi="Times New Roman" w:eastAsia="宋体" w:cs="Times New Roman"/>
                <w:color w:val="auto"/>
                <w:kern w:val="2"/>
                <w:sz w:val="22"/>
                <w:szCs w:val="21"/>
                <w:highlight w:val="none"/>
                <w:lang w:val="en-US" w:eastAsia="zh-CN" w:bidi="ar-SA"/>
              </w:rPr>
              <w:t>”</w:t>
            </w:r>
            <w:r>
              <w:rPr>
                <w:rFonts w:hint="default" w:ascii="Times New Roman" w:hAnsi="Times New Roman" w:eastAsia="宋体" w:cs="Times New Roman"/>
                <w:color w:val="auto"/>
                <w:kern w:val="2"/>
                <w:sz w:val="22"/>
                <w:szCs w:val="21"/>
                <w:highlight w:val="none"/>
                <w:lang w:val="en-US" w:eastAsia="zh-CN" w:bidi="ar-SA"/>
              </w:rPr>
              <w:t>处理后经1根15m高排气筒（DA00</w:t>
            </w:r>
            <w:r>
              <w:rPr>
                <w:rFonts w:hint="eastAsia" w:ascii="Times New Roman" w:hAnsi="Times New Roman" w:eastAsia="宋体" w:cs="Times New Roman"/>
                <w:color w:val="auto"/>
                <w:kern w:val="2"/>
                <w:sz w:val="22"/>
                <w:szCs w:val="21"/>
                <w:highlight w:val="none"/>
                <w:lang w:val="en-US" w:eastAsia="zh-CN" w:bidi="ar-SA"/>
              </w:rPr>
              <w:t>1</w:t>
            </w:r>
            <w:r>
              <w:rPr>
                <w:rFonts w:hint="default" w:ascii="Times New Roman" w:hAnsi="Times New Roman" w:eastAsia="宋体" w:cs="Times New Roman"/>
                <w:color w:val="auto"/>
                <w:kern w:val="2"/>
                <w:sz w:val="22"/>
                <w:szCs w:val="21"/>
                <w:highlight w:val="none"/>
                <w:lang w:val="en-US" w:eastAsia="zh-CN" w:bidi="ar-SA"/>
              </w:rPr>
              <w:t>）排放</w:t>
            </w:r>
            <w:r>
              <w:rPr>
                <w:rFonts w:hint="eastAsia" w:ascii="Times New Roman" w:hAnsi="Times New Roman" w:eastAsia="宋体" w:cs="Times New Roman"/>
                <w:color w:val="auto"/>
                <w:kern w:val="2"/>
                <w:sz w:val="22"/>
                <w:szCs w:val="21"/>
                <w:highlight w:val="none"/>
                <w:lang w:val="en-US" w:eastAsia="zh-CN" w:bidi="ar-SA"/>
              </w:rPr>
              <w:t>，设计风量为</w:t>
            </w:r>
            <w:r>
              <w:rPr>
                <w:rFonts w:hint="eastAsia" w:ascii="Times New Roman" w:hAnsi="Times New Roman" w:eastAsia="宋体" w:cs="Times New Roman"/>
                <w:bCs/>
                <w:color w:val="auto"/>
                <w:sz w:val="22"/>
                <w:szCs w:val="22"/>
                <w:highlight w:val="none"/>
                <w:lang w:val="en-US" w:eastAsia="zh-CN"/>
              </w:rPr>
              <w:t>3</w:t>
            </w:r>
            <w:r>
              <w:rPr>
                <w:rFonts w:hint="default" w:ascii="Times New Roman" w:hAnsi="Times New Roman" w:eastAsia="宋体" w:cs="Times New Roman"/>
                <w:color w:val="auto"/>
                <w:kern w:val="2"/>
                <w:sz w:val="22"/>
                <w:szCs w:val="21"/>
                <w:highlight w:val="none"/>
                <w:lang w:val="en-US" w:eastAsia="zh-CN" w:bidi="ar-SA"/>
              </w:rPr>
              <w:t>000m</w:t>
            </w:r>
            <w:r>
              <w:rPr>
                <w:rFonts w:hint="default" w:ascii="Times New Roman" w:hAnsi="Times New Roman" w:eastAsia="宋体" w:cs="Times New Roman"/>
                <w:color w:val="auto"/>
                <w:kern w:val="2"/>
                <w:sz w:val="22"/>
                <w:szCs w:val="21"/>
                <w:highlight w:val="none"/>
                <w:vertAlign w:val="superscript"/>
                <w:lang w:val="en-US" w:eastAsia="zh-CN" w:bidi="ar-SA"/>
              </w:rPr>
              <w:t>3</w:t>
            </w:r>
            <w:r>
              <w:rPr>
                <w:rFonts w:hint="default" w:ascii="Times New Roman" w:hAnsi="Times New Roman" w:eastAsia="宋体" w:cs="Times New Roman"/>
                <w:color w:val="auto"/>
                <w:kern w:val="2"/>
                <w:sz w:val="22"/>
                <w:szCs w:val="21"/>
                <w:highlight w:val="none"/>
                <w:lang w:val="en-US" w:eastAsia="zh-CN" w:bidi="ar-SA"/>
              </w:rPr>
              <w:t>/h。</w:t>
            </w:r>
            <w:r>
              <w:rPr>
                <w:rFonts w:hint="eastAsia" w:ascii="Times New Roman" w:hAnsi="Times New Roman" w:cs="Times New Roman"/>
                <w:sz w:val="22"/>
                <w:szCs w:val="22"/>
                <w:highlight w:val="none"/>
                <w:lang w:val="en-US" w:eastAsia="zh-CN"/>
              </w:rPr>
              <w:t>根</w:t>
            </w:r>
            <w:r>
              <w:rPr>
                <w:rFonts w:hint="eastAsia" w:ascii="Times New Roman" w:hAnsi="Times New Roman" w:cs="Times New Roman"/>
                <w:color w:val="auto"/>
                <w:sz w:val="22"/>
                <w:szCs w:val="22"/>
                <w:highlight w:val="none"/>
                <w:lang w:val="en-US" w:eastAsia="zh-CN"/>
              </w:rPr>
              <w:t>据《主要污染物总量减排核算技术指南（2022年修订）》中表2-3要求，负压收集的废气收集率为90%。</w:t>
            </w:r>
          </w:p>
          <w:p>
            <w:pPr>
              <w:spacing w:line="360" w:lineRule="auto"/>
              <w:ind w:firstLine="480"/>
              <w:rPr>
                <w:rFonts w:hint="default" w:hAnsi="Times New Roman"/>
                <w:sz w:val="22"/>
                <w:szCs w:val="22"/>
                <w:lang w:val="en-US"/>
              </w:rPr>
            </w:pPr>
            <w:r>
              <w:rPr>
                <w:rFonts w:hint="default" w:ascii="Times New Roman" w:hAnsi="Times New Roman" w:eastAsia="宋体" w:cs="Times New Roman"/>
                <w:color w:val="auto"/>
                <w:kern w:val="2"/>
                <w:sz w:val="22"/>
                <w:szCs w:val="21"/>
                <w:highlight w:val="none"/>
                <w:lang w:val="en-US" w:eastAsia="zh-CN" w:bidi="ar-SA"/>
              </w:rPr>
              <w:t>本次采用</w:t>
            </w:r>
            <w:r>
              <w:rPr>
                <w:rFonts w:hint="default" w:ascii="Times New Roman" w:hAnsi="Times New Roman" w:eastAsia="宋体" w:cs="Times New Roman"/>
                <w:bCs/>
                <w:color w:val="auto"/>
                <w:sz w:val="22"/>
                <w:szCs w:val="22"/>
                <w:highlight w:val="none"/>
                <w:lang w:val="en-US" w:eastAsia="zh-CN"/>
              </w:rPr>
              <w:t>水帘柜+干式过滤</w:t>
            </w:r>
            <w:r>
              <w:rPr>
                <w:rFonts w:hint="default" w:ascii="Times New Roman" w:hAnsi="Times New Roman" w:eastAsia="宋体" w:cs="Times New Roman"/>
                <w:color w:val="auto"/>
                <w:kern w:val="2"/>
                <w:sz w:val="22"/>
                <w:szCs w:val="21"/>
                <w:highlight w:val="none"/>
                <w:lang w:val="en-US" w:eastAsia="zh-CN" w:bidi="ar-SA"/>
              </w:rPr>
              <w:t>去除漆雾，去除率以90%计；</w:t>
            </w:r>
            <w:r>
              <w:rPr>
                <w:rFonts w:hint="eastAsia" w:ascii="Times New Roman" w:hAnsi="Times New Roman" w:cs="Times New Roman"/>
                <w:sz w:val="22"/>
                <w:szCs w:val="22"/>
                <w:highlight w:val="none"/>
                <w:lang w:val="en-US" w:eastAsia="zh-CN"/>
              </w:rPr>
              <w:t>根据《主要污染物总量减排核算技术指南（2022年修订）》中表2-3要求，一次性活性炭吸附（集中再生）VOCs去除率为30%，根</w:t>
            </w:r>
            <w:r>
              <w:rPr>
                <w:rFonts w:hint="default" w:ascii="Times New Roman" w:hAnsi="Times New Roman" w:cs="Times New Roman"/>
                <w:sz w:val="22"/>
                <w:szCs w:val="22"/>
                <w:highlight w:val="none"/>
                <w:lang w:val="en-US" w:eastAsia="zh-CN"/>
              </w:rPr>
              <w:t>据表2-3备注公式，两级相同治理技术的VOCs去除率计算公式：</w:t>
            </w:r>
            <w:r>
              <w:rPr>
                <w:rFonts w:hint="default" w:ascii="Times New Roman" w:hAnsi="Times New Roman" w:cs="Times New Roman"/>
                <w:position w:val="-10"/>
                <w:sz w:val="22"/>
                <w:szCs w:val="22"/>
                <w:highlight w:val="none"/>
                <w:lang w:val="en-US" w:eastAsia="zh-CN"/>
              </w:rPr>
              <w:object>
                <v:shape id="_x0000_i1033" o:spt="75" type="#_x0000_t75" style="height:17pt;width:93pt;" o:ole="t" filled="f" o:preferrelative="t" stroked="f" coordsize="21600,21600">
                  <v:path/>
                  <v:fill on="f" focussize="0,0"/>
                  <v:stroke on="f"/>
                  <v:imagedata r:id="rId35" o:title=""/>
                  <o:lock v:ext="edit" aspectratio="t"/>
                  <w10:wrap type="none"/>
                  <w10:anchorlock/>
                </v:shape>
                <o:OLEObject Type="Embed" ProgID="Equation.KSEE3" ShapeID="_x0000_i1033" DrawAspect="Content" ObjectID="_1468075733" r:id="rId34">
                  <o:LockedField>false</o:LockedField>
                </o:OLEObject>
              </w:object>
            </w:r>
            <w:r>
              <w:rPr>
                <w:rFonts w:hint="default" w:ascii="Times New Roman" w:hAnsi="Times New Roman" w:cs="Times New Roman"/>
                <w:sz w:val="22"/>
                <w:szCs w:val="22"/>
                <w:highlight w:val="none"/>
                <w:lang w:val="en-US" w:eastAsia="zh-CN"/>
              </w:rPr>
              <w:t>（η</w:t>
            </w:r>
            <w:r>
              <w:rPr>
                <w:rFonts w:hint="default" w:ascii="Times New Roman" w:hAnsi="Times New Roman" w:cs="Times New Roman"/>
                <w:sz w:val="22"/>
                <w:szCs w:val="22"/>
                <w:highlight w:val="none"/>
                <w:vertAlign w:val="subscript"/>
                <w:lang w:val="en-US" w:eastAsia="zh-CN"/>
              </w:rPr>
              <w:t>1</w:t>
            </w:r>
            <w:r>
              <w:rPr>
                <w:rFonts w:hint="default" w:ascii="Times New Roman" w:hAnsi="Times New Roman" w:cs="Times New Roman"/>
                <w:sz w:val="22"/>
                <w:szCs w:val="22"/>
                <w:highlight w:val="none"/>
                <w:lang w:val="en-US" w:eastAsia="zh-CN"/>
              </w:rPr>
              <w:t>、η</w:t>
            </w:r>
            <w:r>
              <w:rPr>
                <w:rFonts w:hint="default" w:ascii="Times New Roman" w:hAnsi="Times New Roman" w:cs="Times New Roman"/>
                <w:sz w:val="22"/>
                <w:szCs w:val="22"/>
                <w:highlight w:val="none"/>
                <w:vertAlign w:val="subscript"/>
                <w:lang w:val="en-US" w:eastAsia="zh-CN"/>
              </w:rPr>
              <w:t>2</w:t>
            </w:r>
            <w:r>
              <w:rPr>
                <w:rFonts w:hint="eastAsia" w:ascii="Times New Roman" w:hAnsi="Times New Roman" w:cs="Times New Roman"/>
                <w:sz w:val="22"/>
                <w:szCs w:val="22"/>
                <w:highlight w:val="none"/>
                <w:lang w:val="en-US" w:eastAsia="zh-CN"/>
              </w:rPr>
              <w:t>分别为两种主要治理技术的VOCs去除率），则本项目VOCs去除率为51%。则本项目VOCs产排放情况如下：</w:t>
            </w:r>
          </w:p>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9"/>
              <w:rPr>
                <w:rFonts w:hint="default" w:ascii="Times New Roman" w:hAnsi="Times New Roman" w:cs="Times New Roman"/>
                <w:b/>
                <w:color w:val="auto"/>
                <w:szCs w:val="21"/>
                <w:highlight w:val="none"/>
                <w:lang w:val="en-US" w:eastAsia="zh-CN"/>
              </w:rPr>
            </w:pPr>
            <w:r>
              <w:rPr>
                <w:rFonts w:hint="default" w:ascii="Times New Roman" w:hAnsi="Times New Roman" w:cs="Times New Roman"/>
                <w:b/>
                <w:color w:val="auto"/>
                <w:szCs w:val="21"/>
                <w:highlight w:val="none"/>
                <w:lang w:val="en-US" w:eastAsia="zh-CN"/>
              </w:rPr>
              <w:t>表4-</w:t>
            </w:r>
            <w:r>
              <w:rPr>
                <w:rFonts w:hint="eastAsia" w:ascii="Times New Roman" w:hAnsi="Times New Roman" w:cs="Times New Roman"/>
                <w:b/>
                <w:color w:val="auto"/>
                <w:szCs w:val="21"/>
                <w:highlight w:val="none"/>
                <w:lang w:val="en-US" w:eastAsia="zh-CN"/>
              </w:rPr>
              <w:t xml:space="preserve">1 </w:t>
            </w:r>
            <w:r>
              <w:rPr>
                <w:rFonts w:hint="default" w:ascii="Times New Roman" w:hAnsi="Times New Roman" w:cs="Times New Roman"/>
                <w:b/>
                <w:color w:val="auto"/>
                <w:szCs w:val="21"/>
                <w:highlight w:val="none"/>
                <w:lang w:val="en-US" w:eastAsia="zh-CN"/>
              </w:rPr>
              <w:t>本项目</w:t>
            </w:r>
            <w:r>
              <w:rPr>
                <w:rFonts w:hint="eastAsia" w:ascii="Times New Roman" w:hAnsi="Times New Roman" w:cs="Times New Roman"/>
                <w:b/>
                <w:color w:val="auto"/>
                <w:szCs w:val="21"/>
                <w:highlight w:val="none"/>
                <w:lang w:val="en-US" w:eastAsia="zh-CN"/>
              </w:rPr>
              <w:t>有机</w:t>
            </w:r>
            <w:r>
              <w:rPr>
                <w:rFonts w:hint="default" w:ascii="Times New Roman" w:hAnsi="Times New Roman" w:cs="Times New Roman"/>
                <w:b/>
                <w:color w:val="auto"/>
                <w:szCs w:val="21"/>
                <w:highlight w:val="none"/>
                <w:lang w:val="en-US" w:eastAsia="zh-CN"/>
              </w:rPr>
              <w:t>废气产排污情况</w:t>
            </w:r>
          </w:p>
          <w:tbl>
            <w:tblPr>
              <w:tblStyle w:val="43"/>
              <w:tblW w:w="80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8"/>
              <w:gridCol w:w="579"/>
              <w:gridCol w:w="723"/>
              <w:gridCol w:w="641"/>
              <w:gridCol w:w="599"/>
              <w:gridCol w:w="426"/>
              <w:gridCol w:w="427"/>
              <w:gridCol w:w="587"/>
              <w:gridCol w:w="733"/>
              <w:gridCol w:w="662"/>
              <w:gridCol w:w="658"/>
              <w:gridCol w:w="648"/>
              <w:gridCol w:w="6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678"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color w:val="auto"/>
                      <w:sz w:val="18"/>
                      <w:szCs w:val="20"/>
                      <w:highlight w:val="none"/>
                      <w:lang w:val="en-US" w:eastAsia="zh-CN"/>
                    </w:rPr>
                  </w:pPr>
                  <w:r>
                    <w:rPr>
                      <w:rFonts w:hint="default" w:ascii="Times New Roman" w:hAnsi="Times New Roman" w:cs="Times New Roman"/>
                      <w:color w:val="auto"/>
                      <w:sz w:val="18"/>
                      <w:szCs w:val="20"/>
                      <w:highlight w:val="none"/>
                      <w:lang w:val="en-US" w:eastAsia="zh-CN"/>
                    </w:rPr>
                    <w:t>主要污染物</w:t>
                  </w:r>
                </w:p>
              </w:tc>
              <w:tc>
                <w:tcPr>
                  <w:tcW w:w="579"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color w:val="auto"/>
                      <w:sz w:val="18"/>
                      <w:szCs w:val="20"/>
                      <w:highlight w:val="none"/>
                      <w:lang w:val="en-US" w:eastAsia="zh-CN"/>
                    </w:rPr>
                  </w:pPr>
                  <w:r>
                    <w:rPr>
                      <w:rFonts w:hint="default" w:ascii="Times New Roman" w:hAnsi="Times New Roman" w:cs="Times New Roman"/>
                      <w:color w:val="auto"/>
                      <w:sz w:val="18"/>
                      <w:szCs w:val="20"/>
                      <w:highlight w:val="none"/>
                      <w:lang w:val="en-US" w:eastAsia="zh-CN"/>
                    </w:rPr>
                    <w:t>风量m</w:t>
                  </w:r>
                  <w:r>
                    <w:rPr>
                      <w:rFonts w:hint="default" w:ascii="Times New Roman" w:hAnsi="Times New Roman" w:cs="Times New Roman"/>
                      <w:color w:val="auto"/>
                      <w:sz w:val="18"/>
                      <w:szCs w:val="20"/>
                      <w:highlight w:val="none"/>
                      <w:vertAlign w:val="superscript"/>
                      <w:lang w:val="en-US" w:eastAsia="zh-CN"/>
                    </w:rPr>
                    <w:t>3</w:t>
                  </w:r>
                  <w:r>
                    <w:rPr>
                      <w:rFonts w:hint="default" w:ascii="Times New Roman" w:hAnsi="Times New Roman" w:cs="Times New Roman"/>
                      <w:color w:val="auto"/>
                      <w:sz w:val="18"/>
                      <w:szCs w:val="20"/>
                      <w:highlight w:val="none"/>
                      <w:lang w:val="en-US" w:eastAsia="zh-CN"/>
                    </w:rPr>
                    <w:t>/h</w:t>
                  </w:r>
                </w:p>
              </w:tc>
              <w:tc>
                <w:tcPr>
                  <w:tcW w:w="1364"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color w:val="auto"/>
                      <w:sz w:val="18"/>
                      <w:szCs w:val="20"/>
                      <w:highlight w:val="none"/>
                      <w:lang w:val="en-US" w:eastAsia="zh-CN"/>
                    </w:rPr>
                  </w:pPr>
                  <w:r>
                    <w:rPr>
                      <w:rFonts w:hint="default" w:ascii="Times New Roman" w:hAnsi="Times New Roman" w:cs="Times New Roman"/>
                      <w:color w:val="auto"/>
                      <w:sz w:val="18"/>
                      <w:szCs w:val="20"/>
                      <w:highlight w:val="none"/>
                      <w:lang w:val="en-US" w:eastAsia="zh-CN"/>
                    </w:rPr>
                    <w:t>产污情况</w:t>
                  </w:r>
                </w:p>
              </w:tc>
              <w:tc>
                <w:tcPr>
                  <w:tcW w:w="2039"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color w:val="auto"/>
                      <w:sz w:val="18"/>
                      <w:szCs w:val="20"/>
                      <w:highlight w:val="none"/>
                      <w:lang w:val="en-US" w:eastAsia="zh-CN"/>
                    </w:rPr>
                  </w:pPr>
                  <w:r>
                    <w:rPr>
                      <w:rFonts w:hint="default" w:ascii="Times New Roman" w:hAnsi="Times New Roman" w:cs="Times New Roman"/>
                      <w:color w:val="auto"/>
                      <w:sz w:val="18"/>
                      <w:szCs w:val="20"/>
                      <w:highlight w:val="none"/>
                      <w:lang w:val="en-US" w:eastAsia="zh-CN"/>
                    </w:rPr>
                    <w:t>治理措施</w:t>
                  </w:r>
                </w:p>
              </w:tc>
              <w:tc>
                <w:tcPr>
                  <w:tcW w:w="2053"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color w:val="auto"/>
                      <w:sz w:val="18"/>
                      <w:szCs w:val="20"/>
                      <w:highlight w:val="none"/>
                      <w:lang w:val="en-US" w:eastAsia="zh-CN"/>
                    </w:rPr>
                  </w:pPr>
                  <w:r>
                    <w:rPr>
                      <w:rFonts w:hint="default" w:ascii="Times New Roman" w:hAnsi="Times New Roman" w:cs="Times New Roman"/>
                      <w:color w:val="auto"/>
                      <w:sz w:val="18"/>
                      <w:szCs w:val="20"/>
                      <w:highlight w:val="none"/>
                      <w:lang w:val="en-US" w:eastAsia="zh-CN"/>
                    </w:rPr>
                    <w:t>有组织排放</w:t>
                  </w:r>
                </w:p>
              </w:tc>
              <w:tc>
                <w:tcPr>
                  <w:tcW w:w="1324"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color w:val="auto"/>
                      <w:sz w:val="18"/>
                      <w:szCs w:val="20"/>
                      <w:highlight w:val="none"/>
                      <w:lang w:val="en-US" w:eastAsia="zh-CN"/>
                    </w:rPr>
                  </w:pPr>
                  <w:r>
                    <w:rPr>
                      <w:rFonts w:hint="default" w:ascii="Times New Roman" w:hAnsi="Times New Roman" w:cs="Times New Roman"/>
                      <w:color w:val="auto"/>
                      <w:sz w:val="18"/>
                      <w:szCs w:val="20"/>
                      <w:highlight w:val="none"/>
                      <w:lang w:val="en-US" w:eastAsia="zh-CN"/>
                    </w:rPr>
                    <w:t>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jc w:val="center"/>
              </w:trPr>
              <w:tc>
                <w:tcPr>
                  <w:tcW w:w="67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color w:val="auto"/>
                      <w:sz w:val="18"/>
                      <w:szCs w:val="20"/>
                      <w:highlight w:val="none"/>
                      <w:lang w:val="en-US" w:eastAsia="zh-CN"/>
                    </w:rPr>
                  </w:pPr>
                </w:p>
              </w:tc>
              <w:tc>
                <w:tcPr>
                  <w:tcW w:w="57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color w:val="auto"/>
                      <w:sz w:val="18"/>
                      <w:szCs w:val="20"/>
                      <w:highlight w:val="none"/>
                      <w:lang w:val="en-US" w:eastAsia="zh-CN"/>
                    </w:rPr>
                  </w:pPr>
                </w:p>
              </w:tc>
              <w:tc>
                <w:tcPr>
                  <w:tcW w:w="72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color w:val="auto"/>
                      <w:sz w:val="18"/>
                      <w:szCs w:val="20"/>
                      <w:highlight w:val="none"/>
                      <w:lang w:val="en-US" w:eastAsia="zh-CN"/>
                    </w:rPr>
                  </w:pPr>
                  <w:r>
                    <w:rPr>
                      <w:rFonts w:hint="default" w:ascii="Times New Roman" w:hAnsi="Times New Roman" w:cs="Times New Roman"/>
                      <w:color w:val="auto"/>
                      <w:sz w:val="18"/>
                      <w:szCs w:val="20"/>
                      <w:highlight w:val="none"/>
                      <w:lang w:val="en-US" w:eastAsia="zh-CN"/>
                    </w:rPr>
                    <w:t>产生浓度mg/m</w:t>
                  </w:r>
                  <w:r>
                    <w:rPr>
                      <w:rFonts w:hint="default" w:ascii="Times New Roman" w:hAnsi="Times New Roman" w:cs="Times New Roman"/>
                      <w:color w:val="auto"/>
                      <w:sz w:val="18"/>
                      <w:szCs w:val="20"/>
                      <w:highlight w:val="none"/>
                      <w:vertAlign w:val="superscript"/>
                      <w:lang w:val="en-US" w:eastAsia="zh-CN"/>
                    </w:rPr>
                    <w:t>3</w:t>
                  </w:r>
                </w:p>
              </w:tc>
              <w:tc>
                <w:tcPr>
                  <w:tcW w:w="64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color w:val="auto"/>
                      <w:sz w:val="18"/>
                      <w:szCs w:val="20"/>
                      <w:highlight w:val="none"/>
                      <w:lang w:val="en-US" w:eastAsia="zh-CN"/>
                    </w:rPr>
                  </w:pPr>
                  <w:r>
                    <w:rPr>
                      <w:rFonts w:hint="default" w:ascii="Times New Roman" w:hAnsi="Times New Roman" w:cs="Times New Roman"/>
                      <w:color w:val="auto"/>
                      <w:sz w:val="18"/>
                      <w:szCs w:val="20"/>
                      <w:highlight w:val="none"/>
                      <w:lang w:val="en-US" w:eastAsia="zh-CN"/>
                    </w:rPr>
                    <w:t>产生量t/a</w:t>
                  </w:r>
                </w:p>
              </w:tc>
              <w:tc>
                <w:tcPr>
                  <w:tcW w:w="59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color w:val="auto"/>
                      <w:sz w:val="18"/>
                      <w:szCs w:val="20"/>
                      <w:highlight w:val="none"/>
                      <w:lang w:val="en-US" w:eastAsia="zh-CN"/>
                    </w:rPr>
                  </w:pPr>
                  <w:r>
                    <w:rPr>
                      <w:rFonts w:hint="default" w:ascii="Times New Roman" w:hAnsi="Times New Roman" w:cs="Times New Roman"/>
                      <w:color w:val="auto"/>
                      <w:sz w:val="18"/>
                      <w:szCs w:val="20"/>
                      <w:highlight w:val="none"/>
                      <w:lang w:val="en-US" w:eastAsia="zh-CN"/>
                    </w:rPr>
                    <w:t>工艺</w:t>
                  </w:r>
                </w:p>
              </w:tc>
              <w:tc>
                <w:tcPr>
                  <w:tcW w:w="42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color w:val="auto"/>
                      <w:sz w:val="18"/>
                      <w:szCs w:val="20"/>
                      <w:highlight w:val="none"/>
                      <w:lang w:val="en-US" w:eastAsia="zh-CN"/>
                    </w:rPr>
                  </w:pPr>
                  <w:r>
                    <w:rPr>
                      <w:rFonts w:hint="default" w:ascii="Times New Roman" w:hAnsi="Times New Roman" w:cs="Times New Roman"/>
                      <w:color w:val="auto"/>
                      <w:sz w:val="18"/>
                      <w:szCs w:val="20"/>
                      <w:highlight w:val="none"/>
                      <w:lang w:val="en-US" w:eastAsia="zh-CN"/>
                    </w:rPr>
                    <w:t>收集率</w:t>
                  </w:r>
                </w:p>
              </w:tc>
              <w:tc>
                <w:tcPr>
                  <w:tcW w:w="42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color w:val="auto"/>
                      <w:sz w:val="18"/>
                      <w:szCs w:val="20"/>
                      <w:highlight w:val="none"/>
                      <w:lang w:val="en-US" w:eastAsia="zh-CN"/>
                    </w:rPr>
                  </w:pPr>
                  <w:r>
                    <w:rPr>
                      <w:rFonts w:hint="default" w:ascii="Times New Roman" w:hAnsi="Times New Roman" w:cs="Times New Roman"/>
                      <w:color w:val="auto"/>
                      <w:sz w:val="18"/>
                      <w:szCs w:val="20"/>
                      <w:highlight w:val="none"/>
                      <w:lang w:val="en-US" w:eastAsia="zh-CN"/>
                    </w:rPr>
                    <w:t>去除率</w:t>
                  </w:r>
                </w:p>
              </w:tc>
              <w:tc>
                <w:tcPr>
                  <w:tcW w:w="5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color w:val="auto"/>
                      <w:sz w:val="18"/>
                      <w:szCs w:val="20"/>
                      <w:highlight w:val="none"/>
                      <w:lang w:val="en-US" w:eastAsia="zh-CN"/>
                    </w:rPr>
                  </w:pPr>
                  <w:r>
                    <w:rPr>
                      <w:rFonts w:hint="default" w:ascii="Times New Roman" w:hAnsi="Times New Roman" w:cs="Times New Roman"/>
                      <w:color w:val="auto"/>
                      <w:sz w:val="18"/>
                      <w:szCs w:val="20"/>
                      <w:highlight w:val="none"/>
                      <w:lang w:val="en-US" w:eastAsia="zh-CN"/>
                    </w:rPr>
                    <w:t>是否可行技术</w:t>
                  </w:r>
                </w:p>
              </w:tc>
              <w:tc>
                <w:tcPr>
                  <w:tcW w:w="73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color w:val="auto"/>
                      <w:sz w:val="18"/>
                      <w:szCs w:val="20"/>
                      <w:highlight w:val="none"/>
                      <w:lang w:val="en-US" w:eastAsia="zh-CN"/>
                    </w:rPr>
                  </w:pPr>
                  <w:r>
                    <w:rPr>
                      <w:rFonts w:hint="default" w:ascii="Times New Roman" w:hAnsi="Times New Roman" w:cs="Times New Roman"/>
                      <w:color w:val="auto"/>
                      <w:sz w:val="18"/>
                      <w:szCs w:val="20"/>
                      <w:highlight w:val="none"/>
                      <w:lang w:val="en-US" w:eastAsia="zh-CN"/>
                    </w:rPr>
                    <w:t>排放浓度mg/m</w:t>
                  </w:r>
                  <w:r>
                    <w:rPr>
                      <w:rFonts w:hint="default" w:ascii="Times New Roman" w:hAnsi="Times New Roman" w:cs="Times New Roman"/>
                      <w:color w:val="auto"/>
                      <w:sz w:val="18"/>
                      <w:szCs w:val="20"/>
                      <w:highlight w:val="none"/>
                      <w:vertAlign w:val="superscript"/>
                      <w:lang w:val="en-US" w:eastAsia="zh-CN"/>
                    </w:rPr>
                    <w:t>3</w:t>
                  </w:r>
                </w:p>
              </w:tc>
              <w:tc>
                <w:tcPr>
                  <w:tcW w:w="66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color w:val="auto"/>
                      <w:sz w:val="18"/>
                      <w:szCs w:val="20"/>
                      <w:highlight w:val="none"/>
                      <w:lang w:val="en-US" w:eastAsia="zh-CN"/>
                    </w:rPr>
                  </w:pPr>
                  <w:r>
                    <w:rPr>
                      <w:rFonts w:hint="default" w:ascii="Times New Roman" w:hAnsi="Times New Roman" w:cs="Times New Roman"/>
                      <w:color w:val="auto"/>
                      <w:sz w:val="18"/>
                      <w:szCs w:val="20"/>
                      <w:highlight w:val="none"/>
                      <w:lang w:val="en-US" w:eastAsia="zh-CN"/>
                    </w:rPr>
                    <w:t>排放量t/a</w:t>
                  </w:r>
                </w:p>
              </w:tc>
              <w:tc>
                <w:tcPr>
                  <w:tcW w:w="65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color w:val="auto"/>
                      <w:sz w:val="18"/>
                      <w:szCs w:val="20"/>
                      <w:highlight w:val="none"/>
                      <w:lang w:val="en-US" w:eastAsia="zh-CN"/>
                    </w:rPr>
                  </w:pPr>
                  <w:r>
                    <w:rPr>
                      <w:rFonts w:hint="default" w:ascii="Times New Roman" w:hAnsi="Times New Roman" w:cs="Times New Roman"/>
                      <w:color w:val="auto"/>
                      <w:sz w:val="18"/>
                      <w:szCs w:val="20"/>
                      <w:highlight w:val="none"/>
                      <w:lang w:val="en-US" w:eastAsia="zh-CN"/>
                    </w:rPr>
                    <w:t>排放速率kg/h</w:t>
                  </w:r>
                </w:p>
              </w:tc>
              <w:tc>
                <w:tcPr>
                  <w:tcW w:w="64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color w:val="auto"/>
                      <w:sz w:val="18"/>
                      <w:szCs w:val="20"/>
                      <w:highlight w:val="none"/>
                      <w:lang w:val="en-US" w:eastAsia="zh-CN"/>
                    </w:rPr>
                  </w:pPr>
                  <w:r>
                    <w:rPr>
                      <w:rFonts w:hint="default" w:ascii="Times New Roman" w:hAnsi="Times New Roman" w:cs="Times New Roman"/>
                      <w:color w:val="auto"/>
                      <w:sz w:val="18"/>
                      <w:szCs w:val="20"/>
                      <w:highlight w:val="none"/>
                      <w:lang w:val="en-US" w:eastAsia="zh-CN"/>
                    </w:rPr>
                    <w:t>排放量t/a</w:t>
                  </w:r>
                </w:p>
              </w:tc>
              <w:tc>
                <w:tcPr>
                  <w:tcW w:w="6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color w:val="auto"/>
                      <w:sz w:val="18"/>
                      <w:szCs w:val="20"/>
                      <w:highlight w:val="none"/>
                      <w:lang w:val="en-US" w:eastAsia="zh-CN"/>
                    </w:rPr>
                  </w:pPr>
                  <w:r>
                    <w:rPr>
                      <w:rFonts w:hint="default" w:ascii="Times New Roman" w:hAnsi="Times New Roman" w:cs="Times New Roman"/>
                      <w:color w:val="auto"/>
                      <w:sz w:val="18"/>
                      <w:szCs w:val="20"/>
                      <w:highlight w:val="none"/>
                      <w:lang w:val="en-US" w:eastAsia="zh-CN"/>
                    </w:rPr>
                    <w:t>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jc w:val="center"/>
              </w:trPr>
              <w:tc>
                <w:tcPr>
                  <w:tcW w:w="67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color w:val="auto"/>
                      <w:sz w:val="18"/>
                      <w:szCs w:val="20"/>
                      <w:highlight w:val="none"/>
                      <w:lang w:val="en-US" w:eastAsia="zh-CN"/>
                    </w:rPr>
                  </w:pPr>
                  <w:r>
                    <w:rPr>
                      <w:rFonts w:hint="default" w:ascii="Times New Roman" w:hAnsi="Times New Roman" w:cs="Times New Roman"/>
                      <w:color w:val="auto"/>
                      <w:sz w:val="18"/>
                      <w:szCs w:val="20"/>
                      <w:highlight w:val="none"/>
                      <w:lang w:val="en-US" w:eastAsia="zh-CN"/>
                    </w:rPr>
                    <w:t>颗粒物</w:t>
                  </w:r>
                  <w:r>
                    <w:rPr>
                      <w:rFonts w:hint="eastAsia" w:ascii="Times New Roman" w:hAnsi="Times New Roman" w:cs="Times New Roman"/>
                      <w:color w:val="auto"/>
                      <w:sz w:val="18"/>
                      <w:szCs w:val="20"/>
                      <w:highlight w:val="none"/>
                      <w:lang w:val="en-US" w:eastAsia="zh-CN"/>
                    </w:rPr>
                    <w:t>（漆雾）</w:t>
                  </w:r>
                </w:p>
              </w:tc>
              <w:tc>
                <w:tcPr>
                  <w:tcW w:w="579"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color w:val="auto"/>
                      <w:sz w:val="18"/>
                      <w:szCs w:val="20"/>
                      <w:highlight w:val="none"/>
                      <w:lang w:val="en-US" w:eastAsia="zh-CN"/>
                    </w:rPr>
                  </w:pPr>
                  <w:r>
                    <w:rPr>
                      <w:rFonts w:hint="eastAsia" w:ascii="Times New Roman" w:hAnsi="Times New Roman" w:cs="Times New Roman"/>
                      <w:color w:val="auto"/>
                      <w:sz w:val="18"/>
                      <w:szCs w:val="20"/>
                      <w:highlight w:val="none"/>
                      <w:lang w:val="en-US" w:eastAsia="zh-CN"/>
                    </w:rPr>
                    <w:t>3</w:t>
                  </w:r>
                  <w:r>
                    <w:rPr>
                      <w:rFonts w:hint="default" w:ascii="Times New Roman" w:hAnsi="Times New Roman" w:cs="Times New Roman"/>
                      <w:color w:val="auto"/>
                      <w:sz w:val="18"/>
                      <w:szCs w:val="20"/>
                      <w:highlight w:val="none"/>
                      <w:lang w:val="en-US" w:eastAsia="zh-CN"/>
                    </w:rPr>
                    <w:t>000</w:t>
                  </w:r>
                </w:p>
              </w:tc>
              <w:tc>
                <w:tcPr>
                  <w:tcW w:w="72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color w:val="auto"/>
                      <w:sz w:val="18"/>
                      <w:szCs w:val="20"/>
                      <w:highlight w:val="none"/>
                      <w:lang w:val="en-US" w:eastAsia="zh-CN"/>
                    </w:rPr>
                  </w:pPr>
                  <w:r>
                    <w:rPr>
                      <w:rFonts w:hint="eastAsia" w:ascii="Times New Roman" w:hAnsi="Times New Roman" w:cs="Times New Roman"/>
                      <w:color w:val="auto"/>
                      <w:sz w:val="18"/>
                      <w:szCs w:val="20"/>
                      <w:highlight w:val="none"/>
                      <w:lang w:val="en-US" w:eastAsia="zh-CN"/>
                    </w:rPr>
                    <w:t>2.36</w:t>
                  </w:r>
                </w:p>
              </w:tc>
              <w:tc>
                <w:tcPr>
                  <w:tcW w:w="64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color w:val="auto"/>
                      <w:sz w:val="18"/>
                      <w:szCs w:val="20"/>
                      <w:highlight w:val="none"/>
                      <w:lang w:val="en-US" w:eastAsia="zh-CN"/>
                    </w:rPr>
                  </w:pPr>
                  <w:r>
                    <w:rPr>
                      <w:rFonts w:hint="eastAsia" w:ascii="Times New Roman" w:hAnsi="Times New Roman" w:cs="Times New Roman"/>
                      <w:color w:val="auto"/>
                      <w:sz w:val="18"/>
                      <w:szCs w:val="20"/>
                      <w:highlight w:val="none"/>
                      <w:lang w:val="en-US" w:eastAsia="zh-CN"/>
                    </w:rPr>
                    <w:t>0.017</w:t>
                  </w:r>
                </w:p>
              </w:tc>
              <w:tc>
                <w:tcPr>
                  <w:tcW w:w="599"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color w:val="auto"/>
                      <w:sz w:val="18"/>
                      <w:szCs w:val="20"/>
                      <w:highlight w:val="none"/>
                      <w:lang w:val="en-US" w:eastAsia="zh-CN"/>
                    </w:rPr>
                  </w:pPr>
                  <w:r>
                    <w:rPr>
                      <w:rFonts w:hint="eastAsia" w:ascii="Times New Roman" w:hAnsi="Times New Roman" w:eastAsia="宋体" w:cs="Times New Roman"/>
                      <w:color w:val="auto"/>
                      <w:sz w:val="18"/>
                      <w:szCs w:val="20"/>
                      <w:highlight w:val="none"/>
                      <w:lang w:val="en-US" w:eastAsia="zh-CN"/>
                    </w:rPr>
                    <w:t>水帘柜+干式过滤+两级活性炭</w:t>
                  </w:r>
                </w:p>
              </w:tc>
              <w:tc>
                <w:tcPr>
                  <w:tcW w:w="426"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color w:val="auto"/>
                      <w:sz w:val="18"/>
                      <w:szCs w:val="20"/>
                      <w:highlight w:val="none"/>
                      <w:lang w:val="en-US" w:eastAsia="zh-CN"/>
                    </w:rPr>
                  </w:pPr>
                  <w:r>
                    <w:rPr>
                      <w:rFonts w:hint="eastAsia" w:ascii="Times New Roman" w:hAnsi="Times New Roman" w:cs="Times New Roman"/>
                      <w:color w:val="auto"/>
                      <w:sz w:val="18"/>
                      <w:szCs w:val="20"/>
                      <w:highlight w:val="none"/>
                      <w:lang w:val="en-US" w:eastAsia="zh-CN"/>
                    </w:rPr>
                    <w:t>90</w:t>
                  </w:r>
                  <w:r>
                    <w:rPr>
                      <w:rFonts w:hint="default" w:ascii="Times New Roman" w:hAnsi="Times New Roman" w:cs="Times New Roman"/>
                      <w:color w:val="auto"/>
                      <w:sz w:val="18"/>
                      <w:szCs w:val="20"/>
                      <w:highlight w:val="none"/>
                      <w:lang w:val="en-US" w:eastAsia="zh-CN"/>
                    </w:rPr>
                    <w:t>%</w:t>
                  </w:r>
                </w:p>
              </w:tc>
              <w:tc>
                <w:tcPr>
                  <w:tcW w:w="42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color w:val="auto"/>
                      <w:sz w:val="18"/>
                      <w:szCs w:val="20"/>
                      <w:highlight w:val="none"/>
                      <w:lang w:val="en-US" w:eastAsia="zh-CN"/>
                    </w:rPr>
                  </w:pPr>
                  <w:r>
                    <w:rPr>
                      <w:rFonts w:hint="default" w:ascii="Times New Roman" w:hAnsi="Times New Roman" w:cs="Times New Roman"/>
                      <w:color w:val="auto"/>
                      <w:sz w:val="18"/>
                      <w:szCs w:val="20"/>
                      <w:highlight w:val="none"/>
                      <w:lang w:val="en-US" w:eastAsia="zh-CN"/>
                    </w:rPr>
                    <w:t>90%</w:t>
                  </w:r>
                </w:p>
              </w:tc>
              <w:tc>
                <w:tcPr>
                  <w:tcW w:w="5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color w:val="auto"/>
                      <w:sz w:val="18"/>
                      <w:szCs w:val="20"/>
                      <w:highlight w:val="none"/>
                      <w:lang w:val="en-US" w:eastAsia="zh-CN"/>
                    </w:rPr>
                  </w:pPr>
                  <w:r>
                    <w:rPr>
                      <w:rFonts w:hint="default" w:ascii="Times New Roman" w:hAnsi="Times New Roman" w:cs="Times New Roman"/>
                      <w:color w:val="auto"/>
                      <w:sz w:val="18"/>
                      <w:szCs w:val="20"/>
                      <w:highlight w:val="none"/>
                      <w:lang w:val="en-US" w:eastAsia="zh-CN"/>
                    </w:rPr>
                    <w:t>是</w:t>
                  </w:r>
                </w:p>
              </w:tc>
              <w:tc>
                <w:tcPr>
                  <w:tcW w:w="73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color w:val="auto"/>
                      <w:sz w:val="18"/>
                      <w:szCs w:val="20"/>
                      <w:highlight w:val="none"/>
                      <w:lang w:val="en-US" w:eastAsia="zh-CN"/>
                    </w:rPr>
                  </w:pPr>
                  <w:r>
                    <w:rPr>
                      <w:rFonts w:hint="eastAsia" w:ascii="Times New Roman" w:hAnsi="Times New Roman" w:cs="Times New Roman"/>
                      <w:color w:val="auto"/>
                      <w:sz w:val="18"/>
                      <w:szCs w:val="20"/>
                      <w:highlight w:val="none"/>
                      <w:lang w:val="en-US" w:eastAsia="zh-CN"/>
                    </w:rPr>
                    <w:t>0.21</w:t>
                  </w:r>
                </w:p>
              </w:tc>
              <w:tc>
                <w:tcPr>
                  <w:tcW w:w="66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color w:val="auto"/>
                      <w:sz w:val="18"/>
                      <w:szCs w:val="20"/>
                      <w:highlight w:val="none"/>
                      <w:lang w:val="en-US" w:eastAsia="zh-CN"/>
                    </w:rPr>
                  </w:pPr>
                  <w:r>
                    <w:rPr>
                      <w:rFonts w:hint="eastAsia" w:ascii="Times New Roman" w:hAnsi="Times New Roman" w:cs="Times New Roman"/>
                      <w:color w:val="auto"/>
                      <w:sz w:val="18"/>
                      <w:szCs w:val="20"/>
                      <w:highlight w:val="none"/>
                      <w:lang w:val="en-US" w:eastAsia="zh-CN"/>
                    </w:rPr>
                    <w:t>0.0015</w:t>
                  </w:r>
                </w:p>
              </w:tc>
              <w:tc>
                <w:tcPr>
                  <w:tcW w:w="65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color w:val="auto"/>
                      <w:sz w:val="18"/>
                      <w:szCs w:val="20"/>
                      <w:highlight w:val="none"/>
                      <w:lang w:val="en-US" w:eastAsia="zh-CN"/>
                    </w:rPr>
                  </w:pPr>
                  <w:r>
                    <w:rPr>
                      <w:rFonts w:hint="eastAsia" w:ascii="Times New Roman" w:hAnsi="Times New Roman" w:cs="Times New Roman"/>
                      <w:color w:val="auto"/>
                      <w:sz w:val="18"/>
                      <w:szCs w:val="20"/>
                      <w:highlight w:val="none"/>
                      <w:lang w:val="en-US" w:eastAsia="zh-CN"/>
                    </w:rPr>
                    <w:t>0.00063</w:t>
                  </w:r>
                </w:p>
              </w:tc>
              <w:tc>
                <w:tcPr>
                  <w:tcW w:w="64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color w:val="auto"/>
                      <w:sz w:val="18"/>
                      <w:szCs w:val="20"/>
                      <w:highlight w:val="none"/>
                      <w:lang w:val="en-US" w:eastAsia="zh-CN"/>
                    </w:rPr>
                  </w:pPr>
                  <w:r>
                    <w:rPr>
                      <w:rFonts w:hint="eastAsia" w:ascii="Times New Roman" w:hAnsi="Times New Roman" w:cs="Times New Roman"/>
                      <w:color w:val="auto"/>
                      <w:sz w:val="18"/>
                      <w:szCs w:val="20"/>
                      <w:highlight w:val="none"/>
                      <w:lang w:val="en-US" w:eastAsia="zh-CN"/>
                    </w:rPr>
                    <w:t>0.0017</w:t>
                  </w:r>
                </w:p>
              </w:tc>
              <w:tc>
                <w:tcPr>
                  <w:tcW w:w="6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color w:val="auto"/>
                      <w:sz w:val="18"/>
                      <w:szCs w:val="20"/>
                      <w:highlight w:val="none"/>
                      <w:lang w:val="en-US" w:eastAsia="zh-CN"/>
                    </w:rPr>
                  </w:pPr>
                  <w:r>
                    <w:rPr>
                      <w:rFonts w:hint="eastAsia" w:ascii="Times New Roman" w:hAnsi="Times New Roman" w:cs="Times New Roman"/>
                      <w:color w:val="auto"/>
                      <w:sz w:val="18"/>
                      <w:szCs w:val="20"/>
                      <w:highlight w:val="none"/>
                      <w:lang w:val="en-US" w:eastAsia="zh-CN"/>
                    </w:rPr>
                    <w:t>0.00071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jc w:val="center"/>
              </w:trPr>
              <w:tc>
                <w:tcPr>
                  <w:tcW w:w="67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color w:val="auto"/>
                      <w:sz w:val="18"/>
                      <w:szCs w:val="20"/>
                      <w:highlight w:val="none"/>
                      <w:lang w:val="en-US" w:eastAsia="zh-CN"/>
                    </w:rPr>
                  </w:pPr>
                  <w:r>
                    <w:rPr>
                      <w:rFonts w:hint="default" w:ascii="Times New Roman" w:hAnsi="Times New Roman" w:cs="Times New Roman"/>
                      <w:color w:val="auto"/>
                      <w:sz w:val="18"/>
                      <w:szCs w:val="20"/>
                      <w:highlight w:val="none"/>
                      <w:lang w:val="en-US" w:eastAsia="zh-CN"/>
                    </w:rPr>
                    <w:t>VOCs</w:t>
                  </w:r>
                </w:p>
              </w:tc>
              <w:tc>
                <w:tcPr>
                  <w:tcW w:w="57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color w:val="auto"/>
                      <w:sz w:val="18"/>
                      <w:szCs w:val="20"/>
                      <w:highlight w:val="none"/>
                      <w:lang w:val="en-US" w:eastAsia="zh-CN"/>
                    </w:rPr>
                  </w:pPr>
                </w:p>
              </w:tc>
              <w:tc>
                <w:tcPr>
                  <w:tcW w:w="72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color w:val="auto"/>
                      <w:sz w:val="18"/>
                      <w:szCs w:val="20"/>
                      <w:highlight w:val="none"/>
                      <w:lang w:val="en-US" w:eastAsia="zh-CN"/>
                    </w:rPr>
                  </w:pPr>
                  <w:r>
                    <w:rPr>
                      <w:rFonts w:hint="eastAsia" w:ascii="Times New Roman" w:hAnsi="Times New Roman" w:cs="Times New Roman"/>
                      <w:color w:val="auto"/>
                      <w:sz w:val="18"/>
                      <w:szCs w:val="20"/>
                      <w:highlight w:val="none"/>
                      <w:lang w:val="en-US" w:eastAsia="zh-CN"/>
                    </w:rPr>
                    <w:t>3.89</w:t>
                  </w:r>
                </w:p>
              </w:tc>
              <w:tc>
                <w:tcPr>
                  <w:tcW w:w="64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color w:val="auto"/>
                      <w:sz w:val="18"/>
                      <w:szCs w:val="20"/>
                      <w:highlight w:val="none"/>
                      <w:lang w:val="en-US" w:eastAsia="zh-CN"/>
                    </w:rPr>
                  </w:pPr>
                  <w:r>
                    <w:rPr>
                      <w:rFonts w:hint="eastAsia" w:ascii="Times New Roman" w:hAnsi="Times New Roman" w:cs="Times New Roman"/>
                      <w:color w:val="auto"/>
                      <w:sz w:val="18"/>
                      <w:szCs w:val="20"/>
                      <w:highlight w:val="none"/>
                      <w:lang w:val="en-US" w:eastAsia="zh-CN"/>
                    </w:rPr>
                    <w:t>0.028</w:t>
                  </w:r>
                </w:p>
              </w:tc>
              <w:tc>
                <w:tcPr>
                  <w:tcW w:w="59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color w:val="auto"/>
                      <w:sz w:val="18"/>
                      <w:szCs w:val="20"/>
                      <w:highlight w:val="none"/>
                      <w:lang w:val="en-US" w:eastAsia="zh-CN"/>
                    </w:rPr>
                  </w:pPr>
                </w:p>
              </w:tc>
              <w:tc>
                <w:tcPr>
                  <w:tcW w:w="42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color w:val="auto"/>
                      <w:sz w:val="18"/>
                      <w:szCs w:val="20"/>
                      <w:highlight w:val="none"/>
                      <w:lang w:val="en-US" w:eastAsia="zh-CN"/>
                    </w:rPr>
                  </w:pPr>
                </w:p>
              </w:tc>
              <w:tc>
                <w:tcPr>
                  <w:tcW w:w="42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color w:val="auto"/>
                      <w:sz w:val="18"/>
                      <w:szCs w:val="20"/>
                      <w:highlight w:val="none"/>
                      <w:lang w:val="en-US" w:eastAsia="zh-CN"/>
                    </w:rPr>
                  </w:pPr>
                  <w:r>
                    <w:rPr>
                      <w:rFonts w:hint="eastAsia" w:ascii="Times New Roman" w:hAnsi="Times New Roman" w:cs="Times New Roman"/>
                      <w:color w:val="auto"/>
                      <w:sz w:val="18"/>
                      <w:szCs w:val="20"/>
                      <w:highlight w:val="none"/>
                      <w:lang w:val="en-US" w:eastAsia="zh-CN"/>
                    </w:rPr>
                    <w:t>51</w:t>
                  </w:r>
                  <w:r>
                    <w:rPr>
                      <w:rFonts w:hint="default" w:ascii="Times New Roman" w:hAnsi="Times New Roman" w:cs="Times New Roman"/>
                      <w:color w:val="auto"/>
                      <w:sz w:val="18"/>
                      <w:szCs w:val="20"/>
                      <w:highlight w:val="none"/>
                      <w:lang w:val="en-US" w:eastAsia="zh-CN"/>
                    </w:rPr>
                    <w:t>%</w:t>
                  </w:r>
                </w:p>
              </w:tc>
              <w:tc>
                <w:tcPr>
                  <w:tcW w:w="5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color w:val="auto"/>
                      <w:sz w:val="18"/>
                      <w:szCs w:val="20"/>
                      <w:highlight w:val="none"/>
                      <w:lang w:val="en-US" w:eastAsia="zh-CN"/>
                    </w:rPr>
                  </w:pPr>
                  <w:r>
                    <w:rPr>
                      <w:rFonts w:hint="default" w:ascii="Times New Roman" w:hAnsi="Times New Roman" w:cs="Times New Roman"/>
                      <w:color w:val="auto"/>
                      <w:sz w:val="18"/>
                      <w:szCs w:val="20"/>
                      <w:highlight w:val="none"/>
                      <w:lang w:val="en-US" w:eastAsia="zh-CN"/>
                    </w:rPr>
                    <w:t>是</w:t>
                  </w:r>
                </w:p>
              </w:tc>
              <w:tc>
                <w:tcPr>
                  <w:tcW w:w="73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color w:val="auto"/>
                      <w:sz w:val="18"/>
                      <w:szCs w:val="20"/>
                      <w:highlight w:val="none"/>
                      <w:lang w:val="en-US" w:eastAsia="zh-CN"/>
                    </w:rPr>
                  </w:pPr>
                  <w:r>
                    <w:rPr>
                      <w:rFonts w:hint="eastAsia" w:ascii="Times New Roman" w:hAnsi="Times New Roman" w:cs="Times New Roman"/>
                      <w:color w:val="auto"/>
                      <w:sz w:val="18"/>
                      <w:szCs w:val="20"/>
                      <w:highlight w:val="none"/>
                      <w:lang w:val="en-US" w:eastAsia="zh-CN"/>
                    </w:rPr>
                    <w:t>1.7</w:t>
                  </w:r>
                </w:p>
              </w:tc>
              <w:tc>
                <w:tcPr>
                  <w:tcW w:w="66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color w:val="auto"/>
                      <w:sz w:val="18"/>
                      <w:szCs w:val="20"/>
                      <w:highlight w:val="none"/>
                      <w:lang w:val="en-US" w:eastAsia="zh-CN"/>
                    </w:rPr>
                  </w:pPr>
                  <w:r>
                    <w:rPr>
                      <w:rFonts w:hint="eastAsia" w:ascii="Times New Roman" w:hAnsi="Times New Roman" w:cs="Times New Roman"/>
                      <w:color w:val="auto"/>
                      <w:sz w:val="18"/>
                      <w:szCs w:val="20"/>
                      <w:highlight w:val="none"/>
                      <w:lang w:val="en-US" w:eastAsia="zh-CN"/>
                    </w:rPr>
                    <w:t>0.0123</w:t>
                  </w:r>
                </w:p>
              </w:tc>
              <w:tc>
                <w:tcPr>
                  <w:tcW w:w="65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color w:val="auto"/>
                      <w:sz w:val="18"/>
                      <w:szCs w:val="20"/>
                      <w:highlight w:val="none"/>
                      <w:lang w:val="en-US" w:eastAsia="zh-CN"/>
                    </w:rPr>
                  </w:pPr>
                  <w:r>
                    <w:rPr>
                      <w:rFonts w:hint="eastAsia" w:ascii="Times New Roman" w:hAnsi="Times New Roman" w:cs="Times New Roman"/>
                      <w:color w:val="auto"/>
                      <w:sz w:val="18"/>
                      <w:szCs w:val="20"/>
                      <w:highlight w:val="none"/>
                      <w:lang w:val="en-US" w:eastAsia="zh-CN"/>
                    </w:rPr>
                    <w:t>0.0051</w:t>
                  </w:r>
                </w:p>
              </w:tc>
              <w:tc>
                <w:tcPr>
                  <w:tcW w:w="64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color w:val="auto"/>
                      <w:sz w:val="18"/>
                      <w:szCs w:val="20"/>
                      <w:highlight w:val="none"/>
                      <w:lang w:val="en-US" w:eastAsia="zh-CN"/>
                    </w:rPr>
                  </w:pPr>
                  <w:r>
                    <w:rPr>
                      <w:rFonts w:hint="eastAsia" w:ascii="Times New Roman" w:hAnsi="Times New Roman" w:cs="Times New Roman"/>
                      <w:color w:val="auto"/>
                      <w:sz w:val="18"/>
                      <w:szCs w:val="20"/>
                      <w:highlight w:val="none"/>
                      <w:lang w:val="en-US" w:eastAsia="zh-CN"/>
                    </w:rPr>
                    <w:t>0.0028</w:t>
                  </w:r>
                </w:p>
              </w:tc>
              <w:tc>
                <w:tcPr>
                  <w:tcW w:w="6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color w:val="auto"/>
                      <w:sz w:val="18"/>
                      <w:szCs w:val="20"/>
                      <w:highlight w:val="none"/>
                      <w:lang w:val="en-US" w:eastAsia="zh-CN"/>
                    </w:rPr>
                  </w:pPr>
                  <w:r>
                    <w:rPr>
                      <w:rFonts w:hint="eastAsia" w:ascii="Times New Roman" w:hAnsi="Times New Roman" w:cs="Times New Roman"/>
                      <w:color w:val="auto"/>
                      <w:sz w:val="18"/>
                      <w:szCs w:val="20"/>
                      <w:highlight w:val="none"/>
                      <w:lang w:val="en-US" w:eastAsia="zh-CN"/>
                    </w:rPr>
                    <w:t>0.00117</w:t>
                  </w:r>
                </w:p>
              </w:tc>
            </w:tr>
          </w:tbl>
          <w:p>
            <w:pPr>
              <w:spacing w:line="360" w:lineRule="auto"/>
              <w:ind w:firstLine="480"/>
              <w:rPr>
                <w:rFonts w:hint="default" w:ascii="Times New Roman" w:hAnsi="Times New Roman" w:eastAsia="宋体" w:cs="Times New Roman"/>
                <w:color w:val="auto"/>
                <w:kern w:val="2"/>
                <w:sz w:val="22"/>
                <w:szCs w:val="21"/>
                <w:highlight w:val="none"/>
                <w:lang w:val="en-US" w:eastAsia="zh-CN" w:bidi="ar-SA"/>
              </w:rPr>
            </w:pPr>
            <w:r>
              <w:rPr>
                <w:rFonts w:hint="default" w:ascii="Times New Roman" w:hAnsi="Times New Roman" w:eastAsia="宋体" w:cs="Times New Roman"/>
                <w:color w:val="auto"/>
                <w:kern w:val="2"/>
                <w:sz w:val="22"/>
                <w:szCs w:val="21"/>
                <w:highlight w:val="none"/>
                <w:lang w:val="eu-ES" w:eastAsia="zh-CN" w:bidi="ar-SA"/>
              </w:rPr>
              <w:t>项目排放口基本情况：</w:t>
            </w:r>
          </w:p>
          <w:p>
            <w:pPr>
              <w:pStyle w:val="14"/>
              <w:tabs>
                <w:tab w:val="left" w:pos="1425"/>
              </w:tabs>
              <w:spacing w:before="0" w:after="0" w:line="240" w:lineRule="auto"/>
              <w:ind w:right="0"/>
              <w:jc w:val="center"/>
              <w:outlineLvl w:val="0"/>
              <w:rPr>
                <w:rFonts w:hint="default" w:ascii="Times New Roman" w:hAnsi="Times New Roman" w:cs="Times New Roman"/>
                <w:b/>
                <w:color w:val="auto"/>
                <w:kern w:val="2"/>
                <w:sz w:val="21"/>
                <w:szCs w:val="21"/>
                <w:highlight w:val="none"/>
              </w:rPr>
            </w:pPr>
            <w:r>
              <w:rPr>
                <w:rFonts w:hint="default" w:ascii="Times New Roman" w:hAnsi="Times New Roman" w:cs="Times New Roman"/>
                <w:b/>
                <w:color w:val="auto"/>
                <w:kern w:val="2"/>
                <w:sz w:val="21"/>
                <w:szCs w:val="21"/>
                <w:highlight w:val="none"/>
              </w:rPr>
              <w:t>表4-</w:t>
            </w:r>
            <w:r>
              <w:rPr>
                <w:rFonts w:hint="eastAsia" w:ascii="Times New Roman" w:hAnsi="Times New Roman" w:cs="Times New Roman"/>
                <w:b/>
                <w:color w:val="auto"/>
                <w:kern w:val="2"/>
                <w:sz w:val="21"/>
                <w:szCs w:val="21"/>
                <w:highlight w:val="none"/>
                <w:lang w:val="en-US" w:eastAsia="zh-CN"/>
              </w:rPr>
              <w:t xml:space="preserve">2 </w:t>
            </w:r>
            <w:r>
              <w:rPr>
                <w:rFonts w:hint="default" w:ascii="Times New Roman" w:hAnsi="Times New Roman" w:cs="Times New Roman"/>
                <w:b/>
                <w:color w:val="auto"/>
                <w:kern w:val="2"/>
                <w:sz w:val="21"/>
                <w:szCs w:val="21"/>
                <w:highlight w:val="none"/>
              </w:rPr>
              <w:t>排放口基本情况</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3"/>
              <w:gridCol w:w="857"/>
              <w:gridCol w:w="1108"/>
              <w:gridCol w:w="925"/>
              <w:gridCol w:w="1284"/>
              <w:gridCol w:w="1199"/>
              <w:gridCol w:w="706"/>
              <w:gridCol w:w="748"/>
              <w:gridCol w:w="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403" w:type="dxa"/>
                  <w:vMerge w:val="restart"/>
                  <w:noWrap w:val="0"/>
                  <w:vAlign w:val="center"/>
                </w:tcPr>
                <w:p>
                  <w:pPr>
                    <w:jc w:val="center"/>
                    <w:rPr>
                      <w:rFonts w:hint="default" w:ascii="Times New Roman" w:hAnsi="Times New Roman" w:cs="Times New Roman"/>
                      <w:color w:val="auto"/>
                      <w:szCs w:val="22"/>
                      <w:highlight w:val="none"/>
                    </w:rPr>
                  </w:pPr>
                  <w:r>
                    <w:rPr>
                      <w:rFonts w:hint="default" w:ascii="Times New Roman" w:hAnsi="Times New Roman" w:cs="Times New Roman"/>
                      <w:color w:val="auto"/>
                      <w:szCs w:val="22"/>
                      <w:highlight w:val="none"/>
                    </w:rPr>
                    <w:t>序号</w:t>
                  </w:r>
                </w:p>
              </w:tc>
              <w:tc>
                <w:tcPr>
                  <w:tcW w:w="857" w:type="dxa"/>
                  <w:vMerge w:val="restart"/>
                  <w:noWrap w:val="0"/>
                  <w:vAlign w:val="center"/>
                </w:tcPr>
                <w:p>
                  <w:pPr>
                    <w:jc w:val="center"/>
                    <w:rPr>
                      <w:rFonts w:hint="default" w:ascii="Times New Roman" w:hAnsi="Times New Roman" w:cs="Times New Roman"/>
                      <w:color w:val="auto"/>
                      <w:szCs w:val="22"/>
                      <w:highlight w:val="none"/>
                    </w:rPr>
                  </w:pPr>
                  <w:r>
                    <w:rPr>
                      <w:rFonts w:hint="default" w:ascii="Times New Roman" w:hAnsi="Times New Roman" w:cs="Times New Roman"/>
                      <w:color w:val="auto"/>
                      <w:szCs w:val="22"/>
                      <w:highlight w:val="none"/>
                    </w:rPr>
                    <w:t>排放口编号</w:t>
                  </w:r>
                </w:p>
              </w:tc>
              <w:tc>
                <w:tcPr>
                  <w:tcW w:w="1108" w:type="dxa"/>
                  <w:vMerge w:val="restart"/>
                  <w:noWrap w:val="0"/>
                  <w:vAlign w:val="center"/>
                </w:tcPr>
                <w:p>
                  <w:pPr>
                    <w:jc w:val="center"/>
                    <w:rPr>
                      <w:rFonts w:hint="default" w:ascii="Times New Roman" w:hAnsi="Times New Roman" w:cs="Times New Roman"/>
                      <w:color w:val="auto"/>
                      <w:szCs w:val="22"/>
                      <w:highlight w:val="none"/>
                    </w:rPr>
                  </w:pPr>
                  <w:r>
                    <w:rPr>
                      <w:rFonts w:hint="default" w:ascii="Times New Roman" w:hAnsi="Times New Roman" w:cs="Times New Roman"/>
                      <w:color w:val="auto"/>
                      <w:szCs w:val="22"/>
                      <w:highlight w:val="none"/>
                    </w:rPr>
                    <w:t>排放口</w:t>
                  </w:r>
                </w:p>
                <w:p>
                  <w:pPr>
                    <w:jc w:val="center"/>
                    <w:rPr>
                      <w:rFonts w:hint="default" w:ascii="Times New Roman" w:hAnsi="Times New Roman" w:cs="Times New Roman"/>
                      <w:color w:val="auto"/>
                      <w:szCs w:val="22"/>
                      <w:highlight w:val="none"/>
                    </w:rPr>
                  </w:pPr>
                  <w:r>
                    <w:rPr>
                      <w:rFonts w:hint="default" w:ascii="Times New Roman" w:hAnsi="Times New Roman" w:cs="Times New Roman"/>
                      <w:color w:val="auto"/>
                      <w:szCs w:val="22"/>
                      <w:highlight w:val="none"/>
                    </w:rPr>
                    <w:t>名称</w:t>
                  </w:r>
                </w:p>
              </w:tc>
              <w:tc>
                <w:tcPr>
                  <w:tcW w:w="925" w:type="dxa"/>
                  <w:vMerge w:val="restart"/>
                  <w:noWrap w:val="0"/>
                  <w:vAlign w:val="center"/>
                </w:tcPr>
                <w:p>
                  <w:pPr>
                    <w:jc w:val="center"/>
                    <w:rPr>
                      <w:rFonts w:hint="default" w:ascii="Times New Roman" w:hAnsi="Times New Roman" w:cs="Times New Roman"/>
                      <w:color w:val="auto"/>
                      <w:szCs w:val="22"/>
                      <w:highlight w:val="none"/>
                    </w:rPr>
                  </w:pPr>
                  <w:r>
                    <w:rPr>
                      <w:rFonts w:hint="default" w:ascii="Times New Roman" w:hAnsi="Times New Roman" w:cs="Times New Roman"/>
                      <w:color w:val="auto"/>
                      <w:szCs w:val="22"/>
                      <w:highlight w:val="none"/>
                    </w:rPr>
                    <w:t>排放口</w:t>
                  </w:r>
                </w:p>
                <w:p>
                  <w:pPr>
                    <w:jc w:val="center"/>
                    <w:rPr>
                      <w:rFonts w:hint="default" w:ascii="Times New Roman" w:hAnsi="Times New Roman" w:cs="Times New Roman"/>
                      <w:color w:val="auto"/>
                      <w:szCs w:val="22"/>
                      <w:highlight w:val="none"/>
                    </w:rPr>
                  </w:pPr>
                  <w:r>
                    <w:rPr>
                      <w:rFonts w:hint="default" w:ascii="Times New Roman" w:hAnsi="Times New Roman" w:cs="Times New Roman"/>
                      <w:color w:val="auto"/>
                      <w:szCs w:val="22"/>
                      <w:highlight w:val="none"/>
                    </w:rPr>
                    <w:t>类型</w:t>
                  </w:r>
                </w:p>
              </w:tc>
              <w:tc>
                <w:tcPr>
                  <w:tcW w:w="2483" w:type="dxa"/>
                  <w:gridSpan w:val="2"/>
                  <w:noWrap w:val="0"/>
                  <w:vAlign w:val="center"/>
                </w:tcPr>
                <w:p>
                  <w:pPr>
                    <w:jc w:val="center"/>
                    <w:rPr>
                      <w:rFonts w:hint="default" w:ascii="Times New Roman" w:hAnsi="Times New Roman" w:cs="Times New Roman"/>
                      <w:color w:val="auto"/>
                      <w:szCs w:val="22"/>
                      <w:highlight w:val="none"/>
                    </w:rPr>
                  </w:pPr>
                  <w:r>
                    <w:rPr>
                      <w:rFonts w:hint="default" w:ascii="Times New Roman" w:hAnsi="Times New Roman" w:cs="Times New Roman"/>
                      <w:color w:val="auto"/>
                      <w:szCs w:val="22"/>
                      <w:highlight w:val="none"/>
                    </w:rPr>
                    <w:t>排放口地理坐标</w:t>
                  </w:r>
                </w:p>
              </w:tc>
              <w:tc>
                <w:tcPr>
                  <w:tcW w:w="706" w:type="dxa"/>
                  <w:vMerge w:val="restart"/>
                  <w:noWrap w:val="0"/>
                  <w:vAlign w:val="center"/>
                </w:tcPr>
                <w:p>
                  <w:pPr>
                    <w:jc w:val="center"/>
                    <w:rPr>
                      <w:rFonts w:hint="default" w:ascii="Times New Roman" w:hAnsi="Times New Roman" w:cs="Times New Roman"/>
                      <w:color w:val="auto"/>
                      <w:szCs w:val="22"/>
                      <w:highlight w:val="none"/>
                    </w:rPr>
                  </w:pPr>
                  <w:r>
                    <w:rPr>
                      <w:rFonts w:hint="default" w:ascii="Times New Roman" w:hAnsi="Times New Roman" w:cs="Times New Roman"/>
                      <w:color w:val="auto"/>
                      <w:szCs w:val="22"/>
                      <w:highlight w:val="none"/>
                    </w:rPr>
                    <w:t>高度m</w:t>
                  </w:r>
                </w:p>
              </w:tc>
              <w:tc>
                <w:tcPr>
                  <w:tcW w:w="748" w:type="dxa"/>
                  <w:vMerge w:val="restart"/>
                  <w:noWrap w:val="0"/>
                  <w:vAlign w:val="center"/>
                </w:tcPr>
                <w:p>
                  <w:pPr>
                    <w:jc w:val="center"/>
                    <w:rPr>
                      <w:rFonts w:hint="default" w:ascii="Times New Roman" w:hAnsi="Times New Roman" w:cs="Times New Roman"/>
                      <w:color w:val="auto"/>
                      <w:szCs w:val="22"/>
                      <w:highlight w:val="none"/>
                    </w:rPr>
                  </w:pPr>
                  <w:r>
                    <w:rPr>
                      <w:rFonts w:hint="default" w:ascii="Times New Roman" w:hAnsi="Times New Roman" w:cs="Times New Roman"/>
                      <w:color w:val="auto"/>
                      <w:szCs w:val="22"/>
                      <w:highlight w:val="none"/>
                    </w:rPr>
                    <w:t>内径m</w:t>
                  </w:r>
                </w:p>
              </w:tc>
              <w:tc>
                <w:tcPr>
                  <w:tcW w:w="670" w:type="dxa"/>
                  <w:vMerge w:val="restart"/>
                  <w:noWrap w:val="0"/>
                  <w:vAlign w:val="center"/>
                </w:tcPr>
                <w:p>
                  <w:pPr>
                    <w:jc w:val="center"/>
                    <w:rPr>
                      <w:rFonts w:hint="default" w:ascii="Times New Roman" w:hAnsi="Times New Roman" w:cs="Times New Roman"/>
                      <w:color w:val="auto"/>
                      <w:szCs w:val="22"/>
                      <w:highlight w:val="none"/>
                    </w:rPr>
                  </w:pPr>
                  <w:r>
                    <w:rPr>
                      <w:rFonts w:hint="default" w:ascii="Times New Roman" w:hAnsi="Times New Roman" w:cs="Times New Roman"/>
                      <w:color w:val="auto"/>
                      <w:szCs w:val="22"/>
                      <w:highlight w:val="none"/>
                    </w:rPr>
                    <w:t>温度℃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03" w:type="dxa"/>
                  <w:vMerge w:val="continue"/>
                  <w:noWrap w:val="0"/>
                  <w:vAlign w:val="center"/>
                </w:tcPr>
                <w:p>
                  <w:pPr>
                    <w:jc w:val="center"/>
                    <w:rPr>
                      <w:rFonts w:hint="default" w:ascii="Times New Roman" w:hAnsi="Times New Roman" w:cs="Times New Roman"/>
                      <w:color w:val="auto"/>
                      <w:szCs w:val="22"/>
                      <w:highlight w:val="none"/>
                    </w:rPr>
                  </w:pPr>
                </w:p>
              </w:tc>
              <w:tc>
                <w:tcPr>
                  <w:tcW w:w="857" w:type="dxa"/>
                  <w:vMerge w:val="continue"/>
                  <w:noWrap w:val="0"/>
                  <w:vAlign w:val="center"/>
                </w:tcPr>
                <w:p>
                  <w:pPr>
                    <w:jc w:val="center"/>
                    <w:rPr>
                      <w:rFonts w:hint="default" w:ascii="Times New Roman" w:hAnsi="Times New Roman" w:cs="Times New Roman"/>
                      <w:color w:val="auto"/>
                      <w:szCs w:val="22"/>
                      <w:highlight w:val="none"/>
                    </w:rPr>
                  </w:pPr>
                </w:p>
              </w:tc>
              <w:tc>
                <w:tcPr>
                  <w:tcW w:w="1108" w:type="dxa"/>
                  <w:vMerge w:val="continue"/>
                  <w:noWrap w:val="0"/>
                  <w:vAlign w:val="center"/>
                </w:tcPr>
                <w:p>
                  <w:pPr>
                    <w:jc w:val="center"/>
                    <w:rPr>
                      <w:rFonts w:hint="default" w:ascii="Times New Roman" w:hAnsi="Times New Roman" w:cs="Times New Roman"/>
                      <w:color w:val="auto"/>
                      <w:szCs w:val="22"/>
                      <w:highlight w:val="none"/>
                    </w:rPr>
                  </w:pPr>
                </w:p>
              </w:tc>
              <w:tc>
                <w:tcPr>
                  <w:tcW w:w="925" w:type="dxa"/>
                  <w:vMerge w:val="continue"/>
                  <w:noWrap w:val="0"/>
                  <w:vAlign w:val="center"/>
                </w:tcPr>
                <w:p>
                  <w:pPr>
                    <w:jc w:val="center"/>
                    <w:rPr>
                      <w:rFonts w:hint="default" w:ascii="Times New Roman" w:hAnsi="Times New Roman" w:cs="Times New Roman"/>
                      <w:color w:val="auto"/>
                      <w:szCs w:val="22"/>
                      <w:highlight w:val="none"/>
                    </w:rPr>
                  </w:pPr>
                </w:p>
              </w:tc>
              <w:tc>
                <w:tcPr>
                  <w:tcW w:w="1284" w:type="dxa"/>
                  <w:noWrap w:val="0"/>
                  <w:vAlign w:val="center"/>
                </w:tcPr>
                <w:p>
                  <w:pPr>
                    <w:jc w:val="center"/>
                    <w:rPr>
                      <w:rFonts w:hint="default" w:ascii="Times New Roman" w:hAnsi="Times New Roman" w:cs="Times New Roman"/>
                      <w:color w:val="auto"/>
                      <w:szCs w:val="22"/>
                      <w:highlight w:val="none"/>
                    </w:rPr>
                  </w:pPr>
                  <w:r>
                    <w:rPr>
                      <w:rFonts w:hint="default" w:ascii="Times New Roman" w:hAnsi="Times New Roman" w:cs="Times New Roman"/>
                      <w:color w:val="auto"/>
                      <w:szCs w:val="22"/>
                      <w:highlight w:val="none"/>
                    </w:rPr>
                    <w:t>经度</w:t>
                  </w:r>
                </w:p>
              </w:tc>
              <w:tc>
                <w:tcPr>
                  <w:tcW w:w="1199" w:type="dxa"/>
                  <w:noWrap w:val="0"/>
                  <w:vAlign w:val="center"/>
                </w:tcPr>
                <w:p>
                  <w:pPr>
                    <w:jc w:val="center"/>
                    <w:rPr>
                      <w:rFonts w:hint="default" w:ascii="Times New Roman" w:hAnsi="Times New Roman" w:cs="Times New Roman"/>
                      <w:color w:val="auto"/>
                      <w:szCs w:val="22"/>
                      <w:highlight w:val="none"/>
                    </w:rPr>
                  </w:pPr>
                  <w:r>
                    <w:rPr>
                      <w:rFonts w:hint="default" w:ascii="Times New Roman" w:hAnsi="Times New Roman" w:cs="Times New Roman"/>
                      <w:color w:val="auto"/>
                      <w:szCs w:val="22"/>
                      <w:highlight w:val="none"/>
                    </w:rPr>
                    <w:t>纬度</w:t>
                  </w:r>
                </w:p>
              </w:tc>
              <w:tc>
                <w:tcPr>
                  <w:tcW w:w="706" w:type="dxa"/>
                  <w:vMerge w:val="continue"/>
                  <w:noWrap w:val="0"/>
                  <w:vAlign w:val="center"/>
                </w:tcPr>
                <w:p>
                  <w:pPr>
                    <w:jc w:val="center"/>
                    <w:rPr>
                      <w:rFonts w:hint="default" w:ascii="Times New Roman" w:hAnsi="Times New Roman" w:cs="Times New Roman"/>
                      <w:color w:val="auto"/>
                      <w:szCs w:val="22"/>
                      <w:highlight w:val="none"/>
                    </w:rPr>
                  </w:pPr>
                </w:p>
              </w:tc>
              <w:tc>
                <w:tcPr>
                  <w:tcW w:w="748" w:type="dxa"/>
                  <w:vMerge w:val="continue"/>
                  <w:noWrap w:val="0"/>
                  <w:vAlign w:val="center"/>
                </w:tcPr>
                <w:p>
                  <w:pPr>
                    <w:jc w:val="center"/>
                    <w:rPr>
                      <w:rFonts w:hint="default" w:ascii="Times New Roman" w:hAnsi="Times New Roman" w:cs="Times New Roman"/>
                      <w:color w:val="auto"/>
                      <w:szCs w:val="22"/>
                      <w:highlight w:val="none"/>
                    </w:rPr>
                  </w:pPr>
                </w:p>
              </w:tc>
              <w:tc>
                <w:tcPr>
                  <w:tcW w:w="670" w:type="dxa"/>
                  <w:vMerge w:val="continue"/>
                  <w:noWrap w:val="0"/>
                  <w:vAlign w:val="center"/>
                </w:tcPr>
                <w:p>
                  <w:pPr>
                    <w:jc w:val="center"/>
                    <w:rPr>
                      <w:rFonts w:hint="default" w:ascii="Times New Roman" w:hAnsi="Times New Roman" w:cs="Times New Roman"/>
                      <w:color w:val="auto"/>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403" w:type="dxa"/>
                  <w:noWrap w:val="0"/>
                  <w:vAlign w:val="center"/>
                </w:tcPr>
                <w:p>
                  <w:pPr>
                    <w:jc w:val="center"/>
                    <w:rPr>
                      <w:rFonts w:hint="default" w:ascii="Times New Roman" w:hAnsi="Times New Roman" w:cs="Times New Roman"/>
                      <w:color w:val="auto"/>
                      <w:szCs w:val="22"/>
                      <w:highlight w:val="none"/>
                    </w:rPr>
                  </w:pPr>
                  <w:r>
                    <w:rPr>
                      <w:rFonts w:hint="default" w:ascii="Times New Roman" w:hAnsi="Times New Roman" w:cs="Times New Roman"/>
                      <w:color w:val="auto"/>
                      <w:szCs w:val="22"/>
                      <w:highlight w:val="none"/>
                    </w:rPr>
                    <w:t>1</w:t>
                  </w:r>
                </w:p>
              </w:tc>
              <w:tc>
                <w:tcPr>
                  <w:tcW w:w="857" w:type="dxa"/>
                  <w:noWrap w:val="0"/>
                  <w:vAlign w:val="center"/>
                </w:tcPr>
                <w:p>
                  <w:pPr>
                    <w:jc w:val="center"/>
                    <w:rPr>
                      <w:rFonts w:hint="default" w:ascii="Times New Roman" w:hAnsi="Times New Roman" w:cs="Times New Roman"/>
                      <w:color w:val="auto"/>
                      <w:szCs w:val="22"/>
                      <w:highlight w:val="none"/>
                      <w:lang w:val="en-US" w:eastAsia="zh-CN"/>
                    </w:rPr>
                  </w:pPr>
                  <w:r>
                    <w:rPr>
                      <w:rFonts w:hint="default" w:ascii="Times New Roman" w:hAnsi="Times New Roman" w:cs="Times New Roman"/>
                      <w:color w:val="auto"/>
                      <w:szCs w:val="22"/>
                      <w:highlight w:val="none"/>
                      <w:lang w:eastAsia="zh-CN"/>
                    </w:rPr>
                    <w:t>DA00</w:t>
                  </w:r>
                  <w:r>
                    <w:rPr>
                      <w:rFonts w:hint="eastAsia" w:ascii="Times New Roman" w:hAnsi="Times New Roman" w:cs="Times New Roman"/>
                      <w:color w:val="auto"/>
                      <w:szCs w:val="22"/>
                      <w:highlight w:val="none"/>
                      <w:lang w:val="en-US" w:eastAsia="zh-CN"/>
                    </w:rPr>
                    <w:t>1</w:t>
                  </w:r>
                </w:p>
              </w:tc>
              <w:tc>
                <w:tcPr>
                  <w:tcW w:w="1108" w:type="dxa"/>
                  <w:noWrap w:val="0"/>
                  <w:vAlign w:val="center"/>
                </w:tcPr>
                <w:p>
                  <w:pPr>
                    <w:jc w:val="center"/>
                    <w:rPr>
                      <w:rFonts w:hint="default" w:ascii="Times New Roman" w:hAnsi="Times New Roman" w:cs="Times New Roman"/>
                      <w:color w:val="auto"/>
                      <w:szCs w:val="22"/>
                      <w:highlight w:val="none"/>
                      <w:lang w:val="en-US" w:eastAsia="zh-CN"/>
                    </w:rPr>
                  </w:pPr>
                  <w:r>
                    <w:rPr>
                      <w:rFonts w:hint="default" w:ascii="Times New Roman" w:hAnsi="Times New Roman" w:cs="Times New Roman"/>
                      <w:color w:val="auto"/>
                      <w:szCs w:val="22"/>
                      <w:highlight w:val="none"/>
                      <w:lang w:eastAsia="zh-CN"/>
                    </w:rPr>
                    <w:t>有机废气排放口</w:t>
                  </w:r>
                </w:p>
              </w:tc>
              <w:tc>
                <w:tcPr>
                  <w:tcW w:w="925" w:type="dxa"/>
                  <w:noWrap w:val="0"/>
                  <w:vAlign w:val="center"/>
                </w:tcPr>
                <w:p>
                  <w:pPr>
                    <w:adjustRightInd w:val="0"/>
                    <w:jc w:val="center"/>
                    <w:textAlignment w:val="baseline"/>
                    <w:rPr>
                      <w:rFonts w:hint="default" w:ascii="Times New Roman" w:hAnsi="Times New Roman" w:cs="Times New Roman"/>
                      <w:color w:val="auto"/>
                      <w:szCs w:val="22"/>
                      <w:highlight w:val="none"/>
                    </w:rPr>
                  </w:pPr>
                  <w:r>
                    <w:rPr>
                      <w:rFonts w:hint="default" w:ascii="Times New Roman" w:hAnsi="Times New Roman" w:cs="Times New Roman"/>
                      <w:color w:val="auto"/>
                      <w:szCs w:val="22"/>
                      <w:highlight w:val="none"/>
                    </w:rPr>
                    <w:t>一般</w:t>
                  </w:r>
                </w:p>
                <w:p>
                  <w:pPr>
                    <w:adjustRightInd w:val="0"/>
                    <w:jc w:val="center"/>
                    <w:textAlignment w:val="baseline"/>
                    <w:rPr>
                      <w:rFonts w:hint="default" w:ascii="Times New Roman" w:hAnsi="Times New Roman" w:cs="Times New Roman"/>
                      <w:color w:val="auto"/>
                      <w:szCs w:val="22"/>
                      <w:highlight w:val="none"/>
                    </w:rPr>
                  </w:pPr>
                  <w:r>
                    <w:rPr>
                      <w:rFonts w:hint="default" w:ascii="Times New Roman" w:hAnsi="Times New Roman" w:cs="Times New Roman"/>
                      <w:color w:val="auto"/>
                      <w:szCs w:val="22"/>
                      <w:highlight w:val="none"/>
                    </w:rPr>
                    <w:t>排放口</w:t>
                  </w:r>
                </w:p>
              </w:tc>
              <w:tc>
                <w:tcPr>
                  <w:tcW w:w="1284" w:type="dxa"/>
                  <w:noWrap w:val="0"/>
                  <w:vAlign w:val="center"/>
                </w:tcPr>
                <w:p>
                  <w:pPr>
                    <w:jc w:val="center"/>
                    <w:rPr>
                      <w:rFonts w:hint="default" w:ascii="Times New Roman" w:hAnsi="Times New Roman" w:cs="Times New Roman"/>
                      <w:color w:val="auto"/>
                      <w:szCs w:val="22"/>
                      <w:highlight w:val="none"/>
                      <w:lang w:val="en-US" w:eastAsia="zh-CN"/>
                    </w:rPr>
                  </w:pPr>
                  <w:r>
                    <w:rPr>
                      <w:rFonts w:hint="default" w:ascii="Times New Roman" w:hAnsi="Times New Roman" w:cs="Times New Roman"/>
                      <w:color w:val="auto"/>
                      <w:szCs w:val="22"/>
                      <w:highlight w:val="none"/>
                      <w:lang w:val="en-US" w:eastAsia="zh-CN"/>
                    </w:rPr>
                    <w:t>103.</w:t>
                  </w:r>
                  <w:r>
                    <w:rPr>
                      <w:rFonts w:hint="eastAsia" w:ascii="Times New Roman" w:hAnsi="Times New Roman" w:cs="Times New Roman"/>
                      <w:color w:val="auto"/>
                      <w:szCs w:val="22"/>
                      <w:highlight w:val="none"/>
                      <w:lang w:val="en-US" w:eastAsia="zh-CN"/>
                    </w:rPr>
                    <w:t>6503</w:t>
                  </w:r>
                  <w:r>
                    <w:rPr>
                      <w:rFonts w:hint="default" w:ascii="Times New Roman" w:hAnsi="Times New Roman" w:cs="Times New Roman"/>
                      <w:color w:val="auto"/>
                      <w:szCs w:val="22"/>
                      <w:highlight w:val="none"/>
                    </w:rPr>
                    <w:t>°</w:t>
                  </w:r>
                </w:p>
              </w:tc>
              <w:tc>
                <w:tcPr>
                  <w:tcW w:w="1199" w:type="dxa"/>
                  <w:noWrap w:val="0"/>
                  <w:vAlign w:val="center"/>
                </w:tcPr>
                <w:p>
                  <w:pPr>
                    <w:jc w:val="center"/>
                    <w:rPr>
                      <w:rFonts w:hint="default" w:ascii="Times New Roman" w:hAnsi="Times New Roman" w:cs="Times New Roman"/>
                      <w:color w:val="auto"/>
                      <w:szCs w:val="22"/>
                      <w:highlight w:val="none"/>
                      <w:lang w:val="en-US" w:eastAsia="zh-CN"/>
                    </w:rPr>
                  </w:pPr>
                  <w:r>
                    <w:rPr>
                      <w:rFonts w:hint="default" w:ascii="Times New Roman" w:hAnsi="Times New Roman" w:cs="Times New Roman"/>
                      <w:color w:val="auto"/>
                      <w:szCs w:val="22"/>
                      <w:highlight w:val="none"/>
                      <w:lang w:val="en-US" w:eastAsia="zh-CN"/>
                    </w:rPr>
                    <w:t>29.</w:t>
                  </w:r>
                  <w:r>
                    <w:rPr>
                      <w:rFonts w:hint="eastAsia" w:ascii="Times New Roman" w:hAnsi="Times New Roman" w:cs="Times New Roman"/>
                      <w:color w:val="auto"/>
                      <w:szCs w:val="22"/>
                      <w:highlight w:val="none"/>
                      <w:lang w:val="en-US" w:eastAsia="zh-CN"/>
                    </w:rPr>
                    <w:t>5434</w:t>
                  </w:r>
                  <w:r>
                    <w:rPr>
                      <w:rFonts w:hint="default" w:ascii="Times New Roman" w:hAnsi="Times New Roman" w:cs="Times New Roman"/>
                      <w:color w:val="auto"/>
                      <w:szCs w:val="22"/>
                      <w:highlight w:val="none"/>
                    </w:rPr>
                    <w:t>°</w:t>
                  </w:r>
                </w:p>
              </w:tc>
              <w:tc>
                <w:tcPr>
                  <w:tcW w:w="706" w:type="dxa"/>
                  <w:noWrap w:val="0"/>
                  <w:vAlign w:val="center"/>
                </w:tcPr>
                <w:p>
                  <w:pPr>
                    <w:jc w:val="center"/>
                    <w:rPr>
                      <w:rFonts w:hint="default" w:ascii="Times New Roman" w:hAnsi="Times New Roman" w:cs="Times New Roman"/>
                      <w:color w:val="auto"/>
                      <w:szCs w:val="22"/>
                      <w:highlight w:val="none"/>
                    </w:rPr>
                  </w:pPr>
                  <w:r>
                    <w:rPr>
                      <w:rFonts w:hint="default" w:ascii="Times New Roman" w:hAnsi="Times New Roman" w:cs="Times New Roman"/>
                      <w:color w:val="auto"/>
                      <w:szCs w:val="22"/>
                      <w:highlight w:val="none"/>
                    </w:rPr>
                    <w:t>15</w:t>
                  </w:r>
                </w:p>
              </w:tc>
              <w:tc>
                <w:tcPr>
                  <w:tcW w:w="748" w:type="dxa"/>
                  <w:noWrap w:val="0"/>
                  <w:vAlign w:val="center"/>
                </w:tcPr>
                <w:p>
                  <w:pPr>
                    <w:jc w:val="center"/>
                    <w:rPr>
                      <w:rFonts w:hint="default" w:ascii="Times New Roman" w:hAnsi="Times New Roman" w:cs="Times New Roman"/>
                      <w:color w:val="auto"/>
                      <w:szCs w:val="22"/>
                      <w:highlight w:val="none"/>
                      <w:lang w:val="en-US" w:eastAsia="zh-CN"/>
                    </w:rPr>
                  </w:pPr>
                  <w:r>
                    <w:rPr>
                      <w:rFonts w:hint="default" w:ascii="Times New Roman" w:hAnsi="Times New Roman" w:cs="Times New Roman"/>
                      <w:color w:val="auto"/>
                      <w:szCs w:val="22"/>
                      <w:highlight w:val="none"/>
                      <w:lang w:val="en-US" w:eastAsia="zh-CN"/>
                    </w:rPr>
                    <w:t>0.4</w:t>
                  </w:r>
                </w:p>
              </w:tc>
              <w:tc>
                <w:tcPr>
                  <w:tcW w:w="670" w:type="dxa"/>
                  <w:noWrap w:val="0"/>
                  <w:vAlign w:val="center"/>
                </w:tcPr>
                <w:p>
                  <w:pPr>
                    <w:jc w:val="center"/>
                    <w:rPr>
                      <w:rFonts w:hint="default" w:ascii="Times New Roman" w:hAnsi="Times New Roman" w:cs="Times New Roman"/>
                      <w:color w:val="auto"/>
                      <w:szCs w:val="22"/>
                      <w:highlight w:val="none"/>
                      <w:lang w:val="en-US" w:eastAsia="zh-CN"/>
                    </w:rPr>
                  </w:pPr>
                  <w:r>
                    <w:rPr>
                      <w:rFonts w:hint="default" w:ascii="Times New Roman" w:hAnsi="Times New Roman" w:cs="Times New Roman"/>
                      <w:color w:val="auto"/>
                      <w:szCs w:val="22"/>
                      <w:highlight w:val="none"/>
                      <w:lang w:val="en-US" w:eastAsia="zh-CN"/>
                    </w:rPr>
                    <w:t>常温</w:t>
                  </w:r>
                </w:p>
              </w:tc>
            </w:tr>
          </w:tbl>
          <w:p>
            <w:pPr>
              <w:pStyle w:val="52"/>
              <w:spacing w:line="360" w:lineRule="auto"/>
              <w:ind w:firstLine="440" w:firstLineChars="200"/>
              <w:rPr>
                <w:rFonts w:hint="default" w:ascii="Times New Roman" w:hAnsi="Times New Roman" w:eastAsia="宋体" w:cs="Times New Roman"/>
                <w:color w:val="000000"/>
                <w:kern w:val="2"/>
                <w:sz w:val="22"/>
                <w:szCs w:val="22"/>
                <w:highlight w:val="none"/>
                <w:lang w:val="en-US" w:eastAsia="zh-CN"/>
              </w:rPr>
            </w:pPr>
            <w:r>
              <w:rPr>
                <w:rFonts w:hint="eastAsia" w:ascii="Times New Roman" w:hAnsi="Times New Roman" w:eastAsia="宋体" w:cs="Times New Roman"/>
                <w:color w:val="000000"/>
                <w:kern w:val="2"/>
                <w:sz w:val="22"/>
                <w:szCs w:val="22"/>
                <w:highlight w:val="none"/>
                <w:lang w:val="en-US" w:eastAsia="zh-CN"/>
              </w:rPr>
              <w:t>（5）晾干区废气</w:t>
            </w:r>
          </w:p>
          <w:p>
            <w:pPr>
              <w:pStyle w:val="52"/>
              <w:spacing w:line="360" w:lineRule="auto"/>
              <w:ind w:firstLine="440" w:firstLineChars="200"/>
              <w:jc w:val="both"/>
              <w:rPr>
                <w:rFonts w:hint="eastAsia" w:ascii="Times New Roman" w:hAnsi="Times New Roman" w:eastAsia="宋体" w:cs="Times New Roman"/>
                <w:color w:val="000000"/>
                <w:kern w:val="2"/>
                <w:sz w:val="22"/>
                <w:szCs w:val="22"/>
                <w:highlight w:val="none"/>
                <w:lang w:val="en-US" w:eastAsia="zh-CN"/>
              </w:rPr>
            </w:pPr>
            <w:r>
              <w:rPr>
                <w:rFonts w:hint="eastAsia" w:ascii="Times New Roman" w:hAnsi="Times New Roman" w:eastAsia="宋体" w:cs="Times New Roman"/>
                <w:bCs/>
                <w:color w:val="auto"/>
                <w:sz w:val="22"/>
                <w:szCs w:val="22"/>
                <w:highlight w:val="none"/>
                <w:lang w:val="en-US" w:eastAsia="zh-CN"/>
              </w:rPr>
              <w:t>玻璃喷漆之后放在晾干区自然晾干</w:t>
            </w:r>
            <w:r>
              <w:rPr>
                <w:rFonts w:hint="default" w:ascii="Times New Roman" w:hAnsi="Times New Roman" w:eastAsia="宋体" w:cs="Times New Roman"/>
                <w:color w:val="auto"/>
                <w:kern w:val="2"/>
                <w:sz w:val="22"/>
                <w:szCs w:val="21"/>
                <w:highlight w:val="none"/>
                <w:lang w:val="en-US" w:eastAsia="zh-CN" w:bidi="ar-SA"/>
              </w:rPr>
              <w:t>，</w:t>
            </w:r>
            <w:r>
              <w:rPr>
                <w:rFonts w:hint="eastAsia" w:ascii="Times New Roman" w:hAnsi="Times New Roman" w:eastAsia="宋体" w:cs="Times New Roman"/>
                <w:color w:val="auto"/>
                <w:kern w:val="2"/>
                <w:sz w:val="22"/>
                <w:szCs w:val="21"/>
                <w:highlight w:val="none"/>
                <w:lang w:val="en-US" w:eastAsia="zh-CN" w:bidi="ar-SA"/>
              </w:rPr>
              <w:t>晾干过程中玻璃表面漆料会挥发产生有机废气。</w:t>
            </w:r>
            <w:r>
              <w:rPr>
                <w:rFonts w:hint="default" w:ascii="Times New Roman" w:hAnsi="Times New Roman" w:eastAsia="宋体" w:cs="Times New Roman"/>
                <w:color w:val="auto"/>
                <w:kern w:val="2"/>
                <w:sz w:val="22"/>
                <w:szCs w:val="21"/>
                <w:highlight w:val="none"/>
                <w:lang w:val="en-US" w:eastAsia="zh-CN" w:bidi="ar-SA"/>
              </w:rPr>
              <w:t>本次对喷漆房废气进行产污分析时，已按</w:t>
            </w:r>
            <w:r>
              <w:rPr>
                <w:rFonts w:hint="eastAsia" w:ascii="Times New Roman" w:hAnsi="Times New Roman" w:eastAsia="宋体" w:cs="Times New Roman"/>
                <w:color w:val="auto"/>
                <w:kern w:val="2"/>
                <w:sz w:val="22"/>
                <w:szCs w:val="21"/>
                <w:highlight w:val="none"/>
                <w:lang w:val="en-US" w:eastAsia="zh-CN" w:bidi="ar-SA"/>
              </w:rPr>
              <w:t>漆料</w:t>
            </w:r>
            <w:r>
              <w:rPr>
                <w:rFonts w:hint="default" w:ascii="Times New Roman" w:hAnsi="Times New Roman" w:eastAsia="宋体" w:cs="Times New Roman"/>
                <w:color w:val="auto"/>
                <w:kern w:val="2"/>
                <w:sz w:val="22"/>
                <w:szCs w:val="21"/>
                <w:highlight w:val="none"/>
                <w:lang w:val="en-US" w:eastAsia="zh-CN" w:bidi="ar-SA"/>
              </w:rPr>
              <w:t>最大使用量进行核算，</w:t>
            </w:r>
            <w:r>
              <w:rPr>
                <w:rFonts w:hint="eastAsia" w:ascii="Times New Roman" w:hAnsi="Times New Roman" w:eastAsia="宋体" w:cs="Times New Roman"/>
                <w:color w:val="auto"/>
                <w:kern w:val="2"/>
                <w:sz w:val="22"/>
                <w:szCs w:val="21"/>
                <w:highlight w:val="none"/>
                <w:lang w:val="en-US" w:eastAsia="zh-CN" w:bidi="ar-SA"/>
              </w:rPr>
              <w:t>晾干区</w:t>
            </w:r>
            <w:r>
              <w:rPr>
                <w:rFonts w:hint="default" w:ascii="Times New Roman" w:hAnsi="Times New Roman" w:eastAsia="宋体" w:cs="Times New Roman"/>
                <w:color w:val="auto"/>
                <w:kern w:val="2"/>
                <w:sz w:val="22"/>
                <w:szCs w:val="21"/>
                <w:highlight w:val="none"/>
                <w:lang w:val="en-US" w:eastAsia="zh-CN" w:bidi="ar-SA"/>
              </w:rPr>
              <w:t>产生的有机废气量纳入喷漆房废气进行计算，本次不进行定量分析。</w:t>
            </w:r>
            <w:r>
              <w:rPr>
                <w:rFonts w:hint="eastAsia" w:ascii="Times New Roman" w:hAnsi="Times New Roman" w:eastAsia="宋体" w:cs="Times New Roman"/>
                <w:color w:val="auto"/>
                <w:kern w:val="2"/>
                <w:sz w:val="22"/>
                <w:szCs w:val="21"/>
                <w:highlight w:val="none"/>
                <w:lang w:val="en-US" w:eastAsia="zh-CN" w:bidi="ar-SA"/>
              </w:rPr>
              <w:t>晾干区</w:t>
            </w:r>
            <w:r>
              <w:rPr>
                <w:rFonts w:hint="default" w:ascii="Times New Roman" w:hAnsi="Times New Roman" w:eastAsia="宋体" w:cs="Times New Roman"/>
                <w:color w:val="auto"/>
                <w:kern w:val="2"/>
                <w:sz w:val="22"/>
                <w:szCs w:val="21"/>
                <w:highlight w:val="none"/>
                <w:lang w:val="en-US" w:eastAsia="zh-CN" w:bidi="ar-SA"/>
              </w:rPr>
              <w:t>封闭，本项目</w:t>
            </w:r>
            <w:r>
              <w:rPr>
                <w:rFonts w:hint="eastAsia" w:ascii="Times New Roman" w:hAnsi="Times New Roman" w:eastAsia="宋体" w:cs="Times New Roman"/>
                <w:color w:val="auto"/>
                <w:kern w:val="2"/>
                <w:sz w:val="22"/>
                <w:szCs w:val="21"/>
                <w:highlight w:val="none"/>
                <w:lang w:val="en-US" w:eastAsia="zh-CN" w:bidi="ar-SA"/>
              </w:rPr>
              <w:t>晾干区</w:t>
            </w:r>
            <w:r>
              <w:rPr>
                <w:rFonts w:hint="default" w:ascii="Times New Roman" w:hAnsi="Times New Roman" w:eastAsia="宋体" w:cs="Times New Roman"/>
                <w:color w:val="auto"/>
                <w:kern w:val="2"/>
                <w:sz w:val="22"/>
                <w:szCs w:val="21"/>
                <w:highlight w:val="none"/>
                <w:lang w:val="en-US" w:eastAsia="zh-CN" w:bidi="ar-SA"/>
              </w:rPr>
              <w:t>挥发性有机废气接入喷漆房废气治理设施一同处理后15m高排气筒（DA00</w:t>
            </w:r>
            <w:r>
              <w:rPr>
                <w:rFonts w:hint="eastAsia" w:ascii="Times New Roman" w:hAnsi="Times New Roman" w:eastAsia="宋体" w:cs="Times New Roman"/>
                <w:color w:val="auto"/>
                <w:kern w:val="2"/>
                <w:sz w:val="22"/>
                <w:szCs w:val="21"/>
                <w:highlight w:val="none"/>
                <w:lang w:val="en-US" w:eastAsia="zh-CN" w:bidi="ar-SA"/>
              </w:rPr>
              <w:t>1</w:t>
            </w:r>
            <w:r>
              <w:rPr>
                <w:rFonts w:hint="default" w:ascii="Times New Roman" w:hAnsi="Times New Roman" w:eastAsia="宋体" w:cs="Times New Roman"/>
                <w:color w:val="auto"/>
                <w:kern w:val="2"/>
                <w:sz w:val="22"/>
                <w:szCs w:val="21"/>
                <w:highlight w:val="none"/>
                <w:lang w:val="en-US" w:eastAsia="zh-CN" w:bidi="ar-SA"/>
              </w:rPr>
              <w:t>）排放。</w:t>
            </w:r>
          </w:p>
          <w:p>
            <w:pPr>
              <w:pStyle w:val="52"/>
              <w:spacing w:line="360" w:lineRule="auto"/>
              <w:ind w:firstLine="440" w:firstLineChars="200"/>
              <w:rPr>
                <w:rFonts w:hint="default" w:ascii="Times New Roman" w:hAnsi="Times New Roman" w:eastAsia="宋体" w:cs="Times New Roman"/>
                <w:color w:val="000000"/>
                <w:kern w:val="2"/>
                <w:sz w:val="22"/>
                <w:szCs w:val="22"/>
                <w:highlight w:val="none"/>
                <w:lang w:val="en-US" w:eastAsia="zh-CN"/>
              </w:rPr>
            </w:pPr>
            <w:r>
              <w:rPr>
                <w:rFonts w:hint="eastAsia" w:ascii="Times New Roman" w:hAnsi="Times New Roman" w:eastAsia="宋体" w:cs="Times New Roman"/>
                <w:color w:val="000000"/>
                <w:kern w:val="2"/>
                <w:sz w:val="22"/>
                <w:szCs w:val="22"/>
                <w:highlight w:val="none"/>
                <w:lang w:val="en-US" w:eastAsia="zh-CN"/>
              </w:rPr>
              <w:t>（6）危废暂存间废气</w:t>
            </w:r>
          </w:p>
          <w:p>
            <w:pPr>
              <w:pStyle w:val="52"/>
              <w:spacing w:line="360" w:lineRule="auto"/>
              <w:ind w:firstLine="440" w:firstLineChars="200"/>
              <w:rPr>
                <w:rFonts w:hint="eastAsia" w:ascii="Times New Roman" w:hAnsi="Times New Roman" w:eastAsia="宋体" w:cs="Times New Roman"/>
                <w:color w:val="auto"/>
                <w:kern w:val="2"/>
                <w:sz w:val="22"/>
                <w:szCs w:val="21"/>
                <w:highlight w:val="none"/>
                <w:lang w:val="en-US" w:eastAsia="zh-CN" w:bidi="ar-SA"/>
              </w:rPr>
            </w:pPr>
            <w:r>
              <w:rPr>
                <w:rFonts w:hint="default" w:ascii="Times New Roman" w:hAnsi="Times New Roman" w:eastAsia="宋体" w:cs="Times New Roman"/>
                <w:color w:val="auto"/>
                <w:kern w:val="2"/>
                <w:sz w:val="22"/>
                <w:szCs w:val="21"/>
                <w:highlight w:val="none"/>
                <w:lang w:val="en-US" w:eastAsia="zh-CN" w:bidi="ar-SA"/>
              </w:rPr>
              <w:t>危废暂存间内会暂存废油漆桶、废稀释剂桶</w:t>
            </w:r>
            <w:r>
              <w:rPr>
                <w:rFonts w:hint="eastAsia" w:ascii="Times New Roman" w:hAnsi="Times New Roman" w:eastAsia="宋体" w:cs="Times New Roman"/>
                <w:color w:val="auto"/>
                <w:kern w:val="2"/>
                <w:sz w:val="22"/>
                <w:szCs w:val="21"/>
                <w:highlight w:val="none"/>
                <w:lang w:val="en-US" w:eastAsia="zh-CN" w:bidi="ar-SA"/>
              </w:rPr>
              <w:t>、废固化剂桶</w:t>
            </w:r>
            <w:r>
              <w:rPr>
                <w:rFonts w:hint="default" w:ascii="Times New Roman" w:hAnsi="Times New Roman" w:eastAsia="宋体" w:cs="Times New Roman"/>
                <w:color w:val="auto"/>
                <w:kern w:val="2"/>
                <w:sz w:val="22"/>
                <w:szCs w:val="21"/>
                <w:highlight w:val="none"/>
                <w:lang w:val="en-US" w:eastAsia="zh-CN" w:bidi="ar-SA"/>
              </w:rPr>
              <w:t>等危险废物，</w:t>
            </w:r>
            <w:r>
              <w:rPr>
                <w:rFonts w:hint="eastAsia" w:ascii="Times New Roman" w:hAnsi="Times New Roman" w:eastAsia="宋体" w:cs="Times New Roman"/>
                <w:color w:val="auto"/>
                <w:kern w:val="2"/>
                <w:sz w:val="22"/>
                <w:szCs w:val="21"/>
                <w:highlight w:val="none"/>
                <w:lang w:val="en-US" w:eastAsia="zh-CN" w:bidi="ar-SA"/>
              </w:rPr>
              <w:t>废</w:t>
            </w:r>
            <w:r>
              <w:rPr>
                <w:rFonts w:hint="default" w:ascii="Times New Roman" w:hAnsi="Times New Roman" w:eastAsia="宋体" w:cs="Times New Roman"/>
                <w:color w:val="auto"/>
                <w:kern w:val="2"/>
                <w:sz w:val="22"/>
                <w:szCs w:val="21"/>
                <w:highlight w:val="none"/>
                <w:lang w:val="en-US" w:eastAsia="zh-CN" w:bidi="ar-SA"/>
              </w:rPr>
              <w:t>桶内残余的</w:t>
            </w:r>
            <w:r>
              <w:rPr>
                <w:rFonts w:hint="eastAsia" w:ascii="Times New Roman" w:hAnsi="Times New Roman" w:eastAsia="宋体" w:cs="Times New Roman"/>
                <w:color w:val="auto"/>
                <w:kern w:val="2"/>
                <w:sz w:val="22"/>
                <w:szCs w:val="21"/>
                <w:highlight w:val="none"/>
                <w:lang w:val="en-US" w:eastAsia="zh-CN" w:bidi="ar-SA"/>
              </w:rPr>
              <w:t>漆料</w:t>
            </w:r>
            <w:r>
              <w:rPr>
                <w:rFonts w:hint="default" w:ascii="Times New Roman" w:hAnsi="Times New Roman" w:eastAsia="宋体" w:cs="Times New Roman"/>
                <w:color w:val="auto"/>
                <w:kern w:val="2"/>
                <w:sz w:val="22"/>
                <w:szCs w:val="21"/>
                <w:highlight w:val="none"/>
                <w:lang w:val="en-US" w:eastAsia="zh-CN" w:bidi="ar-SA"/>
              </w:rPr>
              <w:t>会挥发产生有机废气，本次对喷漆房废气进行产污分析时，已按</w:t>
            </w:r>
            <w:r>
              <w:rPr>
                <w:rFonts w:hint="eastAsia" w:ascii="Times New Roman" w:hAnsi="Times New Roman" w:eastAsia="宋体" w:cs="Times New Roman"/>
                <w:color w:val="auto"/>
                <w:kern w:val="2"/>
                <w:sz w:val="22"/>
                <w:szCs w:val="21"/>
                <w:highlight w:val="none"/>
                <w:lang w:val="en-US" w:eastAsia="zh-CN" w:bidi="ar-SA"/>
              </w:rPr>
              <w:t>漆料</w:t>
            </w:r>
            <w:r>
              <w:rPr>
                <w:rFonts w:hint="default" w:ascii="Times New Roman" w:hAnsi="Times New Roman" w:eastAsia="宋体" w:cs="Times New Roman"/>
                <w:color w:val="auto"/>
                <w:kern w:val="2"/>
                <w:sz w:val="22"/>
                <w:szCs w:val="21"/>
                <w:highlight w:val="none"/>
                <w:lang w:val="en-US" w:eastAsia="zh-CN" w:bidi="ar-SA"/>
              </w:rPr>
              <w:t>最大使用量进行核算，危废暂存间内产生的有机废气量纳入喷漆房废气进行计算，本次不进行定量分析。危废暂存间封闭，本项目危废暂存间挥发性有机废气接入喷漆房废气治理设施一同处理后15m高排气筒（DA00</w:t>
            </w:r>
            <w:r>
              <w:rPr>
                <w:rFonts w:hint="eastAsia" w:ascii="Times New Roman" w:hAnsi="Times New Roman" w:eastAsia="宋体" w:cs="Times New Roman"/>
                <w:color w:val="auto"/>
                <w:kern w:val="2"/>
                <w:sz w:val="22"/>
                <w:szCs w:val="21"/>
                <w:highlight w:val="none"/>
                <w:lang w:val="en-US" w:eastAsia="zh-CN" w:bidi="ar-SA"/>
              </w:rPr>
              <w:t>1</w:t>
            </w:r>
            <w:r>
              <w:rPr>
                <w:rFonts w:hint="default" w:ascii="Times New Roman" w:hAnsi="Times New Roman" w:eastAsia="宋体" w:cs="Times New Roman"/>
                <w:color w:val="auto"/>
                <w:kern w:val="2"/>
                <w:sz w:val="22"/>
                <w:szCs w:val="21"/>
                <w:highlight w:val="none"/>
                <w:lang w:val="en-US" w:eastAsia="zh-CN" w:bidi="ar-SA"/>
              </w:rPr>
              <w:t>）排放。</w:t>
            </w:r>
          </w:p>
          <w:p>
            <w:pPr>
              <w:spacing w:line="360" w:lineRule="auto"/>
              <w:ind w:firstLine="480"/>
              <w:rPr>
                <w:rFonts w:hint="default" w:ascii="Times New Roman" w:hAnsi="Times New Roman" w:eastAsia="宋体" w:cs="Times New Roman"/>
                <w:b/>
                <w:bCs/>
                <w:color w:val="auto"/>
                <w:sz w:val="22"/>
                <w:szCs w:val="22"/>
                <w:highlight w:val="none"/>
                <w:lang w:val="en-US" w:eastAsia="zh-CN"/>
              </w:rPr>
            </w:pPr>
            <w:r>
              <w:rPr>
                <w:rFonts w:hint="eastAsia" w:ascii="Times New Roman" w:hAnsi="Times New Roman" w:eastAsia="宋体" w:cs="Times New Roman"/>
                <w:b/>
                <w:bCs/>
                <w:color w:val="auto"/>
                <w:sz w:val="22"/>
                <w:szCs w:val="22"/>
                <w:highlight w:val="none"/>
                <w:lang w:val="en-US" w:eastAsia="zh-CN"/>
              </w:rPr>
              <w:t>1.2环保措施可行性分析</w:t>
            </w:r>
          </w:p>
          <w:p>
            <w:pPr>
              <w:adjustRightInd w:val="0"/>
              <w:spacing w:line="360" w:lineRule="auto"/>
              <w:ind w:firstLine="440" w:firstLineChars="200"/>
              <w:rPr>
                <w:rFonts w:hint="default" w:ascii="Times New Roman" w:hAnsi="Times New Roman" w:eastAsia="宋体" w:cs="Times New Roman"/>
                <w:color w:val="auto"/>
                <w:kern w:val="2"/>
                <w:sz w:val="22"/>
                <w:szCs w:val="21"/>
                <w:highlight w:val="none"/>
                <w:lang w:val="en-US" w:eastAsia="zh-CN" w:bidi="ar-SA"/>
              </w:rPr>
            </w:pPr>
            <w:r>
              <w:rPr>
                <w:rFonts w:hint="eastAsia" w:ascii="Times New Roman" w:hAnsi="Times New Roman" w:eastAsia="宋体" w:cs="Times New Roman"/>
                <w:color w:val="auto"/>
                <w:kern w:val="2"/>
                <w:sz w:val="22"/>
                <w:szCs w:val="21"/>
                <w:highlight w:val="none"/>
                <w:lang w:val="en-US" w:eastAsia="zh-CN" w:bidi="ar-SA"/>
              </w:rPr>
              <w:t>（1）漆雾（颗粒物）</w:t>
            </w:r>
          </w:p>
          <w:p>
            <w:pPr>
              <w:adjustRightInd w:val="0"/>
              <w:spacing w:line="360" w:lineRule="auto"/>
              <w:ind w:firstLine="440" w:firstLineChars="200"/>
              <w:rPr>
                <w:rFonts w:hint="default" w:ascii="Times New Roman" w:hAnsi="Times New Roman" w:eastAsia="宋体" w:cs="Times New Roman"/>
                <w:color w:val="auto"/>
                <w:kern w:val="2"/>
                <w:sz w:val="22"/>
                <w:szCs w:val="21"/>
                <w:highlight w:val="none"/>
                <w:lang w:val="en-US" w:eastAsia="zh-CN" w:bidi="ar-SA"/>
              </w:rPr>
            </w:pPr>
            <w:r>
              <w:rPr>
                <w:rFonts w:hint="default" w:ascii="Times New Roman" w:hAnsi="Times New Roman" w:eastAsia="宋体" w:cs="Times New Roman"/>
                <w:color w:val="auto"/>
                <w:kern w:val="2"/>
                <w:sz w:val="22"/>
                <w:szCs w:val="21"/>
                <w:highlight w:val="none"/>
                <w:lang w:val="en-US" w:eastAsia="zh-CN" w:bidi="ar-SA"/>
              </w:rPr>
              <w:t>参考《</w:t>
            </w:r>
            <w:r>
              <w:rPr>
                <w:rFonts w:hint="eastAsia" w:ascii="Times New Roman" w:hAnsi="Times New Roman" w:eastAsia="宋体" w:cs="Times New Roman"/>
                <w:color w:val="auto"/>
                <w:kern w:val="2"/>
                <w:sz w:val="22"/>
                <w:szCs w:val="21"/>
                <w:highlight w:val="none"/>
                <w:lang w:val="en-US" w:eastAsia="zh-CN" w:bidi="ar-SA"/>
              </w:rPr>
              <w:t>排污许可证申请与核发技术规范 汽车制造业</w:t>
            </w:r>
            <w:r>
              <w:rPr>
                <w:rFonts w:hint="default" w:ascii="Times New Roman" w:hAnsi="Times New Roman" w:eastAsia="宋体" w:cs="Times New Roman"/>
                <w:color w:val="auto"/>
                <w:kern w:val="2"/>
                <w:sz w:val="22"/>
                <w:szCs w:val="21"/>
                <w:highlight w:val="none"/>
                <w:lang w:val="en-US" w:eastAsia="zh-CN" w:bidi="ar-SA"/>
              </w:rPr>
              <w:t>》</w:t>
            </w:r>
            <w:r>
              <w:rPr>
                <w:rFonts w:hint="eastAsia" w:ascii="Times New Roman" w:hAnsi="Times New Roman" w:eastAsia="宋体" w:cs="Times New Roman"/>
                <w:color w:val="auto"/>
                <w:kern w:val="2"/>
                <w:sz w:val="22"/>
                <w:szCs w:val="21"/>
                <w:highlight w:val="none"/>
                <w:lang w:val="en-US" w:eastAsia="zh-CN" w:bidi="ar-SA"/>
              </w:rPr>
              <w:t>（HJ971-2018），针对喷漆工序产生的颗粒物，可行性技术包括：文丘里/水旋/水帘湿式漆雾净化、石灰粉过滤、纸盒过滤、化学纤维过滤。本项目采用“</w:t>
            </w:r>
            <w:r>
              <w:rPr>
                <w:rFonts w:hint="default" w:ascii="Times New Roman" w:hAnsi="Times New Roman" w:eastAsia="宋体" w:cs="Times New Roman"/>
                <w:bCs/>
                <w:color w:val="auto"/>
                <w:sz w:val="22"/>
                <w:szCs w:val="22"/>
                <w:highlight w:val="none"/>
                <w:lang w:val="en-US" w:eastAsia="zh-CN"/>
              </w:rPr>
              <w:t>水帘柜+干式过滤</w:t>
            </w:r>
            <w:r>
              <w:rPr>
                <w:rFonts w:hint="eastAsia" w:ascii="Times New Roman" w:hAnsi="Times New Roman" w:eastAsia="宋体" w:cs="Times New Roman"/>
                <w:color w:val="auto"/>
                <w:kern w:val="2"/>
                <w:sz w:val="22"/>
                <w:szCs w:val="21"/>
                <w:highlight w:val="none"/>
                <w:lang w:val="en-US" w:eastAsia="zh-CN" w:bidi="ar-SA"/>
              </w:rPr>
              <w:t>”去除漆雾属于可行性技术（</w:t>
            </w:r>
            <w:r>
              <w:rPr>
                <w:rFonts w:hint="default" w:ascii="Times New Roman" w:hAnsi="Times New Roman" w:eastAsia="宋体" w:cs="Times New Roman"/>
                <w:color w:val="auto"/>
                <w:kern w:val="2"/>
                <w:sz w:val="22"/>
                <w:szCs w:val="21"/>
                <w:highlight w:val="none"/>
                <w:lang w:val="en-US" w:eastAsia="zh-CN" w:bidi="ar-SA"/>
              </w:rPr>
              <w:t>去除率以90%计</w:t>
            </w:r>
            <w:r>
              <w:rPr>
                <w:rFonts w:hint="eastAsia" w:ascii="Times New Roman" w:hAnsi="Times New Roman" w:eastAsia="宋体" w:cs="Times New Roman"/>
                <w:color w:val="auto"/>
                <w:kern w:val="2"/>
                <w:sz w:val="22"/>
                <w:szCs w:val="21"/>
                <w:highlight w:val="none"/>
                <w:lang w:val="en-US" w:eastAsia="zh-CN" w:bidi="ar-SA"/>
              </w:rPr>
              <w:t>）。</w:t>
            </w:r>
          </w:p>
          <w:p>
            <w:pPr>
              <w:adjustRightInd w:val="0"/>
              <w:spacing w:line="360" w:lineRule="auto"/>
              <w:ind w:firstLine="440" w:firstLineChars="200"/>
              <w:rPr>
                <w:rFonts w:hint="default" w:ascii="Times New Roman" w:hAnsi="Times New Roman" w:eastAsia="宋体" w:cs="Times New Roman"/>
                <w:color w:val="auto"/>
                <w:kern w:val="2"/>
                <w:sz w:val="22"/>
                <w:szCs w:val="21"/>
                <w:highlight w:val="none"/>
                <w:lang w:val="en-US" w:eastAsia="zh-CN" w:bidi="ar-SA"/>
              </w:rPr>
            </w:pPr>
            <w:r>
              <w:rPr>
                <w:rFonts w:hint="eastAsia" w:ascii="Times New Roman" w:hAnsi="Times New Roman" w:eastAsia="宋体" w:cs="Times New Roman"/>
                <w:color w:val="auto"/>
                <w:kern w:val="2"/>
                <w:sz w:val="22"/>
                <w:szCs w:val="21"/>
                <w:highlight w:val="none"/>
                <w:lang w:val="en-US" w:eastAsia="zh-CN" w:bidi="ar-SA"/>
              </w:rPr>
              <w:t>（2）VOCs</w:t>
            </w:r>
          </w:p>
          <w:p>
            <w:pPr>
              <w:adjustRightInd w:val="0"/>
              <w:spacing w:line="360" w:lineRule="auto"/>
              <w:ind w:firstLine="440" w:firstLineChars="200"/>
              <w:rPr>
                <w:rFonts w:hint="default" w:ascii="Times New Roman" w:hAnsi="Times New Roman" w:eastAsia="宋体" w:cs="Times New Roman"/>
                <w:color w:val="auto"/>
                <w:kern w:val="2"/>
                <w:sz w:val="22"/>
                <w:szCs w:val="21"/>
                <w:highlight w:val="none"/>
                <w:lang w:val="en-US" w:eastAsia="zh-CN" w:bidi="ar-SA"/>
              </w:rPr>
            </w:pPr>
            <w:r>
              <w:rPr>
                <w:rFonts w:hint="eastAsia" w:ascii="Times New Roman" w:hAnsi="Times New Roman" w:eastAsia="宋体" w:cs="Times New Roman"/>
                <w:color w:val="auto"/>
                <w:kern w:val="2"/>
                <w:sz w:val="22"/>
                <w:szCs w:val="21"/>
                <w:highlight w:val="none"/>
                <w:lang w:val="en-US" w:eastAsia="zh-CN" w:bidi="ar-SA"/>
              </w:rPr>
              <w:t>经过“</w:t>
            </w:r>
            <w:r>
              <w:rPr>
                <w:rFonts w:hint="default" w:ascii="Times New Roman" w:hAnsi="Times New Roman" w:eastAsia="宋体" w:cs="Times New Roman"/>
                <w:bCs/>
                <w:color w:val="auto"/>
                <w:sz w:val="22"/>
                <w:szCs w:val="22"/>
                <w:highlight w:val="none"/>
                <w:lang w:val="en-US" w:eastAsia="zh-CN"/>
              </w:rPr>
              <w:t>水帘柜+干式过滤</w:t>
            </w:r>
            <w:r>
              <w:rPr>
                <w:rFonts w:hint="eastAsia" w:ascii="Times New Roman" w:hAnsi="Times New Roman" w:eastAsia="宋体" w:cs="Times New Roman"/>
                <w:color w:val="auto"/>
                <w:kern w:val="2"/>
                <w:sz w:val="22"/>
                <w:szCs w:val="21"/>
                <w:highlight w:val="none"/>
                <w:lang w:val="en-US" w:eastAsia="zh-CN" w:bidi="ar-SA"/>
              </w:rPr>
              <w:t>”处理后的废气进入活性炭处理系统。活性炭吸附是一种对有机废气较为成熟的处理工艺，由于活性炭固体表面上存在着未平衡和未饱和的分子引力或化学键力，因此当此固体表面与气体接触时，就能吸引气体分子，废气中的污染物被吸附在固体表面上，使其与气体混合物分离，达到净化目的。废气中的污染物被吸附在固体表面上，使其与气体混合物分离，达到净化目的。</w:t>
            </w:r>
            <w:r>
              <w:rPr>
                <w:rFonts w:hint="default" w:ascii="Times New Roman" w:hAnsi="Times New Roman" w:eastAsia="宋体" w:cs="Times New Roman"/>
                <w:color w:val="auto"/>
                <w:kern w:val="2"/>
                <w:sz w:val="22"/>
                <w:szCs w:val="21"/>
                <w:highlight w:val="none"/>
                <w:lang w:val="en-US" w:eastAsia="zh-CN" w:bidi="ar-SA"/>
              </w:rPr>
              <w:t>根据</w:t>
            </w:r>
            <w:r>
              <w:rPr>
                <w:rFonts w:hint="eastAsia" w:ascii="Times New Roman" w:hAnsi="Times New Roman" w:cs="Times New Roman"/>
                <w:color w:val="auto"/>
                <w:sz w:val="22"/>
                <w:szCs w:val="22"/>
                <w:highlight w:val="none"/>
                <w:lang w:val="en-US" w:eastAsia="zh-CN"/>
              </w:rPr>
              <w:t>《主要污染物总量减排核算技术指南（2022年修订）》</w:t>
            </w:r>
            <w:r>
              <w:rPr>
                <w:rFonts w:hint="default" w:ascii="Times New Roman" w:hAnsi="Times New Roman" w:eastAsia="宋体" w:cs="Times New Roman"/>
                <w:color w:val="auto"/>
                <w:kern w:val="2"/>
                <w:sz w:val="22"/>
                <w:szCs w:val="21"/>
                <w:highlight w:val="none"/>
                <w:lang w:val="en-US" w:eastAsia="zh-CN" w:bidi="ar-SA"/>
              </w:rPr>
              <w:t>，</w:t>
            </w:r>
            <w:r>
              <w:rPr>
                <w:rFonts w:hint="eastAsia" w:ascii="Times New Roman" w:hAnsi="Times New Roman" w:eastAsia="宋体" w:cs="Times New Roman"/>
                <w:color w:val="auto"/>
                <w:kern w:val="2"/>
                <w:sz w:val="22"/>
                <w:szCs w:val="21"/>
                <w:highlight w:val="none"/>
                <w:lang w:val="en-US" w:eastAsia="zh-CN" w:bidi="ar-SA"/>
              </w:rPr>
              <w:t>二级</w:t>
            </w:r>
            <w:r>
              <w:rPr>
                <w:rFonts w:hint="default" w:ascii="Times New Roman" w:hAnsi="Times New Roman" w:eastAsia="宋体" w:cs="Times New Roman"/>
                <w:color w:val="auto"/>
                <w:kern w:val="2"/>
                <w:sz w:val="22"/>
                <w:szCs w:val="21"/>
                <w:highlight w:val="none"/>
                <w:lang w:val="en-US" w:eastAsia="zh-CN" w:bidi="ar-SA"/>
              </w:rPr>
              <w:t>活性炭吸附对VOCs去除率为</w:t>
            </w:r>
            <w:r>
              <w:rPr>
                <w:rFonts w:hint="eastAsia" w:ascii="Times New Roman" w:hAnsi="Times New Roman" w:eastAsia="宋体" w:cs="Times New Roman"/>
                <w:color w:val="auto"/>
                <w:kern w:val="2"/>
                <w:sz w:val="22"/>
                <w:szCs w:val="21"/>
                <w:highlight w:val="none"/>
                <w:lang w:val="en-US" w:eastAsia="zh-CN" w:bidi="ar-SA"/>
              </w:rPr>
              <w:t>51</w:t>
            </w:r>
            <w:r>
              <w:rPr>
                <w:rFonts w:hint="default" w:ascii="Times New Roman" w:hAnsi="Times New Roman" w:eastAsia="宋体" w:cs="Times New Roman"/>
                <w:color w:val="auto"/>
                <w:kern w:val="2"/>
                <w:sz w:val="22"/>
                <w:szCs w:val="21"/>
                <w:highlight w:val="none"/>
                <w:lang w:val="en-US" w:eastAsia="zh-CN" w:bidi="ar-SA"/>
              </w:rPr>
              <w:t>%。</w:t>
            </w:r>
          </w:p>
          <w:p>
            <w:pPr>
              <w:adjustRightInd w:val="0"/>
              <w:spacing w:line="360" w:lineRule="auto"/>
              <w:ind w:firstLine="442" w:firstLineChars="200"/>
              <w:rPr>
                <w:rFonts w:hint="default" w:ascii="Times New Roman" w:hAnsi="Times New Roman" w:eastAsia="宋体" w:cs="Times New Roman"/>
                <w:b/>
                <w:bCs/>
                <w:color w:val="auto"/>
                <w:sz w:val="22"/>
                <w:szCs w:val="22"/>
                <w:highlight w:val="none"/>
                <w:lang w:val="en-US" w:eastAsia="zh-CN"/>
              </w:rPr>
            </w:pPr>
            <w:r>
              <w:rPr>
                <w:rFonts w:hint="eastAsia" w:ascii="Times New Roman" w:hAnsi="Times New Roman" w:eastAsia="宋体" w:cs="Times New Roman"/>
                <w:b/>
                <w:bCs/>
                <w:color w:val="auto"/>
                <w:sz w:val="22"/>
                <w:szCs w:val="22"/>
                <w:highlight w:val="none"/>
                <w:lang w:val="en-US" w:eastAsia="zh-CN"/>
              </w:rPr>
              <w:t>活性炭使用量：</w:t>
            </w:r>
          </w:p>
          <w:p>
            <w:pPr>
              <w:spacing w:line="360" w:lineRule="auto"/>
              <w:ind w:firstLine="440" w:firstLineChars="200"/>
              <w:rPr>
                <w:rFonts w:hint="default" w:ascii="Times New Roman" w:hAnsi="Times New Roman" w:cs="Times New Roman"/>
                <w:bCs/>
                <w:color w:val="auto"/>
                <w:sz w:val="22"/>
                <w:szCs w:val="22"/>
                <w:highlight w:val="none"/>
                <w:lang w:val="en-US" w:eastAsia="zh-CN"/>
              </w:rPr>
            </w:pPr>
            <w:r>
              <w:rPr>
                <w:rFonts w:hint="eastAsia" w:ascii="Times New Roman" w:hAnsi="Times New Roman" w:cs="Times New Roman"/>
                <w:bCs/>
                <w:color w:val="auto"/>
                <w:sz w:val="22"/>
                <w:szCs w:val="22"/>
                <w:highlight w:val="none"/>
                <w:lang w:eastAsia="zh-CN"/>
              </w:rPr>
              <w:t>根据《简明通风设计手册》，活性炭对有机物有效吸附量为</w:t>
            </w:r>
            <w:r>
              <w:rPr>
                <w:rFonts w:hint="eastAsia" w:ascii="Times New Roman" w:hAnsi="Times New Roman" w:cs="Times New Roman"/>
                <w:bCs/>
                <w:color w:val="auto"/>
                <w:sz w:val="22"/>
                <w:szCs w:val="22"/>
                <w:highlight w:val="none"/>
                <w:lang w:val="en-US" w:eastAsia="zh-CN"/>
              </w:rPr>
              <w:t>0.24kg/kg活性炭，本项目挥发性有机物产生量为0.028t/a，收集率以90%计，去除率以51%计，则活性炭吸附有机物量为0.0129t/a，活性炭使用量需0.054t/a，要求定期更换，保证活性炭吸附效率。</w:t>
            </w:r>
          </w:p>
          <w:p>
            <w:pPr>
              <w:spacing w:line="360" w:lineRule="auto"/>
              <w:ind w:firstLine="480"/>
              <w:rPr>
                <w:rFonts w:hint="eastAsia"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b/>
                <w:bCs/>
                <w:color w:val="auto"/>
                <w:kern w:val="2"/>
                <w:sz w:val="22"/>
                <w:szCs w:val="21"/>
                <w:highlight w:val="none"/>
                <w:lang w:val="en-US" w:eastAsia="zh-CN" w:bidi="ar-SA"/>
              </w:rPr>
              <w:t>废活性炭管理台账：</w:t>
            </w:r>
            <w:r>
              <w:rPr>
                <w:rFonts w:hint="default" w:ascii="Times New Roman" w:hAnsi="Times New Roman" w:eastAsia="宋体" w:cs="Times New Roman"/>
                <w:color w:val="auto"/>
                <w:sz w:val="22"/>
                <w:szCs w:val="22"/>
                <w:highlight w:val="none"/>
              </w:rPr>
              <w:t>当活性炭吸附饱和后，将及时更换、补充新鲜的活性炭，以保证有机废气的稳定达标排放。</w:t>
            </w:r>
            <w:r>
              <w:rPr>
                <w:rFonts w:hint="eastAsia" w:ascii="Times New Roman" w:hAnsi="Times New Roman" w:eastAsia="宋体" w:cs="Times New Roman"/>
                <w:color w:val="auto"/>
                <w:sz w:val="22"/>
                <w:szCs w:val="22"/>
                <w:highlight w:val="none"/>
                <w:lang w:val="en-US" w:eastAsia="zh-CN"/>
              </w:rPr>
              <w:t>根据《排污许可管理条例》、《关于印发&lt;重点行业挥发性有机物综合治理方案&gt;的通知》（环大气[2019]53号）及《挥发性有机物治理实用手册》中的要求，排污单位应建立环境管理台账记录制度，对吸附剂种类及填装情况，一次性吸附剂更换时间和更换量，再生型吸附剂再生周期、更换情况，废吸附剂储存、处置情况，进行详细记录并妥善保存。环境管理台账记录保存期限不得少于5年。</w:t>
            </w:r>
          </w:p>
          <w:p>
            <w:pPr>
              <w:spacing w:line="360" w:lineRule="auto"/>
              <w:ind w:firstLine="480"/>
              <w:rPr>
                <w:rFonts w:hint="eastAsia" w:ascii="Times New Roman" w:hAnsi="Times New Roman" w:cs="Times New Roman"/>
                <w:b/>
                <w:bCs/>
                <w:color w:val="auto"/>
                <w:sz w:val="22"/>
                <w:szCs w:val="22"/>
                <w:highlight w:val="none"/>
                <w:lang w:val="en-US" w:eastAsia="zh-CN"/>
              </w:rPr>
            </w:pPr>
          </w:p>
          <w:p>
            <w:pPr>
              <w:spacing w:line="360" w:lineRule="auto"/>
              <w:ind w:firstLine="480"/>
              <w:rPr>
                <w:rFonts w:hint="eastAsia" w:ascii="Times New Roman" w:hAnsi="Times New Roman" w:cs="Times New Roman"/>
                <w:b/>
                <w:bCs/>
                <w:color w:val="auto"/>
                <w:sz w:val="22"/>
                <w:szCs w:val="22"/>
                <w:highlight w:val="none"/>
                <w:lang w:val="en-US" w:eastAsia="zh-CN"/>
              </w:rPr>
            </w:pPr>
          </w:p>
          <w:p>
            <w:pPr>
              <w:spacing w:line="360" w:lineRule="auto"/>
              <w:ind w:firstLine="480"/>
              <w:rPr>
                <w:rFonts w:hint="eastAsia" w:ascii="Times New Roman" w:hAnsi="Times New Roman" w:cs="Times New Roman"/>
                <w:b/>
                <w:bCs/>
                <w:color w:val="auto"/>
                <w:sz w:val="22"/>
                <w:szCs w:val="22"/>
                <w:highlight w:val="none"/>
                <w:lang w:val="en-US" w:eastAsia="zh-CN"/>
              </w:rPr>
            </w:pPr>
          </w:p>
          <w:p>
            <w:pPr>
              <w:spacing w:line="360" w:lineRule="auto"/>
              <w:ind w:firstLine="480"/>
              <w:rPr>
                <w:rFonts w:hint="eastAsia" w:ascii="Times New Roman" w:hAnsi="Times New Roman" w:cs="Times New Roman"/>
                <w:b/>
                <w:bCs/>
                <w:color w:val="auto"/>
                <w:sz w:val="22"/>
                <w:szCs w:val="22"/>
                <w:highlight w:val="none"/>
                <w:lang w:val="en-US" w:eastAsia="zh-CN"/>
              </w:rPr>
            </w:pPr>
          </w:p>
          <w:p>
            <w:pPr>
              <w:spacing w:line="360" w:lineRule="auto"/>
              <w:ind w:firstLine="480"/>
              <w:rPr>
                <w:rFonts w:hint="default" w:ascii="Times New Roman" w:hAnsi="Times New Roman" w:cs="Times New Roman"/>
                <w:b/>
                <w:bCs/>
                <w:color w:val="auto"/>
                <w:sz w:val="22"/>
                <w:szCs w:val="22"/>
                <w:highlight w:val="none"/>
                <w:lang w:val="en-US" w:eastAsia="zh-CN"/>
              </w:rPr>
            </w:pPr>
            <w:r>
              <w:rPr>
                <w:rFonts w:hint="eastAsia" w:ascii="Times New Roman" w:hAnsi="Times New Roman" w:cs="Times New Roman"/>
                <w:b/>
                <w:bCs/>
                <w:color w:val="auto"/>
                <w:sz w:val="22"/>
                <w:szCs w:val="22"/>
                <w:highlight w:val="none"/>
                <w:lang w:val="en-US" w:eastAsia="zh-CN"/>
              </w:rPr>
              <w:t>1.3非正常工况下废气排放</w:t>
            </w:r>
          </w:p>
          <w:p>
            <w:pPr>
              <w:spacing w:line="360" w:lineRule="auto"/>
              <w:ind w:firstLine="480"/>
              <w:rPr>
                <w:rFonts w:hint="eastAsia" w:ascii="Times New Roman" w:hAnsi="Times New Roman" w:cs="Times New Roman"/>
                <w:color w:val="auto"/>
                <w:kern w:val="2"/>
                <w:sz w:val="22"/>
                <w:szCs w:val="21"/>
                <w:highlight w:val="none"/>
                <w:lang w:val="en-US" w:eastAsia="zh-CN" w:bidi="ar-SA"/>
              </w:rPr>
            </w:pPr>
            <w:r>
              <w:rPr>
                <w:rFonts w:hint="eastAsia" w:ascii="Times New Roman" w:hAnsi="Times New Roman" w:cs="Times New Roman"/>
                <w:color w:val="auto"/>
                <w:kern w:val="2"/>
                <w:sz w:val="22"/>
                <w:szCs w:val="21"/>
                <w:highlight w:val="none"/>
                <w:lang w:val="en-US" w:eastAsia="zh-CN" w:bidi="ar-SA"/>
              </w:rPr>
              <w:t>项目非正常工况主要为有机废气处理设施发生故障导致，排放情况如下：</w:t>
            </w:r>
          </w:p>
          <w:p>
            <w:pPr>
              <w:pStyle w:val="35"/>
              <w:jc w:val="center"/>
              <w:rPr>
                <w:rFonts w:hint="eastAsia" w:eastAsia="宋体"/>
                <w:highlight w:val="none"/>
                <w:lang w:val="en-US" w:eastAsia="zh-CN"/>
              </w:rPr>
            </w:pPr>
            <w:r>
              <w:rPr>
                <w:rFonts w:hint="default" w:ascii="Times New Roman" w:hAnsi="Times New Roman" w:cs="Times New Roman"/>
                <w:b/>
                <w:color w:val="auto"/>
                <w:kern w:val="2"/>
                <w:sz w:val="21"/>
                <w:szCs w:val="21"/>
                <w:highlight w:val="none"/>
              </w:rPr>
              <w:t>表4-</w:t>
            </w:r>
            <w:r>
              <w:rPr>
                <w:rFonts w:hint="eastAsia" w:ascii="Times New Roman" w:hAnsi="Times New Roman" w:cs="Times New Roman"/>
                <w:b/>
                <w:color w:val="auto"/>
                <w:kern w:val="2"/>
                <w:sz w:val="21"/>
                <w:szCs w:val="21"/>
                <w:highlight w:val="none"/>
                <w:lang w:val="en-US" w:eastAsia="zh-CN"/>
              </w:rPr>
              <w:t>3</w:t>
            </w:r>
            <w:r>
              <w:rPr>
                <w:rFonts w:hint="eastAsia" w:ascii="Times New Roman" w:hAnsi="Times New Roman" w:cs="Times New Roman"/>
                <w:b/>
                <w:color w:val="auto"/>
                <w:kern w:val="2"/>
                <w:sz w:val="21"/>
                <w:szCs w:val="21"/>
                <w:highlight w:val="none"/>
                <w:lang w:eastAsia="zh-CN"/>
              </w:rPr>
              <w:t>项目非正常工况下废气排放情况</w:t>
            </w:r>
          </w:p>
          <w:tbl>
            <w:tblPr>
              <w:tblStyle w:val="43"/>
              <w:tblW w:w="77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1"/>
              <w:gridCol w:w="1962"/>
              <w:gridCol w:w="1539"/>
              <w:gridCol w:w="1500"/>
              <w:gridCol w:w="14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1251" w:type="dxa"/>
                  <w:noWrap w:val="0"/>
                  <w:vAlign w:val="center"/>
                </w:tcPr>
                <w:p>
                  <w:pPr>
                    <w:jc w:val="center"/>
                    <w:rPr>
                      <w:rFonts w:hint="default" w:ascii="Times New Roman" w:hAnsi="Times New Roman" w:cs="Times New Roman"/>
                      <w:color w:val="auto"/>
                      <w:szCs w:val="22"/>
                      <w:highlight w:val="none"/>
                      <w:lang w:val="en-US" w:eastAsia="zh-CN"/>
                    </w:rPr>
                  </w:pPr>
                  <w:r>
                    <w:rPr>
                      <w:rFonts w:hint="eastAsia" w:ascii="Times New Roman" w:hAnsi="Times New Roman" w:cs="Times New Roman"/>
                      <w:color w:val="auto"/>
                      <w:szCs w:val="22"/>
                      <w:highlight w:val="none"/>
                      <w:lang w:val="en-US" w:eastAsia="zh-CN"/>
                    </w:rPr>
                    <w:t>非正常排放源</w:t>
                  </w:r>
                </w:p>
              </w:tc>
              <w:tc>
                <w:tcPr>
                  <w:tcW w:w="1962" w:type="dxa"/>
                  <w:noWrap w:val="0"/>
                  <w:vAlign w:val="center"/>
                </w:tcPr>
                <w:p>
                  <w:pPr>
                    <w:jc w:val="center"/>
                    <w:rPr>
                      <w:rFonts w:hint="default" w:ascii="Times New Roman" w:hAnsi="Times New Roman" w:cs="Times New Roman"/>
                      <w:color w:val="auto"/>
                      <w:szCs w:val="22"/>
                      <w:highlight w:val="none"/>
                      <w:lang w:val="en-US" w:eastAsia="zh-CN"/>
                    </w:rPr>
                  </w:pPr>
                  <w:r>
                    <w:rPr>
                      <w:rFonts w:hint="eastAsia" w:ascii="Times New Roman" w:hAnsi="Times New Roman" w:cs="Times New Roman"/>
                      <w:color w:val="auto"/>
                      <w:szCs w:val="22"/>
                      <w:highlight w:val="none"/>
                      <w:lang w:val="en-US" w:eastAsia="zh-CN"/>
                    </w:rPr>
                    <w:t>非正常排放原因</w:t>
                  </w:r>
                </w:p>
              </w:tc>
              <w:tc>
                <w:tcPr>
                  <w:tcW w:w="1539" w:type="dxa"/>
                  <w:noWrap w:val="0"/>
                  <w:vAlign w:val="center"/>
                </w:tcPr>
                <w:p>
                  <w:pPr>
                    <w:jc w:val="center"/>
                    <w:rPr>
                      <w:rFonts w:hint="default" w:ascii="Times New Roman" w:hAnsi="Times New Roman" w:cs="Times New Roman"/>
                      <w:color w:val="auto"/>
                      <w:szCs w:val="22"/>
                      <w:highlight w:val="none"/>
                      <w:lang w:val="en-US" w:eastAsia="zh-CN"/>
                    </w:rPr>
                  </w:pPr>
                  <w:r>
                    <w:rPr>
                      <w:rFonts w:hint="eastAsia" w:ascii="Times New Roman" w:hAnsi="Times New Roman" w:cs="Times New Roman"/>
                      <w:color w:val="auto"/>
                      <w:szCs w:val="22"/>
                      <w:highlight w:val="none"/>
                      <w:lang w:val="en-US" w:eastAsia="zh-CN"/>
                    </w:rPr>
                    <w:t>污染物</w:t>
                  </w:r>
                </w:p>
              </w:tc>
              <w:tc>
                <w:tcPr>
                  <w:tcW w:w="1500" w:type="dxa"/>
                  <w:noWrap w:val="0"/>
                  <w:vAlign w:val="center"/>
                </w:tcPr>
                <w:p>
                  <w:pPr>
                    <w:jc w:val="center"/>
                    <w:rPr>
                      <w:rFonts w:hint="default" w:ascii="Times New Roman" w:hAnsi="Times New Roman" w:cs="Times New Roman"/>
                      <w:color w:val="auto"/>
                      <w:szCs w:val="22"/>
                      <w:highlight w:val="none"/>
                      <w:lang w:val="en-US" w:eastAsia="zh-CN"/>
                    </w:rPr>
                  </w:pPr>
                  <w:r>
                    <w:rPr>
                      <w:rFonts w:hint="eastAsia" w:ascii="Times New Roman" w:hAnsi="Times New Roman" w:cs="Times New Roman"/>
                      <w:color w:val="auto"/>
                      <w:szCs w:val="22"/>
                      <w:highlight w:val="none"/>
                      <w:lang w:val="en-US" w:eastAsia="zh-CN"/>
                    </w:rPr>
                    <w:t>非正常排放浓度</w:t>
                  </w:r>
                  <w:r>
                    <w:rPr>
                      <w:rFonts w:hint="eastAsia" w:ascii="Times New Roman" w:hAnsi="Times New Roman" w:cs="Times New Roman"/>
                      <w:color w:val="auto"/>
                      <w:highlight w:val="none"/>
                      <w:lang w:val="en-US" w:eastAsia="zh-CN"/>
                    </w:rPr>
                    <w:t>mg/m</w:t>
                  </w:r>
                  <w:r>
                    <w:rPr>
                      <w:rFonts w:hint="eastAsia" w:ascii="Times New Roman" w:hAnsi="Times New Roman" w:cs="Times New Roman"/>
                      <w:color w:val="auto"/>
                      <w:highlight w:val="none"/>
                      <w:vertAlign w:val="superscript"/>
                      <w:lang w:val="en-US" w:eastAsia="zh-CN"/>
                    </w:rPr>
                    <w:t>3</w:t>
                  </w:r>
                </w:p>
              </w:tc>
              <w:tc>
                <w:tcPr>
                  <w:tcW w:w="1466" w:type="dxa"/>
                  <w:noWrap w:val="0"/>
                  <w:vAlign w:val="center"/>
                </w:tcPr>
                <w:p>
                  <w:pPr>
                    <w:jc w:val="center"/>
                    <w:rPr>
                      <w:rFonts w:hint="eastAsia" w:ascii="Times New Roman" w:hAnsi="Times New Roman" w:cs="Times New Roman"/>
                      <w:color w:val="auto"/>
                      <w:szCs w:val="22"/>
                      <w:highlight w:val="none"/>
                      <w:lang w:val="en-US" w:eastAsia="zh-CN"/>
                    </w:rPr>
                  </w:pPr>
                  <w:r>
                    <w:rPr>
                      <w:rFonts w:hint="eastAsia" w:ascii="Times New Roman" w:hAnsi="Times New Roman" w:cs="Times New Roman"/>
                      <w:color w:val="auto"/>
                      <w:szCs w:val="22"/>
                      <w:highlight w:val="none"/>
                      <w:lang w:val="en-US" w:eastAsia="zh-CN"/>
                    </w:rPr>
                    <w:t>非正常排放速率kg/h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1251" w:type="dxa"/>
                  <w:noWrap w:val="0"/>
                  <w:vAlign w:val="center"/>
                </w:tcPr>
                <w:p>
                  <w:pPr>
                    <w:jc w:val="center"/>
                    <w:rPr>
                      <w:rFonts w:hint="default" w:ascii="Times New Roman" w:hAnsi="Times New Roman" w:cs="Times New Roman"/>
                      <w:color w:val="auto"/>
                      <w:szCs w:val="22"/>
                      <w:highlight w:val="none"/>
                      <w:lang w:val="en-US" w:eastAsia="zh-CN"/>
                    </w:rPr>
                  </w:pPr>
                  <w:r>
                    <w:rPr>
                      <w:rFonts w:hint="eastAsia" w:ascii="Times New Roman" w:hAnsi="Times New Roman" w:cs="Times New Roman"/>
                      <w:color w:val="auto"/>
                      <w:szCs w:val="22"/>
                      <w:highlight w:val="none"/>
                      <w:lang w:val="en-US" w:eastAsia="zh-CN"/>
                    </w:rPr>
                    <w:t>DA001</w:t>
                  </w:r>
                </w:p>
              </w:tc>
              <w:tc>
                <w:tcPr>
                  <w:tcW w:w="1962" w:type="dxa"/>
                  <w:noWrap w:val="0"/>
                  <w:vAlign w:val="center"/>
                </w:tcPr>
                <w:p>
                  <w:pPr>
                    <w:jc w:val="center"/>
                    <w:rPr>
                      <w:rFonts w:hint="default" w:ascii="Times New Roman" w:hAnsi="Times New Roman" w:cs="Times New Roman"/>
                      <w:color w:val="auto"/>
                      <w:szCs w:val="22"/>
                      <w:highlight w:val="none"/>
                      <w:lang w:val="en-US" w:eastAsia="zh-CN"/>
                    </w:rPr>
                  </w:pPr>
                  <w:r>
                    <w:rPr>
                      <w:rFonts w:hint="eastAsia" w:ascii="Times New Roman" w:hAnsi="Times New Roman" w:cs="Times New Roman"/>
                      <w:color w:val="auto"/>
                      <w:szCs w:val="22"/>
                      <w:highlight w:val="none"/>
                      <w:lang w:val="en-US" w:eastAsia="zh-CN"/>
                    </w:rPr>
                    <w:t>水帘柜+干式过滤+两级活性炭发生故障，去除率为0</w:t>
                  </w:r>
                </w:p>
              </w:tc>
              <w:tc>
                <w:tcPr>
                  <w:tcW w:w="153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color w:val="auto"/>
                      <w:szCs w:val="22"/>
                      <w:highlight w:val="none"/>
                      <w:lang w:val="en-US" w:eastAsia="zh-CN"/>
                    </w:rPr>
                  </w:pPr>
                  <w:r>
                    <w:rPr>
                      <w:rFonts w:hint="eastAsia" w:ascii="Times New Roman" w:hAnsi="Times New Roman" w:cs="Times New Roman"/>
                      <w:color w:val="auto"/>
                      <w:sz w:val="20"/>
                      <w:szCs w:val="21"/>
                      <w:highlight w:val="none"/>
                      <w:lang w:val="en-US" w:eastAsia="zh-CN"/>
                    </w:rPr>
                    <w:t>VOCs</w:t>
                  </w:r>
                </w:p>
              </w:tc>
              <w:tc>
                <w:tcPr>
                  <w:tcW w:w="150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color w:val="auto"/>
                      <w:szCs w:val="22"/>
                      <w:highlight w:val="none"/>
                      <w:lang w:val="en-US" w:eastAsia="zh-CN"/>
                    </w:rPr>
                  </w:pPr>
                  <w:r>
                    <w:rPr>
                      <w:rFonts w:hint="eastAsia" w:ascii="Times New Roman" w:hAnsi="Times New Roman" w:cs="Times New Roman"/>
                      <w:color w:val="auto"/>
                      <w:sz w:val="20"/>
                      <w:szCs w:val="21"/>
                      <w:highlight w:val="none"/>
                      <w:lang w:val="en-US" w:eastAsia="zh-CN"/>
                    </w:rPr>
                    <w:t>3.89</w:t>
                  </w:r>
                </w:p>
              </w:tc>
              <w:tc>
                <w:tcPr>
                  <w:tcW w:w="146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color w:val="auto"/>
                      <w:sz w:val="20"/>
                      <w:szCs w:val="21"/>
                      <w:highlight w:val="none"/>
                      <w:lang w:val="en-US" w:eastAsia="zh-CN"/>
                    </w:rPr>
                  </w:pPr>
                  <w:r>
                    <w:rPr>
                      <w:rFonts w:hint="eastAsia" w:ascii="Times New Roman" w:hAnsi="Times New Roman" w:cs="Times New Roman"/>
                      <w:color w:val="auto"/>
                      <w:sz w:val="20"/>
                      <w:szCs w:val="21"/>
                      <w:highlight w:val="none"/>
                      <w:lang w:val="en-US" w:eastAsia="zh-CN"/>
                    </w:rPr>
                    <w:t>0.0117</w:t>
                  </w:r>
                </w:p>
              </w:tc>
            </w:tr>
          </w:tbl>
          <w:p>
            <w:pPr>
              <w:adjustRightInd w:val="0"/>
              <w:spacing w:line="360" w:lineRule="auto"/>
              <w:ind w:firstLine="440" w:firstLineChars="200"/>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eastAsia="zh-CN"/>
              </w:rPr>
              <w:t>由</w:t>
            </w:r>
            <w:r>
              <w:rPr>
                <w:rFonts w:hint="eastAsia" w:ascii="Times New Roman" w:hAnsi="Times New Roman" w:eastAsia="宋体" w:cs="Times New Roman"/>
                <w:color w:val="auto"/>
                <w:sz w:val="22"/>
                <w:szCs w:val="22"/>
                <w:highlight w:val="none"/>
                <w:lang w:val="en-US" w:eastAsia="zh-CN"/>
              </w:rPr>
              <w:t>上表可知，</w:t>
            </w:r>
            <w:r>
              <w:rPr>
                <w:rFonts w:hint="eastAsia" w:ascii="Times New Roman" w:hAnsi="Times New Roman" w:eastAsia="宋体" w:cs="Times New Roman"/>
                <w:color w:val="auto"/>
                <w:sz w:val="22"/>
                <w:szCs w:val="22"/>
                <w:highlight w:val="none"/>
                <w:lang w:eastAsia="zh-CN"/>
              </w:rPr>
              <w:t>若</w:t>
            </w:r>
            <w:r>
              <w:rPr>
                <w:rFonts w:hint="eastAsia" w:ascii="Times New Roman" w:hAnsi="Times New Roman" w:cs="Times New Roman"/>
                <w:color w:val="auto"/>
                <w:kern w:val="2"/>
                <w:sz w:val="22"/>
                <w:szCs w:val="21"/>
                <w:highlight w:val="none"/>
                <w:lang w:val="en-US" w:eastAsia="zh-CN" w:bidi="ar-SA"/>
              </w:rPr>
              <w:t>有机废气处理设施发生故障导致其污染物去除率为0，则污染物排放量会增加，对周围大气环境造成影响。因此项目开始运营后，一定要加强对有机废气处理设施的日常巡检和管理，避免事故性排放，废气处理设施检修时</w:t>
            </w:r>
            <w:r>
              <w:rPr>
                <w:rFonts w:hint="eastAsia" w:ascii="Times New Roman" w:hAnsi="Times New Roman" w:eastAsia="宋体" w:cs="Times New Roman"/>
                <w:color w:val="auto"/>
                <w:kern w:val="2"/>
                <w:sz w:val="22"/>
                <w:szCs w:val="21"/>
                <w:highlight w:val="none"/>
                <w:lang w:val="en-US" w:eastAsia="zh-CN" w:bidi="ar-SA"/>
              </w:rPr>
              <w:t>，将立即通知停止废气污染物产生的生产工序，待废气处理设施正常运行后才能恢复工作</w:t>
            </w:r>
            <w:r>
              <w:rPr>
                <w:rFonts w:hint="eastAsia" w:ascii="Times New Roman" w:hAnsi="Times New Roman" w:cs="Times New Roman"/>
                <w:color w:val="auto"/>
                <w:kern w:val="2"/>
                <w:sz w:val="22"/>
                <w:szCs w:val="21"/>
                <w:highlight w:val="none"/>
                <w:lang w:val="en-US" w:eastAsia="zh-CN" w:bidi="ar-SA"/>
              </w:rPr>
              <w:t>。</w:t>
            </w:r>
          </w:p>
          <w:p>
            <w:pPr>
              <w:spacing w:line="360" w:lineRule="auto"/>
              <w:ind w:firstLine="442" w:firstLineChars="200"/>
              <w:rPr>
                <w:rFonts w:hint="default" w:ascii="Times New Roman" w:hAnsi="Times New Roman" w:cs="Times New Roman"/>
                <w:b/>
                <w:bCs/>
                <w:color w:val="auto"/>
                <w:sz w:val="22"/>
                <w:szCs w:val="21"/>
                <w:highlight w:val="none"/>
              </w:rPr>
            </w:pPr>
            <w:r>
              <w:rPr>
                <w:rFonts w:hint="default" w:ascii="Times New Roman" w:hAnsi="Times New Roman" w:cs="Times New Roman"/>
                <w:b/>
                <w:bCs/>
                <w:color w:val="auto"/>
                <w:sz w:val="22"/>
                <w:szCs w:val="21"/>
                <w:highlight w:val="none"/>
              </w:rPr>
              <w:t>1.</w:t>
            </w:r>
            <w:r>
              <w:rPr>
                <w:rFonts w:hint="eastAsia" w:ascii="Times New Roman" w:hAnsi="Times New Roman" w:cs="Times New Roman"/>
                <w:b/>
                <w:bCs/>
                <w:color w:val="auto"/>
                <w:sz w:val="22"/>
                <w:szCs w:val="21"/>
                <w:highlight w:val="none"/>
                <w:lang w:val="en-US" w:eastAsia="zh-CN"/>
              </w:rPr>
              <w:t>4</w:t>
            </w:r>
            <w:r>
              <w:rPr>
                <w:rFonts w:hint="default" w:ascii="Times New Roman" w:hAnsi="Times New Roman" w:cs="Times New Roman"/>
                <w:b/>
                <w:bCs/>
                <w:color w:val="auto"/>
                <w:sz w:val="22"/>
                <w:szCs w:val="21"/>
                <w:highlight w:val="none"/>
              </w:rPr>
              <w:t xml:space="preserve"> 监测要求</w:t>
            </w:r>
          </w:p>
          <w:p>
            <w:pPr>
              <w:adjustRightInd w:val="0"/>
              <w:spacing w:line="360" w:lineRule="auto"/>
              <w:ind w:firstLine="440" w:firstLineChars="200"/>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lang w:eastAsia="zh-CN"/>
              </w:rPr>
              <w:t>本次参照</w:t>
            </w:r>
            <w:r>
              <w:rPr>
                <w:rFonts w:hint="default" w:ascii="Times New Roman" w:hAnsi="Times New Roman" w:cs="Times New Roman"/>
                <w:color w:val="auto"/>
                <w:sz w:val="22"/>
                <w:szCs w:val="22"/>
                <w:highlight w:val="none"/>
              </w:rPr>
              <w:t xml:space="preserve">《排污单位自行监测技术指南 </w:t>
            </w:r>
            <w:r>
              <w:rPr>
                <w:rFonts w:hint="default" w:ascii="Times New Roman" w:hAnsi="Times New Roman" w:cs="Times New Roman"/>
                <w:color w:val="auto"/>
                <w:sz w:val="22"/>
                <w:szCs w:val="22"/>
                <w:highlight w:val="none"/>
                <w:lang w:val="en-US" w:eastAsia="zh-CN"/>
              </w:rPr>
              <w:t>涂装</w:t>
            </w:r>
            <w:r>
              <w:rPr>
                <w:rFonts w:hint="default" w:ascii="Times New Roman" w:hAnsi="Times New Roman" w:cs="Times New Roman"/>
                <w:color w:val="auto"/>
                <w:sz w:val="22"/>
                <w:szCs w:val="22"/>
                <w:highlight w:val="none"/>
              </w:rPr>
              <w:t>》（HJ</w:t>
            </w:r>
            <w:r>
              <w:rPr>
                <w:rFonts w:hint="default" w:ascii="Times New Roman" w:hAnsi="Times New Roman" w:cs="Times New Roman"/>
                <w:color w:val="auto"/>
                <w:sz w:val="22"/>
                <w:szCs w:val="22"/>
                <w:highlight w:val="none"/>
                <w:lang w:val="en-US" w:eastAsia="zh-CN"/>
              </w:rPr>
              <w:t>1086</w:t>
            </w:r>
            <w:r>
              <w:rPr>
                <w:rFonts w:hint="default" w:ascii="Times New Roman" w:hAnsi="Times New Roman" w:cs="Times New Roman"/>
                <w:color w:val="auto"/>
                <w:sz w:val="22"/>
                <w:szCs w:val="22"/>
                <w:highlight w:val="none"/>
              </w:rPr>
              <w:t>-20</w:t>
            </w:r>
            <w:r>
              <w:rPr>
                <w:rFonts w:hint="default" w:ascii="Times New Roman" w:hAnsi="Times New Roman" w:cs="Times New Roman"/>
                <w:color w:val="auto"/>
                <w:sz w:val="22"/>
                <w:szCs w:val="22"/>
                <w:highlight w:val="none"/>
                <w:lang w:val="en-US" w:eastAsia="zh-CN"/>
              </w:rPr>
              <w:t>20</w:t>
            </w:r>
            <w:r>
              <w:rPr>
                <w:rFonts w:hint="default" w:ascii="Times New Roman" w:hAnsi="Times New Roman" w:cs="Times New Roman"/>
                <w:color w:val="auto"/>
                <w:sz w:val="22"/>
                <w:szCs w:val="22"/>
                <w:highlight w:val="none"/>
              </w:rPr>
              <w:t>）</w:t>
            </w:r>
            <w:r>
              <w:rPr>
                <w:rFonts w:hint="default" w:ascii="Times New Roman" w:hAnsi="Times New Roman" w:cs="Times New Roman"/>
                <w:color w:val="auto"/>
                <w:sz w:val="22"/>
                <w:szCs w:val="22"/>
                <w:highlight w:val="none"/>
                <w:lang w:val="en-US" w:eastAsia="zh-CN"/>
              </w:rPr>
              <w:t>和</w:t>
            </w:r>
            <w:r>
              <w:rPr>
                <w:rFonts w:hint="default" w:ascii="Times New Roman" w:hAnsi="Times New Roman" w:cs="Times New Roman"/>
                <w:color w:val="auto"/>
                <w:sz w:val="22"/>
                <w:szCs w:val="22"/>
                <w:highlight w:val="none"/>
              </w:rPr>
              <w:t xml:space="preserve">《排污单位自行监测技术指南 </w:t>
            </w:r>
            <w:r>
              <w:rPr>
                <w:rFonts w:hint="default" w:ascii="Times New Roman" w:hAnsi="Times New Roman" w:cs="Times New Roman"/>
                <w:color w:val="auto"/>
                <w:sz w:val="22"/>
                <w:szCs w:val="22"/>
                <w:highlight w:val="none"/>
                <w:lang w:val="en-US" w:eastAsia="zh-CN"/>
              </w:rPr>
              <w:t>总则</w:t>
            </w:r>
            <w:r>
              <w:rPr>
                <w:rFonts w:hint="default" w:ascii="Times New Roman" w:hAnsi="Times New Roman" w:cs="Times New Roman"/>
                <w:color w:val="auto"/>
                <w:sz w:val="22"/>
                <w:szCs w:val="22"/>
                <w:highlight w:val="none"/>
              </w:rPr>
              <w:t>》（HJ</w:t>
            </w:r>
            <w:r>
              <w:rPr>
                <w:rFonts w:hint="default" w:ascii="Times New Roman" w:hAnsi="Times New Roman" w:cs="Times New Roman"/>
                <w:color w:val="auto"/>
                <w:sz w:val="22"/>
                <w:szCs w:val="22"/>
                <w:highlight w:val="none"/>
                <w:lang w:val="en-US" w:eastAsia="zh-CN"/>
              </w:rPr>
              <w:t>819</w:t>
            </w:r>
            <w:r>
              <w:rPr>
                <w:rFonts w:hint="default" w:ascii="Times New Roman" w:hAnsi="Times New Roman" w:cs="Times New Roman"/>
                <w:color w:val="auto"/>
                <w:sz w:val="22"/>
                <w:szCs w:val="22"/>
                <w:highlight w:val="none"/>
              </w:rPr>
              <w:t>-20</w:t>
            </w:r>
            <w:r>
              <w:rPr>
                <w:rFonts w:hint="default" w:ascii="Times New Roman" w:hAnsi="Times New Roman" w:cs="Times New Roman"/>
                <w:color w:val="auto"/>
                <w:sz w:val="22"/>
                <w:szCs w:val="22"/>
                <w:highlight w:val="none"/>
                <w:lang w:val="en-US" w:eastAsia="zh-CN"/>
              </w:rPr>
              <w:t>17</w:t>
            </w:r>
            <w:r>
              <w:rPr>
                <w:rFonts w:hint="default" w:ascii="Times New Roman" w:hAnsi="Times New Roman" w:cs="Times New Roman"/>
                <w:color w:val="auto"/>
                <w:sz w:val="22"/>
                <w:szCs w:val="22"/>
                <w:highlight w:val="none"/>
              </w:rPr>
              <w:t>）提出项目生产运行阶段污染源监测计划：</w:t>
            </w:r>
          </w:p>
          <w:p>
            <w:pPr>
              <w:pStyle w:val="14"/>
              <w:tabs>
                <w:tab w:val="left" w:pos="1425"/>
              </w:tabs>
              <w:spacing w:before="0" w:after="0" w:line="240" w:lineRule="auto"/>
              <w:ind w:right="0"/>
              <w:jc w:val="center"/>
              <w:outlineLvl w:val="0"/>
              <w:rPr>
                <w:rFonts w:hint="default" w:ascii="Times New Roman" w:hAnsi="Times New Roman" w:cs="Times New Roman"/>
                <w:b/>
                <w:color w:val="auto"/>
                <w:kern w:val="2"/>
                <w:sz w:val="21"/>
                <w:szCs w:val="21"/>
                <w:highlight w:val="none"/>
                <w:lang w:val="zh-CN"/>
              </w:rPr>
            </w:pPr>
            <w:bookmarkStart w:id="164" w:name="_Toc26927"/>
            <w:bookmarkStart w:id="165" w:name="_Toc32413"/>
            <w:bookmarkStart w:id="166" w:name="_Toc18335"/>
            <w:r>
              <w:rPr>
                <w:rFonts w:hint="default" w:ascii="Times New Roman" w:hAnsi="Times New Roman" w:cs="Times New Roman"/>
                <w:b/>
                <w:color w:val="auto"/>
                <w:kern w:val="2"/>
                <w:sz w:val="21"/>
                <w:szCs w:val="21"/>
                <w:highlight w:val="none"/>
              </w:rPr>
              <w:t>表4-</w:t>
            </w:r>
            <w:r>
              <w:rPr>
                <w:rFonts w:hint="eastAsia" w:ascii="Times New Roman" w:hAnsi="Times New Roman" w:cs="Times New Roman"/>
                <w:b/>
                <w:color w:val="auto"/>
                <w:kern w:val="2"/>
                <w:sz w:val="21"/>
                <w:szCs w:val="21"/>
                <w:highlight w:val="none"/>
                <w:lang w:val="en-US" w:eastAsia="zh-CN"/>
              </w:rPr>
              <w:t>4</w:t>
            </w:r>
            <w:r>
              <w:rPr>
                <w:rFonts w:hint="default" w:ascii="Times New Roman" w:hAnsi="Times New Roman" w:cs="Times New Roman"/>
                <w:b/>
                <w:color w:val="auto"/>
                <w:kern w:val="2"/>
                <w:sz w:val="21"/>
                <w:szCs w:val="21"/>
                <w:highlight w:val="none"/>
              </w:rPr>
              <w:t xml:space="preserve"> </w:t>
            </w:r>
            <w:r>
              <w:rPr>
                <w:rFonts w:hint="default" w:ascii="Times New Roman" w:hAnsi="Times New Roman" w:cs="Times New Roman"/>
                <w:b/>
                <w:color w:val="auto"/>
                <w:kern w:val="2"/>
                <w:sz w:val="21"/>
                <w:szCs w:val="21"/>
                <w:highlight w:val="none"/>
                <w:lang w:val="zh-CN"/>
              </w:rPr>
              <w:t>环境监测计划</w:t>
            </w:r>
            <w:bookmarkEnd w:id="164"/>
            <w:bookmarkEnd w:id="165"/>
            <w:bookmarkEnd w:id="166"/>
          </w:p>
          <w:tbl>
            <w:tblPr>
              <w:tblStyle w:val="42"/>
              <w:tblW w:w="79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0"/>
              <w:gridCol w:w="1419"/>
              <w:gridCol w:w="1403"/>
              <w:gridCol w:w="1385"/>
              <w:gridCol w:w="26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20" w:type="dxa"/>
                  <w:noWrap w:val="0"/>
                  <w:vAlign w:val="center"/>
                </w:tcPr>
                <w:p>
                  <w:pPr>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监测项目</w:t>
                  </w:r>
                </w:p>
              </w:tc>
              <w:tc>
                <w:tcPr>
                  <w:tcW w:w="1419" w:type="dxa"/>
                  <w:noWrap w:val="0"/>
                  <w:vAlign w:val="center"/>
                </w:tcPr>
                <w:p>
                  <w:pPr>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监测点位</w:t>
                  </w:r>
                </w:p>
              </w:tc>
              <w:tc>
                <w:tcPr>
                  <w:tcW w:w="1403" w:type="dxa"/>
                  <w:noWrap w:val="0"/>
                  <w:vAlign w:val="center"/>
                </w:tcPr>
                <w:p>
                  <w:pPr>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监测因子</w:t>
                  </w:r>
                </w:p>
              </w:tc>
              <w:tc>
                <w:tcPr>
                  <w:tcW w:w="1385" w:type="dxa"/>
                  <w:noWrap w:val="0"/>
                  <w:vAlign w:val="center"/>
                </w:tcPr>
                <w:p>
                  <w:pPr>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监测频率</w:t>
                  </w:r>
                </w:p>
              </w:tc>
              <w:tc>
                <w:tcPr>
                  <w:tcW w:w="2666" w:type="dxa"/>
                  <w:noWrap w:val="0"/>
                  <w:vAlign w:val="center"/>
                </w:tcPr>
                <w:p>
                  <w:pPr>
                    <w:adjustRightInd w:val="0"/>
                    <w:snapToGrid w:val="0"/>
                    <w:jc w:val="center"/>
                    <w:rPr>
                      <w:rFonts w:hint="default" w:ascii="Times New Roman" w:hAnsi="Times New Roman" w:eastAsia="宋体" w:cs="Times New Roman"/>
                      <w:b/>
                      <w:bCs/>
                      <w:color w:val="auto"/>
                      <w:szCs w:val="21"/>
                      <w:highlight w:val="none"/>
                      <w:lang w:eastAsia="zh-CN"/>
                    </w:rPr>
                  </w:pPr>
                  <w:r>
                    <w:rPr>
                      <w:rFonts w:hint="default" w:ascii="Times New Roman" w:hAnsi="Times New Roman" w:cs="Times New Roman"/>
                      <w:b/>
                      <w:bCs/>
                      <w:color w:val="auto"/>
                      <w:szCs w:val="21"/>
                      <w:highlight w:val="none"/>
                      <w:lang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1120" w:type="dxa"/>
                  <w:vMerge w:val="restart"/>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废气监测</w:t>
                  </w:r>
                </w:p>
              </w:tc>
              <w:tc>
                <w:tcPr>
                  <w:tcW w:w="1419" w:type="dxa"/>
                  <w:vMerge w:val="restart"/>
                  <w:noWrap w:val="0"/>
                  <w:vAlign w:val="center"/>
                </w:tcPr>
                <w:p>
                  <w:pPr>
                    <w:adjustRightInd w:val="0"/>
                    <w:snapToGrid w:val="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DA00</w:t>
                  </w:r>
                  <w:r>
                    <w:rPr>
                      <w:rFonts w:hint="eastAsia" w:ascii="Times New Roman" w:hAnsi="Times New Roman" w:cs="Times New Roman"/>
                      <w:color w:val="auto"/>
                      <w:szCs w:val="21"/>
                      <w:highlight w:val="none"/>
                      <w:lang w:val="en-US" w:eastAsia="zh-CN"/>
                    </w:rPr>
                    <w:t>1</w:t>
                  </w:r>
                </w:p>
              </w:tc>
              <w:tc>
                <w:tcPr>
                  <w:tcW w:w="1403" w:type="dxa"/>
                  <w:noWrap w:val="0"/>
                  <w:vAlign w:val="center"/>
                </w:tcPr>
                <w:p>
                  <w:pPr>
                    <w:adjustRightInd w:val="0"/>
                    <w:snapToGrid w:val="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VOCs</w:t>
                  </w:r>
                  <w:r>
                    <w:rPr>
                      <w:rFonts w:hint="eastAsia" w:ascii="Times New Roman" w:hAnsi="Times New Roman" w:cs="Times New Roman"/>
                      <w:color w:val="auto"/>
                      <w:szCs w:val="21"/>
                      <w:highlight w:val="none"/>
                      <w:lang w:val="en-US" w:eastAsia="zh-CN"/>
                    </w:rPr>
                    <w:t>（以非甲烷总烃计）</w:t>
                  </w:r>
                </w:p>
              </w:tc>
              <w:tc>
                <w:tcPr>
                  <w:tcW w:w="1385" w:type="dxa"/>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1次/年</w:t>
                  </w:r>
                </w:p>
              </w:tc>
              <w:tc>
                <w:tcPr>
                  <w:tcW w:w="2666" w:type="dxa"/>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四川省固定污染源大气挥发性有机物排放标准》（DB51/2377-2017）表</w:t>
                  </w:r>
                  <w:r>
                    <w:rPr>
                      <w:rFonts w:hint="default" w:ascii="Times New Roman" w:hAnsi="Times New Roman" w:cs="Times New Roman"/>
                      <w:color w:val="auto"/>
                      <w:szCs w:val="21"/>
                      <w:highlight w:val="none"/>
                      <w:lang w:val="en-US" w:eastAsia="zh-CN"/>
                    </w:rPr>
                    <w:t>3</w:t>
                  </w:r>
                  <w:r>
                    <w:rPr>
                      <w:rFonts w:hint="default" w:ascii="Times New Roman" w:hAnsi="Times New Roman" w:cs="Times New Roman"/>
                      <w:color w:val="auto"/>
                      <w:szCs w:val="21"/>
                      <w:highlight w:val="none"/>
                    </w:rPr>
                    <w:t>排放限值要求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1120" w:type="dxa"/>
                  <w:vMerge w:val="continue"/>
                  <w:noWrap w:val="0"/>
                  <w:vAlign w:val="center"/>
                </w:tcPr>
                <w:p>
                  <w:pPr>
                    <w:adjustRightInd w:val="0"/>
                    <w:snapToGrid w:val="0"/>
                    <w:jc w:val="center"/>
                    <w:rPr>
                      <w:rFonts w:hint="default" w:ascii="Times New Roman" w:hAnsi="Times New Roman" w:cs="Times New Roman"/>
                      <w:color w:val="auto"/>
                      <w:szCs w:val="21"/>
                      <w:highlight w:val="none"/>
                    </w:rPr>
                  </w:pPr>
                </w:p>
              </w:tc>
              <w:tc>
                <w:tcPr>
                  <w:tcW w:w="1419" w:type="dxa"/>
                  <w:vMerge w:val="continue"/>
                  <w:noWrap w:val="0"/>
                  <w:vAlign w:val="center"/>
                </w:tcPr>
                <w:p>
                  <w:pPr>
                    <w:adjustRightInd w:val="0"/>
                    <w:snapToGrid w:val="0"/>
                    <w:jc w:val="center"/>
                    <w:rPr>
                      <w:rFonts w:hint="default" w:ascii="Times New Roman" w:hAnsi="Times New Roman" w:cs="Times New Roman"/>
                      <w:color w:val="auto"/>
                      <w:szCs w:val="21"/>
                      <w:highlight w:val="none"/>
                      <w:lang w:val="en-US" w:eastAsia="zh-CN"/>
                    </w:rPr>
                  </w:pPr>
                </w:p>
              </w:tc>
              <w:tc>
                <w:tcPr>
                  <w:tcW w:w="1403" w:type="dxa"/>
                  <w:noWrap w:val="0"/>
                  <w:vAlign w:val="center"/>
                </w:tcPr>
                <w:p>
                  <w:pPr>
                    <w:adjustRightInd w:val="0"/>
                    <w:snapToGrid w:val="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颗粒物</w:t>
                  </w:r>
                </w:p>
              </w:tc>
              <w:tc>
                <w:tcPr>
                  <w:tcW w:w="1385" w:type="dxa"/>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1次/年</w:t>
                  </w:r>
                </w:p>
              </w:tc>
              <w:tc>
                <w:tcPr>
                  <w:tcW w:w="2666" w:type="dxa"/>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《大气污染物综合排放标准》（GB16297-1996）表2排放限值要求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1120" w:type="dxa"/>
                  <w:vMerge w:val="continue"/>
                  <w:noWrap w:val="0"/>
                  <w:vAlign w:val="center"/>
                </w:tcPr>
                <w:p>
                  <w:pPr>
                    <w:adjustRightInd w:val="0"/>
                    <w:snapToGrid w:val="0"/>
                    <w:jc w:val="center"/>
                    <w:rPr>
                      <w:rFonts w:hint="default" w:ascii="Times New Roman" w:hAnsi="Times New Roman" w:cs="Times New Roman"/>
                      <w:color w:val="auto"/>
                      <w:szCs w:val="21"/>
                      <w:highlight w:val="none"/>
                    </w:rPr>
                  </w:pPr>
                </w:p>
              </w:tc>
              <w:tc>
                <w:tcPr>
                  <w:tcW w:w="1419" w:type="dxa"/>
                  <w:vMerge w:val="restart"/>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厂界无组织</w:t>
                  </w:r>
                </w:p>
              </w:tc>
              <w:tc>
                <w:tcPr>
                  <w:tcW w:w="1403" w:type="dxa"/>
                  <w:noWrap w:val="0"/>
                  <w:vAlign w:val="center"/>
                </w:tcPr>
                <w:p>
                  <w:pPr>
                    <w:adjustRightInd w:val="0"/>
                    <w:snapToGrid w:val="0"/>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lang w:val="en-US" w:eastAsia="zh-CN"/>
                    </w:rPr>
                    <w:t>VOCs</w:t>
                  </w:r>
                  <w:r>
                    <w:rPr>
                      <w:rFonts w:hint="eastAsia" w:ascii="Times New Roman" w:hAnsi="Times New Roman" w:cs="Times New Roman"/>
                      <w:color w:val="auto"/>
                      <w:szCs w:val="21"/>
                      <w:highlight w:val="none"/>
                      <w:lang w:val="en-US" w:eastAsia="zh-CN"/>
                    </w:rPr>
                    <w:t>（以非甲烷总烃计）</w:t>
                  </w:r>
                </w:p>
              </w:tc>
              <w:tc>
                <w:tcPr>
                  <w:tcW w:w="1385" w:type="dxa"/>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1次/</w:t>
                  </w:r>
                  <w:r>
                    <w:rPr>
                      <w:rFonts w:hint="default" w:ascii="Times New Roman" w:hAnsi="Times New Roman" w:cs="Times New Roman"/>
                      <w:color w:val="auto"/>
                      <w:szCs w:val="21"/>
                      <w:highlight w:val="none"/>
                      <w:lang w:val="en-US" w:eastAsia="zh-CN"/>
                    </w:rPr>
                    <w:t>半</w:t>
                  </w:r>
                  <w:r>
                    <w:rPr>
                      <w:rFonts w:hint="default" w:ascii="Times New Roman" w:hAnsi="Times New Roman" w:cs="Times New Roman"/>
                      <w:color w:val="auto"/>
                      <w:szCs w:val="21"/>
                      <w:highlight w:val="none"/>
                    </w:rPr>
                    <w:t>年</w:t>
                  </w:r>
                </w:p>
              </w:tc>
              <w:tc>
                <w:tcPr>
                  <w:tcW w:w="2666" w:type="dxa"/>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《四川省固定污染源大气挥发性有机物排放标准》（DB51/2377-2017）表5排放限值要求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120" w:type="dxa"/>
                  <w:vMerge w:val="continue"/>
                  <w:noWrap w:val="0"/>
                  <w:vAlign w:val="center"/>
                </w:tcPr>
                <w:p>
                  <w:pPr>
                    <w:adjustRightInd w:val="0"/>
                    <w:snapToGrid w:val="0"/>
                    <w:jc w:val="center"/>
                    <w:rPr>
                      <w:rFonts w:hint="default" w:ascii="Times New Roman" w:hAnsi="Times New Roman" w:cs="Times New Roman"/>
                      <w:color w:val="auto"/>
                      <w:szCs w:val="21"/>
                      <w:highlight w:val="none"/>
                    </w:rPr>
                  </w:pPr>
                </w:p>
              </w:tc>
              <w:tc>
                <w:tcPr>
                  <w:tcW w:w="1419" w:type="dxa"/>
                  <w:vMerge w:val="continue"/>
                  <w:noWrap w:val="0"/>
                  <w:vAlign w:val="center"/>
                </w:tcPr>
                <w:p>
                  <w:pPr>
                    <w:adjustRightInd w:val="0"/>
                    <w:snapToGrid w:val="0"/>
                    <w:jc w:val="center"/>
                    <w:rPr>
                      <w:rFonts w:hint="default" w:ascii="Times New Roman" w:hAnsi="Times New Roman" w:cs="Times New Roman"/>
                      <w:color w:val="auto"/>
                      <w:szCs w:val="21"/>
                      <w:highlight w:val="none"/>
                    </w:rPr>
                  </w:pPr>
                </w:p>
              </w:tc>
              <w:tc>
                <w:tcPr>
                  <w:tcW w:w="1403" w:type="dxa"/>
                  <w:noWrap w:val="0"/>
                  <w:vAlign w:val="center"/>
                </w:tcPr>
                <w:p>
                  <w:pPr>
                    <w:adjustRightInd w:val="0"/>
                    <w:snapToGrid w:val="0"/>
                    <w:jc w:val="center"/>
                    <w:rPr>
                      <w:rFonts w:hint="default" w:ascii="Times New Roman" w:hAnsi="Times New Roman" w:cs="Times New Roman"/>
                      <w:color w:val="auto"/>
                      <w:szCs w:val="21"/>
                      <w:highlight w:val="none"/>
                      <w:lang w:eastAsia="zh-CN"/>
                    </w:rPr>
                  </w:pPr>
                  <w:r>
                    <w:rPr>
                      <w:rFonts w:hint="default" w:ascii="Times New Roman" w:hAnsi="Times New Roman" w:cs="Times New Roman"/>
                      <w:color w:val="auto"/>
                      <w:szCs w:val="21"/>
                      <w:highlight w:val="none"/>
                      <w:lang w:eastAsia="zh-CN"/>
                    </w:rPr>
                    <w:t>颗粒物</w:t>
                  </w:r>
                </w:p>
              </w:tc>
              <w:tc>
                <w:tcPr>
                  <w:tcW w:w="1385" w:type="dxa"/>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1次/</w:t>
                  </w:r>
                  <w:r>
                    <w:rPr>
                      <w:rFonts w:hint="default" w:ascii="Times New Roman" w:hAnsi="Times New Roman" w:cs="Times New Roman"/>
                      <w:color w:val="auto"/>
                      <w:szCs w:val="21"/>
                      <w:highlight w:val="none"/>
                      <w:lang w:val="en-US" w:eastAsia="zh-CN"/>
                    </w:rPr>
                    <w:t>半</w:t>
                  </w:r>
                  <w:r>
                    <w:rPr>
                      <w:rFonts w:hint="default" w:ascii="Times New Roman" w:hAnsi="Times New Roman" w:cs="Times New Roman"/>
                      <w:color w:val="auto"/>
                      <w:szCs w:val="21"/>
                      <w:highlight w:val="none"/>
                    </w:rPr>
                    <w:t>年</w:t>
                  </w:r>
                </w:p>
              </w:tc>
              <w:tc>
                <w:tcPr>
                  <w:tcW w:w="2666" w:type="dxa"/>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《大气污染物综合排放标准》（GB16297-1996）表2排放限值要求</w:t>
                  </w:r>
                </w:p>
              </w:tc>
            </w:tr>
          </w:tbl>
          <w:p>
            <w:pPr>
              <w:spacing w:line="360" w:lineRule="auto"/>
              <w:ind w:firstLine="442" w:firstLineChars="200"/>
              <w:rPr>
                <w:rFonts w:hint="default" w:ascii="Times New Roman" w:hAnsi="Times New Roman" w:cs="Times New Roman"/>
                <w:b/>
                <w:color w:val="auto"/>
                <w:szCs w:val="21"/>
                <w:highlight w:val="none"/>
              </w:rPr>
            </w:pPr>
            <w:r>
              <w:rPr>
                <w:rFonts w:hint="default" w:ascii="Times New Roman" w:hAnsi="Times New Roman" w:cs="Times New Roman"/>
                <w:b/>
                <w:bCs/>
                <w:color w:val="auto"/>
                <w:sz w:val="22"/>
                <w:szCs w:val="21"/>
                <w:highlight w:val="none"/>
              </w:rPr>
              <w:t>1.</w:t>
            </w:r>
            <w:r>
              <w:rPr>
                <w:rFonts w:hint="default" w:ascii="Times New Roman" w:hAnsi="Times New Roman" w:cs="Times New Roman"/>
                <w:b/>
                <w:bCs/>
                <w:color w:val="auto"/>
                <w:sz w:val="22"/>
                <w:szCs w:val="21"/>
                <w:highlight w:val="none"/>
                <w:lang w:val="en-US" w:eastAsia="zh-CN"/>
              </w:rPr>
              <w:t>5</w:t>
            </w:r>
            <w:r>
              <w:rPr>
                <w:rFonts w:hint="default" w:ascii="Times New Roman" w:hAnsi="Times New Roman" w:cs="Times New Roman"/>
                <w:b/>
                <w:bCs/>
                <w:color w:val="auto"/>
                <w:sz w:val="22"/>
                <w:szCs w:val="21"/>
                <w:highlight w:val="none"/>
              </w:rPr>
              <w:t xml:space="preserve"> 达标排放情况</w:t>
            </w:r>
          </w:p>
          <w:p>
            <w:pPr>
              <w:spacing w:line="360" w:lineRule="auto"/>
              <w:ind w:firstLine="480"/>
              <w:rPr>
                <w:rFonts w:hint="default" w:ascii="Times New Roman" w:hAnsi="Times New Roman" w:eastAsia="宋体" w:cs="Times New Roman"/>
                <w:color w:val="auto"/>
                <w:kern w:val="2"/>
                <w:sz w:val="22"/>
                <w:szCs w:val="21"/>
                <w:highlight w:val="none"/>
                <w:lang w:val="eu-ES" w:eastAsia="zh-CN" w:bidi="ar-SA"/>
              </w:rPr>
            </w:pPr>
            <w:bookmarkStart w:id="167" w:name="_Toc8224"/>
            <w:bookmarkStart w:id="168" w:name="_Toc18842"/>
            <w:bookmarkStart w:id="169" w:name="_Toc12717"/>
            <w:r>
              <w:rPr>
                <w:rFonts w:hint="default" w:ascii="Times New Roman" w:hAnsi="Times New Roman" w:eastAsia="宋体" w:cs="Times New Roman"/>
                <w:color w:val="auto"/>
                <w:kern w:val="2"/>
                <w:sz w:val="22"/>
                <w:szCs w:val="21"/>
                <w:highlight w:val="none"/>
                <w:lang w:val="eu-ES" w:eastAsia="zh-CN" w:bidi="ar-SA"/>
              </w:rPr>
              <w:t>本项目废气排放源强见下表</w:t>
            </w:r>
          </w:p>
          <w:p>
            <w:pPr>
              <w:pStyle w:val="14"/>
              <w:tabs>
                <w:tab w:val="left" w:pos="1425"/>
              </w:tabs>
              <w:spacing w:before="0" w:after="0" w:line="240" w:lineRule="auto"/>
              <w:ind w:right="0"/>
              <w:jc w:val="center"/>
              <w:outlineLvl w:val="0"/>
              <w:rPr>
                <w:rFonts w:hint="default" w:ascii="Times New Roman" w:hAnsi="Times New Roman" w:cs="Times New Roman"/>
                <w:b/>
                <w:color w:val="auto"/>
                <w:kern w:val="2"/>
                <w:sz w:val="21"/>
                <w:szCs w:val="21"/>
                <w:highlight w:val="none"/>
              </w:rPr>
            </w:pPr>
            <w:r>
              <w:rPr>
                <w:rFonts w:hint="default" w:ascii="Times New Roman" w:hAnsi="Times New Roman" w:cs="Times New Roman"/>
                <w:b/>
                <w:color w:val="auto"/>
                <w:kern w:val="2"/>
                <w:sz w:val="21"/>
                <w:szCs w:val="21"/>
                <w:highlight w:val="none"/>
              </w:rPr>
              <w:t>表4-</w:t>
            </w:r>
            <w:r>
              <w:rPr>
                <w:rFonts w:hint="default" w:ascii="Times New Roman" w:hAnsi="Times New Roman" w:cs="Times New Roman"/>
                <w:b/>
                <w:color w:val="auto"/>
                <w:kern w:val="2"/>
                <w:sz w:val="21"/>
                <w:szCs w:val="21"/>
                <w:highlight w:val="none"/>
                <w:lang w:val="en-US" w:eastAsia="zh-CN"/>
              </w:rPr>
              <w:t>5</w:t>
            </w:r>
            <w:r>
              <w:rPr>
                <w:rFonts w:hint="default" w:ascii="Times New Roman" w:hAnsi="Times New Roman" w:cs="Times New Roman"/>
                <w:b/>
                <w:color w:val="auto"/>
                <w:kern w:val="2"/>
                <w:sz w:val="21"/>
                <w:szCs w:val="21"/>
                <w:highlight w:val="none"/>
              </w:rPr>
              <w:t xml:space="preserve"> 项目</w:t>
            </w:r>
            <w:r>
              <w:rPr>
                <w:rFonts w:hint="default" w:ascii="Times New Roman" w:hAnsi="Times New Roman" w:cs="Times New Roman"/>
                <w:b/>
                <w:color w:val="auto"/>
                <w:kern w:val="2"/>
                <w:sz w:val="21"/>
                <w:szCs w:val="21"/>
                <w:highlight w:val="none"/>
                <w:lang w:eastAsia="zh-CN"/>
              </w:rPr>
              <w:t>废气产排</w:t>
            </w:r>
            <w:r>
              <w:rPr>
                <w:rFonts w:hint="default" w:ascii="Times New Roman" w:hAnsi="Times New Roman" w:cs="Times New Roman"/>
                <w:b/>
                <w:color w:val="auto"/>
                <w:kern w:val="2"/>
                <w:sz w:val="21"/>
                <w:szCs w:val="21"/>
                <w:highlight w:val="none"/>
              </w:rPr>
              <w:t>情况一览表</w:t>
            </w:r>
            <w:bookmarkEnd w:id="167"/>
            <w:bookmarkEnd w:id="168"/>
            <w:bookmarkEnd w:id="169"/>
          </w:p>
          <w:tbl>
            <w:tblPr>
              <w:tblStyle w:val="42"/>
              <w:tblW w:w="783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97"/>
              <w:gridCol w:w="991"/>
              <w:gridCol w:w="972"/>
              <w:gridCol w:w="889"/>
              <w:gridCol w:w="1231"/>
              <w:gridCol w:w="958"/>
              <w:gridCol w:w="129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1497" w:type="dxa"/>
                  <w:noWrap w:val="0"/>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产污工序</w:t>
                  </w:r>
                </w:p>
              </w:tc>
              <w:tc>
                <w:tcPr>
                  <w:tcW w:w="991" w:type="dxa"/>
                  <w:noWrap w:val="0"/>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污染物</w:t>
                  </w:r>
                </w:p>
              </w:tc>
              <w:tc>
                <w:tcPr>
                  <w:tcW w:w="972" w:type="dxa"/>
                  <w:noWrap w:val="0"/>
                  <w:vAlign w:val="center"/>
                </w:tcPr>
                <w:p>
                  <w:pPr>
                    <w:jc w:val="center"/>
                    <w:rPr>
                      <w:rFonts w:hint="default" w:ascii="Times New Roman" w:hAnsi="Times New Roman" w:cs="Times New Roman"/>
                      <w:color w:val="auto"/>
                      <w:sz w:val="20"/>
                      <w:szCs w:val="20"/>
                      <w:highlight w:val="none"/>
                      <w:lang w:eastAsia="zh-CN"/>
                    </w:rPr>
                  </w:pPr>
                  <w:r>
                    <w:rPr>
                      <w:rFonts w:hint="default" w:ascii="Times New Roman" w:hAnsi="Times New Roman" w:cs="Times New Roman"/>
                      <w:color w:val="auto"/>
                      <w:sz w:val="20"/>
                      <w:szCs w:val="20"/>
                      <w:highlight w:val="none"/>
                      <w:lang w:eastAsia="zh-CN"/>
                    </w:rPr>
                    <w:t>排放</w:t>
                  </w:r>
                </w:p>
                <w:p>
                  <w:pPr>
                    <w:jc w:val="center"/>
                    <w:rPr>
                      <w:rFonts w:hint="default" w:ascii="Times New Roman" w:hAnsi="Times New Roman" w:eastAsia="宋体" w:cs="Times New Roman"/>
                      <w:color w:val="auto"/>
                      <w:sz w:val="20"/>
                      <w:szCs w:val="20"/>
                      <w:highlight w:val="none"/>
                      <w:lang w:eastAsia="zh-CN"/>
                    </w:rPr>
                  </w:pPr>
                  <w:r>
                    <w:rPr>
                      <w:rFonts w:hint="default" w:ascii="Times New Roman" w:hAnsi="Times New Roman" w:cs="Times New Roman"/>
                      <w:color w:val="auto"/>
                      <w:sz w:val="20"/>
                      <w:szCs w:val="20"/>
                      <w:highlight w:val="none"/>
                      <w:lang w:eastAsia="zh-CN"/>
                    </w:rPr>
                    <w:t>方式</w:t>
                  </w:r>
                </w:p>
              </w:tc>
              <w:tc>
                <w:tcPr>
                  <w:tcW w:w="889" w:type="dxa"/>
                  <w:noWrap w:val="0"/>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排放量t/a</w:t>
                  </w:r>
                </w:p>
              </w:tc>
              <w:tc>
                <w:tcPr>
                  <w:tcW w:w="1231" w:type="dxa"/>
                  <w:noWrap w:val="0"/>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排放浓度mg/m</w:t>
                  </w:r>
                  <w:r>
                    <w:rPr>
                      <w:rFonts w:hint="default" w:ascii="Times New Roman" w:hAnsi="Times New Roman" w:cs="Times New Roman"/>
                      <w:color w:val="auto"/>
                      <w:sz w:val="20"/>
                      <w:szCs w:val="20"/>
                      <w:highlight w:val="none"/>
                      <w:vertAlign w:val="superscript"/>
                    </w:rPr>
                    <w:t>3</w:t>
                  </w:r>
                </w:p>
              </w:tc>
              <w:tc>
                <w:tcPr>
                  <w:tcW w:w="958" w:type="dxa"/>
                  <w:noWrap w:val="0"/>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排放速率kg/h</w:t>
                  </w:r>
                </w:p>
              </w:tc>
              <w:tc>
                <w:tcPr>
                  <w:tcW w:w="1298" w:type="dxa"/>
                  <w:noWrap w:val="0"/>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排放标准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497" w:type="dxa"/>
                  <w:vMerge w:val="restart"/>
                  <w:noWrap w:val="0"/>
                  <w:vAlign w:val="center"/>
                </w:tcPr>
                <w:p>
                  <w:pPr>
                    <w:jc w:val="center"/>
                    <w:rPr>
                      <w:rFonts w:hint="default" w:ascii="Times New Roman" w:hAnsi="Times New Roman" w:cs="Times New Roman"/>
                      <w:color w:val="auto"/>
                      <w:sz w:val="20"/>
                      <w:szCs w:val="20"/>
                      <w:highlight w:val="none"/>
                      <w:lang w:val="en-US"/>
                    </w:rPr>
                  </w:pPr>
                  <w:r>
                    <w:rPr>
                      <w:rFonts w:hint="default" w:ascii="Times New Roman" w:hAnsi="Times New Roman" w:cs="Times New Roman"/>
                      <w:color w:val="auto"/>
                      <w:sz w:val="20"/>
                      <w:szCs w:val="20"/>
                      <w:highlight w:val="none"/>
                      <w:lang w:val="en-US" w:eastAsia="zh-CN"/>
                    </w:rPr>
                    <w:t>调漆、喷漆、晾干、危废暂存间</w:t>
                  </w:r>
                </w:p>
              </w:tc>
              <w:tc>
                <w:tcPr>
                  <w:tcW w:w="991"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color w:val="auto"/>
                      <w:sz w:val="20"/>
                      <w:szCs w:val="20"/>
                      <w:highlight w:val="none"/>
                      <w:lang w:val="en-US" w:eastAsia="zh-CN"/>
                    </w:rPr>
                  </w:pPr>
                  <w:r>
                    <w:rPr>
                      <w:rFonts w:hint="default" w:ascii="Times New Roman" w:hAnsi="Times New Roman" w:cs="Times New Roman"/>
                      <w:color w:val="auto"/>
                      <w:sz w:val="20"/>
                      <w:szCs w:val="20"/>
                      <w:highlight w:val="none"/>
                      <w:lang w:val="en-US" w:eastAsia="zh-CN"/>
                    </w:rPr>
                    <w:t>颗粒物</w:t>
                  </w:r>
                </w:p>
              </w:tc>
              <w:tc>
                <w:tcPr>
                  <w:tcW w:w="972" w:type="dxa"/>
                  <w:noWrap w:val="0"/>
                  <w:vAlign w:val="center"/>
                </w:tcPr>
                <w:p>
                  <w:pPr>
                    <w:jc w:val="center"/>
                    <w:rPr>
                      <w:rFonts w:hint="default" w:ascii="Times New Roman" w:hAnsi="Times New Roman" w:cs="Times New Roman"/>
                      <w:color w:val="auto"/>
                      <w:sz w:val="20"/>
                      <w:szCs w:val="20"/>
                      <w:highlight w:val="none"/>
                      <w:lang w:eastAsia="zh-CN"/>
                    </w:rPr>
                  </w:pPr>
                  <w:r>
                    <w:rPr>
                      <w:rFonts w:hint="default" w:ascii="Times New Roman" w:hAnsi="Times New Roman" w:cs="Times New Roman"/>
                      <w:color w:val="auto"/>
                      <w:sz w:val="20"/>
                      <w:szCs w:val="20"/>
                      <w:highlight w:val="none"/>
                      <w:lang w:eastAsia="zh-CN"/>
                    </w:rPr>
                    <w:t>有组织</w:t>
                  </w:r>
                </w:p>
              </w:tc>
              <w:tc>
                <w:tcPr>
                  <w:tcW w:w="88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0"/>
                      <w:szCs w:val="20"/>
                      <w:highlight w:val="none"/>
                      <w:lang w:val="en-US" w:eastAsia="zh-CN"/>
                    </w:rPr>
                  </w:pPr>
                  <w:r>
                    <w:rPr>
                      <w:rFonts w:hint="eastAsia" w:ascii="Times New Roman" w:hAnsi="Times New Roman" w:eastAsia="宋体" w:cs="Times New Roman"/>
                      <w:color w:val="auto"/>
                      <w:sz w:val="20"/>
                      <w:szCs w:val="20"/>
                      <w:highlight w:val="none"/>
                      <w:lang w:val="en-US" w:eastAsia="zh-CN"/>
                    </w:rPr>
                    <w:t>0.0015</w:t>
                  </w:r>
                </w:p>
              </w:tc>
              <w:tc>
                <w:tcPr>
                  <w:tcW w:w="1231" w:type="dxa"/>
                  <w:noWrap w:val="0"/>
                  <w:vAlign w:val="center"/>
                </w:tcPr>
                <w:p>
                  <w:pPr>
                    <w:jc w:val="center"/>
                    <w:rPr>
                      <w:rFonts w:hint="default" w:ascii="Times New Roman" w:hAnsi="Times New Roman" w:eastAsia="宋体" w:cs="Times New Roman"/>
                      <w:color w:val="auto"/>
                      <w:sz w:val="20"/>
                      <w:szCs w:val="20"/>
                      <w:highlight w:val="none"/>
                      <w:lang w:val="en-US" w:eastAsia="zh-CN"/>
                    </w:rPr>
                  </w:pPr>
                  <w:r>
                    <w:rPr>
                      <w:rFonts w:hint="eastAsia" w:ascii="Times New Roman" w:hAnsi="Times New Roman" w:eastAsia="宋体" w:cs="Times New Roman"/>
                      <w:color w:val="auto"/>
                      <w:sz w:val="20"/>
                      <w:szCs w:val="20"/>
                      <w:highlight w:val="none"/>
                      <w:lang w:val="en-US" w:eastAsia="zh-CN"/>
                    </w:rPr>
                    <w:t>0.21</w:t>
                  </w:r>
                </w:p>
              </w:tc>
              <w:tc>
                <w:tcPr>
                  <w:tcW w:w="958" w:type="dxa"/>
                  <w:noWrap w:val="0"/>
                  <w:vAlign w:val="center"/>
                </w:tcPr>
                <w:p>
                  <w:pPr>
                    <w:jc w:val="center"/>
                    <w:rPr>
                      <w:rFonts w:hint="default" w:ascii="Times New Roman" w:hAnsi="Times New Roman" w:eastAsia="宋体" w:cs="Times New Roman"/>
                      <w:color w:val="auto"/>
                      <w:sz w:val="20"/>
                      <w:szCs w:val="20"/>
                      <w:highlight w:val="none"/>
                      <w:lang w:val="en-US" w:eastAsia="zh-CN"/>
                    </w:rPr>
                  </w:pPr>
                  <w:r>
                    <w:rPr>
                      <w:rFonts w:hint="eastAsia" w:ascii="Times New Roman" w:hAnsi="Times New Roman" w:eastAsia="宋体" w:cs="Times New Roman"/>
                      <w:color w:val="auto"/>
                      <w:sz w:val="20"/>
                      <w:szCs w:val="20"/>
                      <w:highlight w:val="none"/>
                      <w:lang w:val="en-US" w:eastAsia="zh-CN"/>
                    </w:rPr>
                    <w:t>0.00063</w:t>
                  </w:r>
                </w:p>
              </w:tc>
              <w:tc>
                <w:tcPr>
                  <w:tcW w:w="1298" w:type="dxa"/>
                  <w:noWrap w:val="0"/>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lang w:val="en-US" w:eastAsia="zh-CN"/>
                    </w:rPr>
                    <w:t>120mg/m</w:t>
                  </w:r>
                  <w:r>
                    <w:rPr>
                      <w:rFonts w:hint="default" w:ascii="Times New Roman" w:hAnsi="Times New Roman" w:cs="Times New Roman"/>
                      <w:color w:val="auto"/>
                      <w:sz w:val="20"/>
                      <w:szCs w:val="20"/>
                      <w:highlight w:val="none"/>
                      <w:vertAlign w:val="superscript"/>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1497" w:type="dxa"/>
                  <w:vMerge w:val="continue"/>
                  <w:noWrap w:val="0"/>
                  <w:vAlign w:val="center"/>
                </w:tcPr>
                <w:p>
                  <w:pPr>
                    <w:jc w:val="center"/>
                    <w:rPr>
                      <w:rFonts w:hint="default" w:ascii="Times New Roman" w:hAnsi="Times New Roman" w:cs="Times New Roman"/>
                      <w:color w:val="auto"/>
                      <w:sz w:val="20"/>
                      <w:szCs w:val="20"/>
                      <w:highlight w:val="none"/>
                    </w:rPr>
                  </w:pPr>
                </w:p>
              </w:tc>
              <w:tc>
                <w:tcPr>
                  <w:tcW w:w="99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color w:val="auto"/>
                      <w:sz w:val="20"/>
                      <w:szCs w:val="20"/>
                      <w:highlight w:val="none"/>
                      <w:lang w:val="en-US" w:eastAsia="zh-CN"/>
                    </w:rPr>
                  </w:pPr>
                </w:p>
              </w:tc>
              <w:tc>
                <w:tcPr>
                  <w:tcW w:w="97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0"/>
                      <w:szCs w:val="20"/>
                      <w:highlight w:val="none"/>
                      <w:lang w:val="en-US" w:eastAsia="zh-CN"/>
                    </w:rPr>
                  </w:pPr>
                  <w:r>
                    <w:rPr>
                      <w:rFonts w:hint="default" w:ascii="Times New Roman" w:hAnsi="Times New Roman" w:eastAsia="宋体" w:cs="Times New Roman"/>
                      <w:color w:val="auto"/>
                      <w:sz w:val="20"/>
                      <w:szCs w:val="20"/>
                      <w:highlight w:val="none"/>
                      <w:lang w:val="en-US" w:eastAsia="zh-CN"/>
                    </w:rPr>
                    <w:t>无组织</w:t>
                  </w:r>
                </w:p>
              </w:tc>
              <w:tc>
                <w:tcPr>
                  <w:tcW w:w="88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0"/>
                      <w:szCs w:val="20"/>
                      <w:highlight w:val="none"/>
                      <w:lang w:val="en-US" w:eastAsia="zh-CN"/>
                    </w:rPr>
                  </w:pPr>
                  <w:r>
                    <w:rPr>
                      <w:rFonts w:hint="eastAsia" w:ascii="Times New Roman" w:hAnsi="Times New Roman" w:eastAsia="宋体" w:cs="Times New Roman"/>
                      <w:color w:val="auto"/>
                      <w:sz w:val="20"/>
                      <w:szCs w:val="20"/>
                      <w:highlight w:val="none"/>
                      <w:lang w:val="en-US" w:eastAsia="zh-CN"/>
                    </w:rPr>
                    <w:t>0.0017</w:t>
                  </w:r>
                </w:p>
              </w:tc>
              <w:tc>
                <w:tcPr>
                  <w:tcW w:w="123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0"/>
                      <w:szCs w:val="20"/>
                      <w:highlight w:val="none"/>
                      <w:lang w:val="en-US" w:eastAsia="zh-CN"/>
                    </w:rPr>
                  </w:pPr>
                  <w:r>
                    <w:rPr>
                      <w:rFonts w:hint="default" w:ascii="Times New Roman" w:hAnsi="Times New Roman" w:cs="Times New Roman"/>
                      <w:color w:val="auto"/>
                      <w:sz w:val="20"/>
                      <w:szCs w:val="20"/>
                      <w:highlight w:val="none"/>
                      <w:lang w:val="en-US" w:eastAsia="zh-CN"/>
                    </w:rPr>
                    <w:t>/</w:t>
                  </w:r>
                </w:p>
              </w:tc>
              <w:tc>
                <w:tcPr>
                  <w:tcW w:w="95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0"/>
                      <w:szCs w:val="20"/>
                      <w:highlight w:val="none"/>
                      <w:lang w:val="en-US" w:eastAsia="zh-CN"/>
                    </w:rPr>
                  </w:pPr>
                  <w:r>
                    <w:rPr>
                      <w:rFonts w:hint="eastAsia" w:ascii="Times New Roman" w:hAnsi="Times New Roman" w:eastAsia="宋体" w:cs="Times New Roman"/>
                      <w:color w:val="auto"/>
                      <w:sz w:val="20"/>
                      <w:szCs w:val="20"/>
                      <w:highlight w:val="none"/>
                      <w:lang w:val="en-US" w:eastAsia="zh-CN"/>
                    </w:rPr>
                    <w:t>0.00071</w:t>
                  </w:r>
                </w:p>
              </w:tc>
              <w:tc>
                <w:tcPr>
                  <w:tcW w:w="1298" w:type="dxa"/>
                  <w:noWrap w:val="0"/>
                  <w:vAlign w:val="center"/>
                </w:tcPr>
                <w:p>
                  <w:pPr>
                    <w:jc w:val="center"/>
                    <w:rPr>
                      <w:rFonts w:hint="default" w:ascii="Times New Roman" w:hAnsi="Times New Roman" w:eastAsia="宋体" w:cs="Times New Roman"/>
                      <w:color w:val="auto"/>
                      <w:sz w:val="20"/>
                      <w:szCs w:val="20"/>
                      <w:highlight w:val="none"/>
                      <w:lang w:val="en-US" w:eastAsia="zh-CN"/>
                    </w:rPr>
                  </w:pPr>
                  <w:r>
                    <w:rPr>
                      <w:rFonts w:hint="default" w:ascii="Times New Roman" w:hAnsi="Times New Roman" w:cs="Times New Roman"/>
                      <w:color w:val="auto"/>
                      <w:sz w:val="20"/>
                      <w:szCs w:val="20"/>
                      <w:highlight w:val="none"/>
                      <w:lang w:val="en-US" w:eastAsia="zh-CN"/>
                    </w:rPr>
                    <w:t>1.0mg/m</w:t>
                  </w:r>
                  <w:r>
                    <w:rPr>
                      <w:rFonts w:hint="default" w:ascii="Times New Roman" w:hAnsi="Times New Roman" w:cs="Times New Roman"/>
                      <w:color w:val="auto"/>
                      <w:sz w:val="20"/>
                      <w:szCs w:val="20"/>
                      <w:highlight w:val="none"/>
                      <w:vertAlign w:val="superscript"/>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96" w:hRule="atLeast"/>
                <w:jc w:val="center"/>
              </w:trPr>
              <w:tc>
                <w:tcPr>
                  <w:tcW w:w="1497" w:type="dxa"/>
                  <w:vMerge w:val="continue"/>
                  <w:noWrap w:val="0"/>
                  <w:vAlign w:val="center"/>
                </w:tcPr>
                <w:p>
                  <w:pPr>
                    <w:jc w:val="center"/>
                    <w:rPr>
                      <w:rFonts w:hint="default" w:ascii="Times New Roman" w:hAnsi="Times New Roman" w:cs="Times New Roman"/>
                      <w:color w:val="auto"/>
                      <w:sz w:val="20"/>
                      <w:szCs w:val="20"/>
                      <w:highlight w:val="none"/>
                      <w:lang w:eastAsia="zh-CN"/>
                    </w:rPr>
                  </w:pPr>
                </w:p>
              </w:tc>
              <w:tc>
                <w:tcPr>
                  <w:tcW w:w="991"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color w:val="auto"/>
                      <w:sz w:val="20"/>
                      <w:szCs w:val="20"/>
                      <w:highlight w:val="none"/>
                      <w:lang w:val="en-US" w:eastAsia="zh-CN"/>
                    </w:rPr>
                  </w:pPr>
                  <w:r>
                    <w:rPr>
                      <w:rFonts w:hint="default" w:ascii="Times New Roman" w:hAnsi="Times New Roman" w:cs="Times New Roman"/>
                      <w:color w:val="auto"/>
                      <w:sz w:val="20"/>
                      <w:szCs w:val="20"/>
                      <w:highlight w:val="none"/>
                      <w:lang w:val="en-US" w:eastAsia="zh-CN"/>
                    </w:rPr>
                    <w:t>VOCs</w:t>
                  </w:r>
                </w:p>
              </w:tc>
              <w:tc>
                <w:tcPr>
                  <w:tcW w:w="972" w:type="dxa"/>
                  <w:noWrap w:val="0"/>
                  <w:vAlign w:val="center"/>
                </w:tcPr>
                <w:p>
                  <w:pPr>
                    <w:jc w:val="center"/>
                    <w:rPr>
                      <w:rFonts w:hint="default" w:ascii="Times New Roman" w:hAnsi="Times New Roman" w:cs="Times New Roman"/>
                      <w:color w:val="auto"/>
                      <w:sz w:val="20"/>
                      <w:szCs w:val="20"/>
                      <w:highlight w:val="none"/>
                      <w:lang w:val="en-US" w:eastAsia="zh-CN"/>
                    </w:rPr>
                  </w:pPr>
                  <w:r>
                    <w:rPr>
                      <w:rFonts w:hint="default" w:ascii="Times New Roman" w:hAnsi="Times New Roman" w:cs="Times New Roman"/>
                      <w:color w:val="auto"/>
                      <w:sz w:val="20"/>
                      <w:szCs w:val="20"/>
                      <w:highlight w:val="none"/>
                      <w:lang w:eastAsia="zh-CN"/>
                    </w:rPr>
                    <w:t>有组织</w:t>
                  </w:r>
                </w:p>
              </w:tc>
              <w:tc>
                <w:tcPr>
                  <w:tcW w:w="88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color w:val="auto"/>
                      <w:sz w:val="20"/>
                      <w:szCs w:val="20"/>
                      <w:highlight w:val="none"/>
                      <w:lang w:val="en-US" w:eastAsia="zh-CN"/>
                    </w:rPr>
                  </w:pPr>
                  <w:r>
                    <w:rPr>
                      <w:rFonts w:hint="eastAsia" w:ascii="Times New Roman" w:hAnsi="Times New Roman" w:cs="Times New Roman"/>
                      <w:color w:val="auto"/>
                      <w:sz w:val="20"/>
                      <w:szCs w:val="20"/>
                      <w:highlight w:val="none"/>
                      <w:lang w:val="en-US" w:eastAsia="zh-CN"/>
                    </w:rPr>
                    <w:t>0.0123</w:t>
                  </w:r>
                </w:p>
              </w:tc>
              <w:tc>
                <w:tcPr>
                  <w:tcW w:w="123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color w:val="auto"/>
                      <w:sz w:val="20"/>
                      <w:szCs w:val="20"/>
                      <w:highlight w:val="none"/>
                      <w:lang w:val="en-US" w:eastAsia="zh-CN"/>
                    </w:rPr>
                  </w:pPr>
                  <w:r>
                    <w:rPr>
                      <w:rFonts w:hint="eastAsia" w:ascii="Times New Roman" w:hAnsi="Times New Roman" w:cs="Times New Roman"/>
                      <w:color w:val="auto"/>
                      <w:sz w:val="20"/>
                      <w:szCs w:val="20"/>
                      <w:highlight w:val="none"/>
                      <w:lang w:val="en-US" w:eastAsia="zh-CN"/>
                    </w:rPr>
                    <w:t>1.7</w:t>
                  </w:r>
                </w:p>
              </w:tc>
              <w:tc>
                <w:tcPr>
                  <w:tcW w:w="95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color w:val="auto"/>
                      <w:sz w:val="20"/>
                      <w:szCs w:val="20"/>
                      <w:highlight w:val="none"/>
                      <w:lang w:val="en-US" w:eastAsia="zh-CN"/>
                    </w:rPr>
                  </w:pPr>
                  <w:r>
                    <w:rPr>
                      <w:rFonts w:hint="eastAsia" w:ascii="Times New Roman" w:hAnsi="Times New Roman" w:cs="Times New Roman"/>
                      <w:color w:val="auto"/>
                      <w:sz w:val="20"/>
                      <w:szCs w:val="20"/>
                      <w:highlight w:val="none"/>
                      <w:lang w:val="en-US" w:eastAsia="zh-CN"/>
                    </w:rPr>
                    <w:t>0.0051</w:t>
                  </w:r>
                </w:p>
              </w:tc>
              <w:tc>
                <w:tcPr>
                  <w:tcW w:w="1298" w:type="dxa"/>
                  <w:noWrap w:val="0"/>
                  <w:vAlign w:val="center"/>
                </w:tcPr>
                <w:p>
                  <w:pPr>
                    <w:jc w:val="center"/>
                    <w:rPr>
                      <w:rFonts w:hint="default" w:ascii="Times New Roman" w:hAnsi="Times New Roman" w:cs="Times New Roman"/>
                      <w:color w:val="auto"/>
                      <w:sz w:val="20"/>
                      <w:szCs w:val="20"/>
                      <w:highlight w:val="none"/>
                      <w:lang w:val="en-US" w:eastAsia="zh-CN"/>
                    </w:rPr>
                  </w:pPr>
                  <w:r>
                    <w:rPr>
                      <w:rFonts w:hint="default" w:ascii="Times New Roman" w:hAnsi="Times New Roman" w:cs="Times New Roman"/>
                      <w:color w:val="auto"/>
                      <w:sz w:val="20"/>
                      <w:szCs w:val="20"/>
                      <w:highlight w:val="none"/>
                      <w:lang w:val="en-US" w:eastAsia="zh-CN"/>
                    </w:rPr>
                    <w:t>60mg/m</w:t>
                  </w:r>
                  <w:r>
                    <w:rPr>
                      <w:rFonts w:hint="default" w:ascii="Times New Roman" w:hAnsi="Times New Roman" w:cs="Times New Roman"/>
                      <w:color w:val="auto"/>
                      <w:sz w:val="20"/>
                      <w:szCs w:val="20"/>
                      <w:highlight w:val="none"/>
                      <w:vertAlign w:val="superscript"/>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97" w:type="dxa"/>
                  <w:vMerge w:val="continue"/>
                  <w:noWrap w:val="0"/>
                  <w:vAlign w:val="center"/>
                </w:tcPr>
                <w:p>
                  <w:pPr>
                    <w:jc w:val="center"/>
                    <w:rPr>
                      <w:rFonts w:hint="default" w:ascii="Times New Roman" w:hAnsi="Times New Roman" w:cs="Times New Roman"/>
                      <w:color w:val="auto"/>
                      <w:sz w:val="20"/>
                      <w:szCs w:val="20"/>
                      <w:highlight w:val="none"/>
                      <w:lang w:eastAsia="zh-CN"/>
                    </w:rPr>
                  </w:pPr>
                </w:p>
              </w:tc>
              <w:tc>
                <w:tcPr>
                  <w:tcW w:w="99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color w:val="auto"/>
                      <w:sz w:val="20"/>
                      <w:szCs w:val="20"/>
                      <w:highlight w:val="none"/>
                      <w:lang w:val="en-US" w:eastAsia="zh-CN"/>
                    </w:rPr>
                  </w:pPr>
                </w:p>
              </w:tc>
              <w:tc>
                <w:tcPr>
                  <w:tcW w:w="97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color w:val="auto"/>
                      <w:sz w:val="20"/>
                      <w:szCs w:val="20"/>
                      <w:highlight w:val="none"/>
                      <w:lang w:val="en-US" w:eastAsia="zh-CN"/>
                    </w:rPr>
                  </w:pPr>
                  <w:r>
                    <w:rPr>
                      <w:rFonts w:hint="default" w:ascii="Times New Roman" w:hAnsi="Times New Roman" w:eastAsia="宋体" w:cs="Times New Roman"/>
                      <w:color w:val="auto"/>
                      <w:sz w:val="20"/>
                      <w:szCs w:val="20"/>
                      <w:highlight w:val="none"/>
                      <w:lang w:val="en-US" w:eastAsia="zh-CN"/>
                    </w:rPr>
                    <w:t>无组织</w:t>
                  </w:r>
                </w:p>
              </w:tc>
              <w:tc>
                <w:tcPr>
                  <w:tcW w:w="88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color w:val="auto"/>
                      <w:sz w:val="20"/>
                      <w:szCs w:val="20"/>
                      <w:highlight w:val="none"/>
                      <w:lang w:val="en-US" w:eastAsia="zh-CN"/>
                    </w:rPr>
                  </w:pPr>
                  <w:r>
                    <w:rPr>
                      <w:rFonts w:hint="eastAsia" w:ascii="Times New Roman" w:hAnsi="Times New Roman" w:cs="Times New Roman"/>
                      <w:color w:val="auto"/>
                      <w:sz w:val="20"/>
                      <w:szCs w:val="20"/>
                      <w:highlight w:val="none"/>
                      <w:lang w:val="en-US" w:eastAsia="zh-CN"/>
                    </w:rPr>
                    <w:t>0.0028</w:t>
                  </w:r>
                </w:p>
              </w:tc>
              <w:tc>
                <w:tcPr>
                  <w:tcW w:w="123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color w:val="auto"/>
                      <w:sz w:val="20"/>
                      <w:szCs w:val="20"/>
                      <w:highlight w:val="none"/>
                      <w:lang w:val="en-US" w:eastAsia="zh-CN"/>
                    </w:rPr>
                  </w:pPr>
                  <w:r>
                    <w:rPr>
                      <w:rFonts w:hint="default" w:ascii="Times New Roman" w:hAnsi="Times New Roman" w:cs="Times New Roman"/>
                      <w:color w:val="auto"/>
                      <w:sz w:val="20"/>
                      <w:szCs w:val="20"/>
                      <w:highlight w:val="none"/>
                      <w:lang w:val="en-US" w:eastAsia="zh-CN"/>
                    </w:rPr>
                    <w:t>/</w:t>
                  </w:r>
                </w:p>
              </w:tc>
              <w:tc>
                <w:tcPr>
                  <w:tcW w:w="95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color w:val="auto"/>
                      <w:sz w:val="20"/>
                      <w:szCs w:val="20"/>
                      <w:highlight w:val="none"/>
                      <w:lang w:val="en-US" w:eastAsia="zh-CN"/>
                    </w:rPr>
                  </w:pPr>
                  <w:r>
                    <w:rPr>
                      <w:rFonts w:hint="eastAsia" w:ascii="Times New Roman" w:hAnsi="Times New Roman" w:cs="Times New Roman"/>
                      <w:color w:val="auto"/>
                      <w:sz w:val="20"/>
                      <w:szCs w:val="20"/>
                      <w:highlight w:val="none"/>
                      <w:lang w:val="en-US" w:eastAsia="zh-CN"/>
                    </w:rPr>
                    <w:t>0.00117</w:t>
                  </w:r>
                </w:p>
              </w:tc>
              <w:tc>
                <w:tcPr>
                  <w:tcW w:w="1298" w:type="dxa"/>
                  <w:noWrap w:val="0"/>
                  <w:vAlign w:val="center"/>
                </w:tcPr>
                <w:p>
                  <w:pPr>
                    <w:jc w:val="center"/>
                    <w:rPr>
                      <w:rFonts w:hint="default" w:ascii="Times New Roman" w:hAnsi="Times New Roman" w:cs="Times New Roman"/>
                      <w:color w:val="auto"/>
                      <w:sz w:val="20"/>
                      <w:szCs w:val="20"/>
                      <w:highlight w:val="none"/>
                      <w:lang w:val="en-US" w:eastAsia="zh-CN"/>
                    </w:rPr>
                  </w:pPr>
                  <w:r>
                    <w:rPr>
                      <w:rFonts w:hint="default" w:ascii="Times New Roman" w:hAnsi="Times New Roman" w:cs="Times New Roman"/>
                      <w:color w:val="auto"/>
                      <w:sz w:val="20"/>
                      <w:szCs w:val="20"/>
                      <w:highlight w:val="none"/>
                      <w:lang w:val="en-US" w:eastAsia="zh-CN"/>
                    </w:rPr>
                    <w:t>1.0mg/m</w:t>
                  </w:r>
                  <w:r>
                    <w:rPr>
                      <w:rFonts w:hint="default" w:ascii="Times New Roman" w:hAnsi="Times New Roman" w:cs="Times New Roman"/>
                      <w:color w:val="auto"/>
                      <w:sz w:val="20"/>
                      <w:szCs w:val="20"/>
                      <w:highlight w:val="none"/>
                      <w:vertAlign w:val="superscript"/>
                      <w:lang w:val="en-US" w:eastAsia="zh-CN"/>
                    </w:rPr>
                    <w:t>3</w:t>
                  </w:r>
                </w:p>
              </w:tc>
            </w:tr>
          </w:tbl>
          <w:p>
            <w:pPr>
              <w:adjustRightInd w:val="0"/>
              <w:spacing w:line="360" w:lineRule="auto"/>
              <w:ind w:firstLine="440" w:firstLineChars="200"/>
              <w:textAlignment w:val="baseline"/>
              <w:outlineLvl w:val="2"/>
              <w:rPr>
                <w:rFonts w:hint="default" w:ascii="Times New Roman" w:hAnsi="Times New Roman" w:cs="Times New Roman"/>
                <w:b/>
                <w:bCs/>
                <w:color w:val="auto"/>
                <w:sz w:val="22"/>
                <w:szCs w:val="22"/>
                <w:highlight w:val="none"/>
              </w:rPr>
            </w:pPr>
            <w:r>
              <w:rPr>
                <w:rFonts w:hint="default" w:ascii="Times New Roman" w:hAnsi="Times New Roman" w:eastAsia="宋体" w:cs="Times New Roman"/>
                <w:color w:val="auto"/>
                <w:kern w:val="0"/>
                <w:sz w:val="22"/>
                <w:szCs w:val="22"/>
                <w:highlight w:val="none"/>
                <w:lang w:eastAsia="zh-CN"/>
              </w:rPr>
              <w:t>根据《乐山市污染防治攻坚战工作通报》</w:t>
            </w:r>
            <w:r>
              <w:rPr>
                <w:rFonts w:hint="eastAsia" w:ascii="Times New Roman" w:hAnsi="Times New Roman" w:eastAsia="宋体" w:cs="Times New Roman"/>
                <w:color w:val="auto"/>
                <w:kern w:val="0"/>
                <w:sz w:val="22"/>
                <w:szCs w:val="22"/>
                <w:highlight w:val="none"/>
                <w:lang w:eastAsia="zh-CN"/>
              </w:rPr>
              <w:t>（</w:t>
            </w:r>
            <w:r>
              <w:rPr>
                <w:rFonts w:hint="default" w:ascii="Times New Roman" w:hAnsi="Times New Roman" w:eastAsia="宋体" w:cs="Times New Roman"/>
                <w:color w:val="auto"/>
                <w:kern w:val="0"/>
                <w:sz w:val="22"/>
                <w:szCs w:val="22"/>
                <w:highlight w:val="none"/>
                <w:lang w:eastAsia="zh-CN"/>
              </w:rPr>
              <w:t>2022年第2期</w:t>
            </w:r>
            <w:r>
              <w:rPr>
                <w:rFonts w:hint="eastAsia" w:ascii="Times New Roman" w:hAnsi="Times New Roman" w:eastAsia="宋体" w:cs="Times New Roman"/>
                <w:color w:val="auto"/>
                <w:kern w:val="0"/>
                <w:sz w:val="22"/>
                <w:szCs w:val="22"/>
                <w:highlight w:val="none"/>
                <w:lang w:eastAsia="zh-CN"/>
              </w:rPr>
              <w:t>）</w:t>
            </w:r>
            <w:r>
              <w:rPr>
                <w:rFonts w:hint="default" w:ascii="Times New Roman" w:hAnsi="Times New Roman" w:eastAsia="宋体" w:cs="Times New Roman"/>
                <w:color w:val="auto"/>
                <w:kern w:val="0"/>
                <w:sz w:val="22"/>
                <w:szCs w:val="22"/>
                <w:highlight w:val="none"/>
                <w:lang w:eastAsia="zh-CN"/>
              </w:rPr>
              <w:t>，乐山市属于环境空气为不达标区，并根据《乐山市空气质量限期达标规划（2017-2025）》，乐山市近期采取产业和能源结构调整措施、大气污染治理的措施等一系列措施后，在2025年底前实现空气质量6项主要污染物（二氧化硫、二氧化氮、可吸入颗粒物、细颗粒物、一氧化碳、臭氧）全面达标</w:t>
            </w:r>
            <w:r>
              <w:rPr>
                <w:rFonts w:hint="eastAsia" w:ascii="Times New Roman" w:hAnsi="Times New Roman" w:eastAsia="宋体" w:cs="Times New Roman"/>
                <w:color w:val="auto"/>
                <w:kern w:val="0"/>
                <w:sz w:val="22"/>
                <w:szCs w:val="22"/>
                <w:highlight w:val="none"/>
                <w:lang w:eastAsia="zh-CN"/>
              </w:rPr>
              <w:t>。</w:t>
            </w:r>
            <w:r>
              <w:rPr>
                <w:rFonts w:hint="eastAsia" w:ascii="Times New Roman" w:hAnsi="Times New Roman" w:eastAsia="宋体" w:cs="Times New Roman"/>
                <w:bCs/>
                <w:color w:val="auto"/>
                <w:sz w:val="22"/>
                <w:szCs w:val="22"/>
                <w:highlight w:val="none"/>
                <w:lang w:val="en-US" w:eastAsia="zh-CN"/>
              </w:rPr>
              <w:t>本项目废气在采取措施后均能达标排放</w:t>
            </w:r>
            <w:r>
              <w:rPr>
                <w:rFonts w:hint="eastAsia" w:ascii="Times New Roman" w:hAnsi="Times New Roman" w:cs="Times New Roman"/>
                <w:color w:val="auto"/>
                <w:sz w:val="22"/>
                <w:szCs w:val="21"/>
                <w:highlight w:val="none"/>
                <w:lang w:eastAsia="zh-CN"/>
              </w:rPr>
              <w:t>，</w:t>
            </w:r>
            <w:r>
              <w:rPr>
                <w:rFonts w:hint="default" w:ascii="Times New Roman" w:hAnsi="Times New Roman" w:cs="Times New Roman"/>
                <w:color w:val="auto"/>
                <w:sz w:val="22"/>
                <w:szCs w:val="21"/>
                <w:highlight w:val="none"/>
              </w:rPr>
              <w:t>不会对周围大气环境造成明显影响</w:t>
            </w:r>
            <w:r>
              <w:rPr>
                <w:rFonts w:hint="eastAsia" w:ascii="Times New Roman" w:hAnsi="Times New Roman" w:cs="Times New Roman"/>
                <w:color w:val="auto"/>
                <w:sz w:val="22"/>
                <w:szCs w:val="21"/>
                <w:highlight w:val="none"/>
                <w:lang w:eastAsia="zh-CN"/>
              </w:rPr>
              <w:t>，</w:t>
            </w:r>
            <w:r>
              <w:rPr>
                <w:rFonts w:hint="default" w:ascii="Times New Roman" w:hAnsi="Times New Roman" w:eastAsia="宋体" w:cs="Times New Roman"/>
                <w:color w:val="auto"/>
                <w:kern w:val="0"/>
                <w:sz w:val="22"/>
                <w:szCs w:val="22"/>
                <w:highlight w:val="none"/>
                <w:lang w:eastAsia="zh-CN"/>
              </w:rPr>
              <w:t>因此不会影响达标规划的实现。</w:t>
            </w:r>
          </w:p>
          <w:p>
            <w:pPr>
              <w:adjustRightInd w:val="0"/>
              <w:spacing w:line="360" w:lineRule="auto"/>
              <w:ind w:firstLine="442" w:firstLineChars="200"/>
              <w:textAlignment w:val="baseline"/>
              <w:outlineLvl w:val="2"/>
              <w:rPr>
                <w:rFonts w:hint="default" w:ascii="Times New Roman" w:hAnsi="Times New Roman" w:cs="Times New Roman"/>
                <w:b/>
                <w:bCs/>
                <w:color w:val="auto"/>
                <w:sz w:val="22"/>
                <w:szCs w:val="22"/>
                <w:highlight w:val="none"/>
              </w:rPr>
            </w:pPr>
            <w:r>
              <w:rPr>
                <w:rFonts w:hint="default" w:ascii="Times New Roman" w:hAnsi="Times New Roman" w:cs="Times New Roman"/>
                <w:b/>
                <w:bCs/>
                <w:color w:val="auto"/>
                <w:sz w:val="22"/>
                <w:szCs w:val="22"/>
                <w:highlight w:val="none"/>
              </w:rPr>
              <w:t>2、废水</w:t>
            </w:r>
          </w:p>
          <w:p>
            <w:pPr>
              <w:spacing w:line="360" w:lineRule="auto"/>
              <w:ind w:firstLine="442" w:firstLineChars="200"/>
              <w:rPr>
                <w:rFonts w:hint="default" w:ascii="Times New Roman" w:hAnsi="Times New Roman" w:cs="Times New Roman"/>
                <w:b/>
                <w:bCs/>
                <w:color w:val="auto"/>
                <w:sz w:val="22"/>
                <w:szCs w:val="21"/>
                <w:highlight w:val="none"/>
              </w:rPr>
            </w:pPr>
            <w:r>
              <w:rPr>
                <w:rFonts w:hint="default" w:ascii="Times New Roman" w:hAnsi="Times New Roman" w:cs="Times New Roman"/>
                <w:b/>
                <w:bCs/>
                <w:color w:val="auto"/>
                <w:sz w:val="22"/>
                <w:szCs w:val="21"/>
                <w:highlight w:val="none"/>
              </w:rPr>
              <w:t>2.1 产排污情况</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40" w:firstLineChars="200"/>
              <w:jc w:val="both"/>
              <w:textAlignment w:val="auto"/>
              <w:outlineLvl w:val="9"/>
              <w:rPr>
                <w:rFonts w:hint="eastAsia" w:ascii="Times New Roman" w:hAnsi="Times New Roman" w:cs="Times New Roman"/>
                <w:bCs/>
                <w:color w:val="auto"/>
                <w:sz w:val="22"/>
                <w:szCs w:val="22"/>
                <w:highlight w:val="none"/>
                <w:lang w:val="en-US" w:eastAsia="zh-CN"/>
              </w:rPr>
            </w:pPr>
            <w:r>
              <w:rPr>
                <w:rFonts w:hint="eastAsia" w:ascii="Times New Roman" w:hAnsi="Times New Roman" w:cs="Times New Roman"/>
                <w:bCs/>
                <w:color w:val="auto"/>
                <w:sz w:val="22"/>
                <w:szCs w:val="22"/>
                <w:highlight w:val="none"/>
                <w:lang w:val="en-US" w:eastAsia="zh-CN"/>
              </w:rPr>
              <w:t>雨水经雨水管接入市政雨水管网；项目磨边、清洗废水经循环水池沉淀后循环使用</w:t>
            </w:r>
            <w:r>
              <w:rPr>
                <w:rFonts w:hint="eastAsia" w:ascii="Times New Roman" w:hAnsi="Times New Roman" w:eastAsia="宋体" w:cs="Times New Roman"/>
                <w:bCs/>
                <w:color w:val="auto"/>
                <w:sz w:val="22"/>
                <w:szCs w:val="22"/>
                <w:highlight w:val="none"/>
                <w:lang w:val="en-US" w:eastAsia="zh-CN"/>
              </w:rPr>
              <w:t>，不外排；冷却水循环使用，不外排；水帘柜废水一年更换一次（1m</w:t>
            </w:r>
            <w:r>
              <w:rPr>
                <w:rFonts w:hint="eastAsia" w:ascii="Times New Roman" w:hAnsi="Times New Roman" w:eastAsia="宋体" w:cs="Times New Roman"/>
                <w:bCs/>
                <w:color w:val="auto"/>
                <w:sz w:val="22"/>
                <w:szCs w:val="22"/>
                <w:highlight w:val="none"/>
                <w:vertAlign w:val="superscript"/>
                <w:lang w:val="en-US" w:eastAsia="zh-CN"/>
              </w:rPr>
              <w:t>3</w:t>
            </w:r>
            <w:r>
              <w:rPr>
                <w:rFonts w:hint="eastAsia" w:ascii="Times New Roman" w:hAnsi="Times New Roman" w:eastAsia="宋体" w:cs="Times New Roman"/>
                <w:bCs/>
                <w:color w:val="auto"/>
                <w:sz w:val="22"/>
                <w:szCs w:val="22"/>
                <w:highlight w:val="none"/>
                <w:lang w:val="en-US" w:eastAsia="zh-CN"/>
              </w:rPr>
              <w:t>），排入乐山市工业集中区污水处理</w:t>
            </w:r>
            <w:r>
              <w:rPr>
                <w:rFonts w:hint="eastAsia" w:ascii="Times New Roman" w:hAnsi="Times New Roman" w:cs="Times New Roman"/>
                <w:color w:val="auto"/>
                <w:kern w:val="0"/>
                <w:sz w:val="21"/>
                <w:szCs w:val="21"/>
                <w:highlight w:val="none"/>
                <w:vertAlign w:val="baseline"/>
                <w:lang w:val="en-US" w:eastAsia="zh-CN"/>
              </w:rPr>
              <w:t>厂</w:t>
            </w:r>
            <w:r>
              <w:rPr>
                <w:rFonts w:hint="eastAsia" w:ascii="Times New Roman" w:hAnsi="Times New Roman" w:cs="Times New Roman"/>
                <w:bCs/>
                <w:color w:val="auto"/>
                <w:sz w:val="22"/>
                <w:szCs w:val="22"/>
                <w:highlight w:val="none"/>
                <w:lang w:val="en-US" w:eastAsia="zh-CN"/>
              </w:rPr>
              <w:t>；生活污水经预处理达《污水综合排放标准》（GB8978-1996）三级标准排入乐山市工业集中区污水处理厂处理达《四川省岷江、沱江流域水污染物排放标准》（DB51/2311-2016）中</w:t>
            </w:r>
            <w:r>
              <w:rPr>
                <w:rFonts w:hint="eastAsia" w:ascii="Times New Roman" w:hAnsi="Times New Roman" w:eastAsia="宋体" w:cs="Times New Roman"/>
                <w:color w:val="auto"/>
                <w:sz w:val="22"/>
                <w:szCs w:val="22"/>
                <w:highlight w:val="none"/>
                <w:lang w:eastAsia="zh-CN"/>
              </w:rPr>
              <w:t>工业园区集中式污水处理厂标准后排入</w:t>
            </w:r>
            <w:r>
              <w:rPr>
                <w:rFonts w:hint="eastAsia" w:ascii="Times New Roman" w:hAnsi="Times New Roman" w:eastAsia="宋体" w:cs="Times New Roman"/>
                <w:color w:val="auto"/>
                <w:sz w:val="22"/>
                <w:szCs w:val="22"/>
                <w:highlight w:val="none"/>
                <w:lang w:val="en-US" w:eastAsia="zh-CN"/>
              </w:rPr>
              <w:t>大渡</w:t>
            </w:r>
            <w:r>
              <w:rPr>
                <w:rFonts w:hint="eastAsia" w:ascii="Times New Roman" w:hAnsi="Times New Roman" w:eastAsia="宋体" w:cs="Times New Roman"/>
                <w:color w:val="auto"/>
                <w:sz w:val="22"/>
                <w:szCs w:val="22"/>
                <w:highlight w:val="none"/>
                <w:lang w:eastAsia="zh-CN"/>
              </w:rPr>
              <w:t>河</w:t>
            </w:r>
            <w:r>
              <w:rPr>
                <w:rFonts w:hint="eastAsia" w:ascii="Times New Roman" w:hAnsi="Times New Roman" w:cs="Times New Roman"/>
                <w:bCs/>
                <w:color w:val="auto"/>
                <w:sz w:val="22"/>
                <w:szCs w:val="22"/>
                <w:highlight w:val="none"/>
                <w:lang w:val="en-US" w:eastAsia="zh-CN"/>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40" w:firstLineChars="200"/>
              <w:jc w:val="left"/>
              <w:textAlignment w:val="auto"/>
              <w:outlineLvl w:val="9"/>
              <w:rPr>
                <w:rFonts w:hint="default" w:ascii="Times New Roman" w:hAnsi="Times New Roman" w:eastAsia="宋体" w:cs="Times New Roman"/>
                <w:bCs/>
                <w:color w:val="000000"/>
                <w:sz w:val="22"/>
                <w:szCs w:val="22"/>
                <w:highlight w:val="none"/>
                <w:lang w:val="en-US" w:eastAsia="zh-CN"/>
              </w:rPr>
            </w:pPr>
            <w:r>
              <w:rPr>
                <w:rFonts w:hint="eastAsia" w:ascii="Times New Roman" w:hAnsi="Times New Roman" w:cs="Times New Roman"/>
                <w:bCs/>
                <w:color w:val="auto"/>
                <w:sz w:val="22"/>
                <w:szCs w:val="22"/>
                <w:highlight w:val="none"/>
                <w:lang w:val="en-US" w:eastAsia="zh-CN"/>
              </w:rPr>
              <w:t>根据前文水平衡分析，</w:t>
            </w:r>
            <w:r>
              <w:rPr>
                <w:rFonts w:hint="default" w:ascii="Times New Roman" w:hAnsi="Times New Roman" w:eastAsia="宋体" w:cs="Times New Roman"/>
                <w:bCs/>
                <w:color w:val="000000"/>
                <w:sz w:val="22"/>
                <w:szCs w:val="22"/>
                <w:highlight w:val="none"/>
                <w:lang w:val="en-US" w:eastAsia="zh-CN"/>
              </w:rPr>
              <w:t>项目用水排水情况如下：</w:t>
            </w:r>
          </w:p>
          <w:p>
            <w:pPr>
              <w:jc w:val="center"/>
              <w:rPr>
                <w:rFonts w:hint="eastAsia" w:ascii="Times New Roman" w:hAnsi="Times New Roman" w:eastAsia="宋体" w:cs="Times New Roman"/>
                <w:b/>
                <w:bCs/>
                <w:color w:val="auto"/>
                <w:szCs w:val="21"/>
                <w:highlight w:val="none"/>
                <w:lang w:eastAsia="zh-CN"/>
              </w:rPr>
            </w:pPr>
            <w:r>
              <w:rPr>
                <w:rFonts w:hint="default" w:ascii="Times New Roman" w:hAnsi="Times New Roman" w:cs="Times New Roman"/>
                <w:b/>
                <w:bCs/>
                <w:color w:val="auto"/>
                <w:szCs w:val="21"/>
                <w:highlight w:val="none"/>
              </w:rPr>
              <w:t>表</w:t>
            </w:r>
            <w:r>
              <w:rPr>
                <w:rFonts w:hint="eastAsia" w:ascii="Times New Roman" w:hAnsi="Times New Roman" w:cs="Times New Roman"/>
                <w:b/>
                <w:bCs/>
                <w:color w:val="auto"/>
                <w:szCs w:val="21"/>
                <w:highlight w:val="none"/>
                <w:lang w:val="en-US" w:eastAsia="zh-CN"/>
              </w:rPr>
              <w:t>4-6</w:t>
            </w:r>
            <w:r>
              <w:rPr>
                <w:rFonts w:hint="default" w:ascii="Times New Roman" w:hAnsi="Times New Roman" w:cs="Times New Roman"/>
                <w:b/>
                <w:bCs/>
                <w:color w:val="auto"/>
                <w:szCs w:val="21"/>
                <w:highlight w:val="none"/>
              </w:rPr>
              <w:t xml:space="preserve"> 本项目用水量情况</w:t>
            </w:r>
            <w:r>
              <w:rPr>
                <w:rFonts w:hint="eastAsia" w:ascii="Times New Roman" w:hAnsi="Times New Roman" w:cs="Times New Roman"/>
                <w:b/>
                <w:bCs/>
                <w:color w:val="auto"/>
                <w:szCs w:val="21"/>
                <w:highlight w:val="none"/>
                <w:lang w:eastAsia="zh-CN"/>
              </w:rPr>
              <w:t>估算一览表</w:t>
            </w:r>
          </w:p>
          <w:tbl>
            <w:tblPr>
              <w:tblStyle w:val="42"/>
              <w:tblW w:w="7987"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422"/>
              <w:gridCol w:w="1292"/>
              <w:gridCol w:w="1106"/>
              <w:gridCol w:w="1097"/>
              <w:gridCol w:w="1057"/>
              <w:gridCol w:w="1104"/>
              <w:gridCol w:w="190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74" w:hRule="atLeast"/>
                <w:jc w:val="center"/>
              </w:trPr>
              <w:tc>
                <w:tcPr>
                  <w:tcW w:w="422"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序号</w:t>
                  </w:r>
                </w:p>
              </w:tc>
              <w:tc>
                <w:tcPr>
                  <w:tcW w:w="1292"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用水类别</w:t>
                  </w:r>
                </w:p>
              </w:tc>
              <w:tc>
                <w:tcPr>
                  <w:tcW w:w="1106"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用水规模</w:t>
                  </w:r>
                </w:p>
              </w:tc>
              <w:tc>
                <w:tcPr>
                  <w:tcW w:w="1097"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用水定额</w:t>
                  </w:r>
                </w:p>
              </w:tc>
              <w:tc>
                <w:tcPr>
                  <w:tcW w:w="1057"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用水量（m</w:t>
                  </w:r>
                  <w:r>
                    <w:rPr>
                      <w:rFonts w:hint="default" w:ascii="Times New Roman" w:hAnsi="Times New Roman" w:cs="Times New Roman"/>
                      <w:color w:val="auto"/>
                      <w:szCs w:val="21"/>
                      <w:highlight w:val="none"/>
                      <w:vertAlign w:val="superscript"/>
                    </w:rPr>
                    <w:t>3</w:t>
                  </w:r>
                  <w:r>
                    <w:rPr>
                      <w:rFonts w:hint="default" w:ascii="Times New Roman" w:hAnsi="Times New Roman" w:cs="Times New Roman"/>
                      <w:color w:val="auto"/>
                      <w:szCs w:val="21"/>
                      <w:highlight w:val="none"/>
                    </w:rPr>
                    <w:t>/</w:t>
                  </w:r>
                  <w:r>
                    <w:rPr>
                      <w:rFonts w:hint="eastAsia" w:ascii="Times New Roman" w:hAnsi="Times New Roman" w:cs="Times New Roman"/>
                      <w:color w:val="auto"/>
                      <w:szCs w:val="21"/>
                      <w:highlight w:val="none"/>
                      <w:lang w:val="en-US" w:eastAsia="zh-CN"/>
                    </w:rPr>
                    <w:t>a</w:t>
                  </w:r>
                  <w:r>
                    <w:rPr>
                      <w:rFonts w:hint="default" w:ascii="Times New Roman" w:hAnsi="Times New Roman" w:cs="Times New Roman"/>
                      <w:color w:val="auto"/>
                      <w:szCs w:val="21"/>
                      <w:highlight w:val="none"/>
                    </w:rPr>
                    <w:t>）</w:t>
                  </w:r>
                </w:p>
              </w:tc>
              <w:tc>
                <w:tcPr>
                  <w:tcW w:w="1104" w:type="dxa"/>
                  <w:noWrap w:val="0"/>
                  <w:vAlign w:val="center"/>
                </w:tcPr>
                <w:p>
                  <w:pPr>
                    <w:jc w:val="center"/>
                    <w:rPr>
                      <w:rFonts w:hint="eastAsia" w:ascii="Times New Roman" w:hAnsi="Times New Roman" w:eastAsia="宋体" w:cs="Times New Roman"/>
                      <w:color w:val="auto"/>
                      <w:szCs w:val="21"/>
                      <w:highlight w:val="none"/>
                      <w:lang w:eastAsia="zh-CN"/>
                    </w:rPr>
                  </w:pPr>
                  <w:r>
                    <w:rPr>
                      <w:rFonts w:hint="eastAsia" w:ascii="Times New Roman" w:hAnsi="Times New Roman" w:cs="Times New Roman"/>
                      <w:color w:val="auto"/>
                      <w:szCs w:val="21"/>
                      <w:highlight w:val="none"/>
                      <w:lang w:eastAsia="zh-CN"/>
                    </w:rPr>
                    <w:t>排水量</w:t>
                  </w: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r>
                    <w:rPr>
                      <w:rFonts w:hint="default" w:ascii="Times New Roman" w:hAnsi="Times New Roman" w:cs="Times New Roman"/>
                      <w:color w:val="auto"/>
                      <w:szCs w:val="21"/>
                      <w:highlight w:val="none"/>
                    </w:rPr>
                    <w:t>/</w:t>
                  </w:r>
                  <w:r>
                    <w:rPr>
                      <w:rFonts w:hint="eastAsia" w:ascii="Times New Roman" w:hAnsi="Times New Roman" w:cs="Times New Roman"/>
                      <w:color w:val="auto"/>
                      <w:szCs w:val="21"/>
                      <w:highlight w:val="none"/>
                      <w:lang w:val="en-US" w:eastAsia="zh-CN"/>
                    </w:rPr>
                    <w:t>a</w:t>
                  </w:r>
                  <w:r>
                    <w:rPr>
                      <w:rFonts w:hint="default" w:ascii="Times New Roman" w:hAnsi="Times New Roman" w:cs="Times New Roman"/>
                      <w:color w:val="auto"/>
                      <w:szCs w:val="21"/>
                      <w:highlight w:val="none"/>
                    </w:rPr>
                    <w:t>）</w:t>
                  </w:r>
                </w:p>
              </w:tc>
              <w:tc>
                <w:tcPr>
                  <w:tcW w:w="1909"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备注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5" w:hRule="atLeast"/>
                <w:jc w:val="center"/>
              </w:trPr>
              <w:tc>
                <w:tcPr>
                  <w:tcW w:w="422"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c>
                <w:tcPr>
                  <w:tcW w:w="1292"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生活用水</w:t>
                  </w:r>
                </w:p>
              </w:tc>
              <w:tc>
                <w:tcPr>
                  <w:tcW w:w="1106" w:type="dxa"/>
                  <w:noWrap w:val="0"/>
                  <w:vAlign w:val="center"/>
                </w:tcPr>
                <w:p>
                  <w:pPr>
                    <w:jc w:val="center"/>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30</w:t>
                  </w:r>
                  <w:r>
                    <w:rPr>
                      <w:rFonts w:hint="default" w:ascii="Times New Roman" w:hAnsi="Times New Roman" w:cs="Times New Roman"/>
                      <w:color w:val="auto"/>
                      <w:szCs w:val="21"/>
                      <w:highlight w:val="none"/>
                    </w:rPr>
                    <w:t>人</w:t>
                  </w:r>
                </w:p>
              </w:tc>
              <w:tc>
                <w:tcPr>
                  <w:tcW w:w="1097" w:type="dxa"/>
                  <w:noWrap w:val="0"/>
                  <w:vAlign w:val="center"/>
                </w:tcPr>
                <w:p>
                  <w:pPr>
                    <w:jc w:val="center"/>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160</w:t>
                  </w:r>
                  <w:r>
                    <w:rPr>
                      <w:rFonts w:hint="default" w:ascii="Times New Roman" w:hAnsi="Times New Roman" w:cs="Times New Roman"/>
                      <w:color w:val="auto"/>
                      <w:szCs w:val="21"/>
                      <w:highlight w:val="none"/>
                    </w:rPr>
                    <w:t>L/（人·d）</w:t>
                  </w:r>
                </w:p>
              </w:tc>
              <w:tc>
                <w:tcPr>
                  <w:tcW w:w="1057"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1440</w:t>
                  </w:r>
                </w:p>
              </w:tc>
              <w:tc>
                <w:tcPr>
                  <w:tcW w:w="1104"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1224</w:t>
                  </w:r>
                </w:p>
              </w:tc>
              <w:tc>
                <w:tcPr>
                  <w:tcW w:w="1909" w:type="dxa"/>
                  <w:noWrap w:val="0"/>
                  <w:vAlign w:val="center"/>
                </w:tcPr>
                <w:p>
                  <w:pPr>
                    <w:jc w:val="center"/>
                    <w:rPr>
                      <w:rFonts w:hint="eastAsia" w:ascii="Times New Roman" w:hAnsi="Times New Roman" w:eastAsia="宋体" w:cs="Times New Roman"/>
                      <w:color w:val="auto"/>
                      <w:szCs w:val="21"/>
                      <w:highlight w:val="none"/>
                      <w:lang w:eastAsia="zh-CN"/>
                    </w:rPr>
                  </w:pPr>
                  <w:r>
                    <w:rPr>
                      <w:rFonts w:hint="eastAsia" w:ascii="Times New Roman" w:hAnsi="Times New Roman" w:cs="Times New Roman"/>
                      <w:color w:val="auto"/>
                      <w:szCs w:val="21"/>
                      <w:highlight w:val="none"/>
                      <w:lang w:eastAsia="zh-CN"/>
                    </w:rPr>
                    <w:t>经化粪池处理后</w:t>
                  </w:r>
                  <w:r>
                    <w:rPr>
                      <w:rFonts w:hint="eastAsia" w:ascii="Times New Roman" w:hAnsi="Times New Roman" w:cs="Times New Roman"/>
                      <w:color w:val="auto"/>
                      <w:szCs w:val="21"/>
                      <w:highlight w:val="none"/>
                      <w:lang w:val="en-US" w:eastAsia="zh-CN"/>
                    </w:rPr>
                    <w:t>排</w:t>
                  </w:r>
                  <w:r>
                    <w:rPr>
                      <w:rFonts w:hint="eastAsia" w:ascii="Times New Roman" w:hAnsi="Times New Roman" w:cs="Times New Roman"/>
                      <w:color w:val="auto"/>
                      <w:szCs w:val="21"/>
                      <w:highlight w:val="none"/>
                      <w:lang w:eastAsia="zh-CN"/>
                    </w:rPr>
                    <w:t>入乐山市工业集中区污水处理厂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32" w:hRule="atLeast"/>
                <w:jc w:val="center"/>
              </w:trPr>
              <w:tc>
                <w:tcPr>
                  <w:tcW w:w="422"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w:t>
                  </w:r>
                </w:p>
              </w:tc>
              <w:tc>
                <w:tcPr>
                  <w:tcW w:w="1292" w:type="dxa"/>
                  <w:noWrap w:val="0"/>
                  <w:vAlign w:val="center"/>
                </w:tcPr>
                <w:p>
                  <w:pPr>
                    <w:jc w:val="center"/>
                    <w:rPr>
                      <w:rFonts w:hint="eastAsia" w:ascii="Times New Roman" w:hAnsi="Times New Roman" w:eastAsia="宋体" w:cs="Times New Roman"/>
                      <w:color w:val="auto"/>
                      <w:szCs w:val="21"/>
                      <w:highlight w:val="none"/>
                      <w:lang w:eastAsia="zh-CN"/>
                    </w:rPr>
                  </w:pPr>
                  <w:r>
                    <w:rPr>
                      <w:rFonts w:hint="eastAsia" w:ascii="Times New Roman" w:hAnsi="Times New Roman" w:cs="Times New Roman"/>
                      <w:color w:val="auto"/>
                      <w:szCs w:val="21"/>
                      <w:highlight w:val="none"/>
                      <w:lang w:eastAsia="zh-CN"/>
                    </w:rPr>
                    <w:t>磨边用水</w:t>
                  </w:r>
                </w:p>
              </w:tc>
              <w:tc>
                <w:tcPr>
                  <w:tcW w:w="1106"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097"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057"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150</w:t>
                  </w:r>
                </w:p>
              </w:tc>
              <w:tc>
                <w:tcPr>
                  <w:tcW w:w="1104" w:type="dxa"/>
                  <w:noWrap w:val="0"/>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w:t>
                  </w:r>
                </w:p>
              </w:tc>
              <w:tc>
                <w:tcPr>
                  <w:tcW w:w="1909" w:type="dxa"/>
                  <w:noWrap w:val="0"/>
                  <w:vAlign w:val="center"/>
                </w:tcPr>
                <w:p>
                  <w:pPr>
                    <w:jc w:val="center"/>
                    <w:rPr>
                      <w:rFonts w:hint="eastAsia" w:ascii="Times New Roman" w:hAnsi="Times New Roman" w:eastAsia="宋体" w:cs="Times New Roman"/>
                      <w:color w:val="auto"/>
                      <w:szCs w:val="21"/>
                      <w:highlight w:val="none"/>
                      <w:lang w:eastAsia="zh-CN"/>
                    </w:rPr>
                  </w:pPr>
                  <w:r>
                    <w:rPr>
                      <w:rFonts w:hint="eastAsia" w:ascii="Times New Roman" w:hAnsi="Times New Roman" w:cs="Times New Roman"/>
                      <w:color w:val="auto"/>
                      <w:szCs w:val="21"/>
                      <w:highlight w:val="none"/>
                      <w:lang w:eastAsia="zh-CN"/>
                    </w:rPr>
                    <w:t>循环使用，不外排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32" w:hRule="atLeast"/>
                <w:jc w:val="center"/>
              </w:trPr>
              <w:tc>
                <w:tcPr>
                  <w:tcW w:w="422" w:type="dxa"/>
                  <w:noWrap w:val="0"/>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3</w:t>
                  </w:r>
                </w:p>
              </w:tc>
              <w:tc>
                <w:tcPr>
                  <w:tcW w:w="1292" w:type="dxa"/>
                  <w:noWrap w:val="0"/>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清洗用水</w:t>
                  </w:r>
                </w:p>
              </w:tc>
              <w:tc>
                <w:tcPr>
                  <w:tcW w:w="1106"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097"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057" w:type="dxa"/>
                  <w:noWrap w:val="0"/>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300</w:t>
                  </w:r>
                </w:p>
              </w:tc>
              <w:tc>
                <w:tcPr>
                  <w:tcW w:w="1104" w:type="dxa"/>
                  <w:noWrap w:val="0"/>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w:t>
                  </w:r>
                </w:p>
              </w:tc>
              <w:tc>
                <w:tcPr>
                  <w:tcW w:w="1909" w:type="dxa"/>
                  <w:noWrap w:val="0"/>
                  <w:vAlign w:val="center"/>
                </w:tcPr>
                <w:p>
                  <w:pPr>
                    <w:jc w:val="center"/>
                    <w:rPr>
                      <w:rFonts w:hint="eastAsia" w:ascii="Times New Roman" w:hAnsi="Times New Roman" w:cs="Times New Roman"/>
                      <w:color w:val="auto"/>
                      <w:szCs w:val="21"/>
                      <w:highlight w:val="none"/>
                      <w:lang w:eastAsia="zh-CN"/>
                    </w:rPr>
                  </w:pPr>
                  <w:r>
                    <w:rPr>
                      <w:rFonts w:hint="eastAsia" w:ascii="Times New Roman" w:hAnsi="Times New Roman" w:cs="Times New Roman"/>
                      <w:color w:val="auto"/>
                      <w:szCs w:val="21"/>
                      <w:highlight w:val="none"/>
                      <w:lang w:eastAsia="zh-CN"/>
                    </w:rPr>
                    <w:t>循环使用，不外排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32" w:hRule="atLeast"/>
                <w:jc w:val="center"/>
              </w:trPr>
              <w:tc>
                <w:tcPr>
                  <w:tcW w:w="422" w:type="dxa"/>
                  <w:noWrap w:val="0"/>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4</w:t>
                  </w:r>
                </w:p>
              </w:tc>
              <w:tc>
                <w:tcPr>
                  <w:tcW w:w="1292" w:type="dxa"/>
                  <w:noWrap w:val="0"/>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冷却用水</w:t>
                  </w:r>
                </w:p>
              </w:tc>
              <w:tc>
                <w:tcPr>
                  <w:tcW w:w="1106"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097"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057" w:type="dxa"/>
                  <w:noWrap w:val="0"/>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150</w:t>
                  </w:r>
                </w:p>
              </w:tc>
              <w:tc>
                <w:tcPr>
                  <w:tcW w:w="1104" w:type="dxa"/>
                  <w:noWrap w:val="0"/>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w:t>
                  </w:r>
                </w:p>
              </w:tc>
              <w:tc>
                <w:tcPr>
                  <w:tcW w:w="1909" w:type="dxa"/>
                  <w:noWrap w:val="0"/>
                  <w:vAlign w:val="center"/>
                </w:tcPr>
                <w:p>
                  <w:pPr>
                    <w:jc w:val="center"/>
                    <w:rPr>
                      <w:rFonts w:hint="eastAsia" w:ascii="Times New Roman" w:hAnsi="Times New Roman" w:cs="Times New Roman"/>
                      <w:color w:val="auto"/>
                      <w:szCs w:val="21"/>
                      <w:highlight w:val="none"/>
                      <w:lang w:eastAsia="zh-CN"/>
                    </w:rPr>
                  </w:pPr>
                  <w:r>
                    <w:rPr>
                      <w:rFonts w:hint="eastAsia" w:ascii="Times New Roman" w:hAnsi="Times New Roman" w:cs="Times New Roman"/>
                      <w:color w:val="auto"/>
                      <w:szCs w:val="21"/>
                      <w:highlight w:val="none"/>
                      <w:lang w:eastAsia="zh-CN"/>
                    </w:rPr>
                    <w:t>循环使用，不外排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32" w:hRule="atLeast"/>
                <w:jc w:val="center"/>
              </w:trPr>
              <w:tc>
                <w:tcPr>
                  <w:tcW w:w="422" w:type="dxa"/>
                  <w:noWrap w:val="0"/>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5</w:t>
                  </w:r>
                </w:p>
              </w:tc>
              <w:tc>
                <w:tcPr>
                  <w:tcW w:w="1292" w:type="dxa"/>
                  <w:noWrap w:val="0"/>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水帘柜用水</w:t>
                  </w:r>
                </w:p>
              </w:tc>
              <w:tc>
                <w:tcPr>
                  <w:tcW w:w="1106"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097"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057" w:type="dxa"/>
                  <w:noWrap w:val="0"/>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75</w:t>
                  </w:r>
                </w:p>
              </w:tc>
              <w:tc>
                <w:tcPr>
                  <w:tcW w:w="1104" w:type="dxa"/>
                  <w:noWrap w:val="0"/>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1</w:t>
                  </w:r>
                </w:p>
              </w:tc>
              <w:tc>
                <w:tcPr>
                  <w:tcW w:w="1909" w:type="dxa"/>
                  <w:noWrap w:val="0"/>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定期更换，排</w:t>
                  </w:r>
                  <w:r>
                    <w:rPr>
                      <w:rFonts w:hint="eastAsia" w:ascii="Times New Roman" w:hAnsi="Times New Roman" w:cs="Times New Roman"/>
                      <w:color w:val="auto"/>
                      <w:szCs w:val="21"/>
                      <w:highlight w:val="none"/>
                      <w:lang w:eastAsia="zh-CN"/>
                    </w:rPr>
                    <w:t>入乐山市工业集中区污水处理厂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422" w:type="dxa"/>
                  <w:noWrap w:val="0"/>
                  <w:vAlign w:val="center"/>
                </w:tcPr>
                <w:p>
                  <w:pPr>
                    <w:jc w:val="center"/>
                    <w:rPr>
                      <w:rFonts w:hint="eastAsia" w:ascii="Times New Roman" w:hAnsi="Times New Roman" w:eastAsia="宋体" w:cs="Times New Roman"/>
                      <w:color w:val="auto"/>
                      <w:szCs w:val="21"/>
                      <w:highlight w:val="none"/>
                      <w:lang w:eastAsia="zh-CN"/>
                    </w:rPr>
                  </w:pPr>
                  <w:r>
                    <w:rPr>
                      <w:rFonts w:hint="eastAsia" w:ascii="Times New Roman" w:hAnsi="Times New Roman" w:cs="Times New Roman"/>
                      <w:color w:val="auto"/>
                      <w:szCs w:val="21"/>
                      <w:highlight w:val="none"/>
                      <w:lang w:val="en-US" w:eastAsia="zh-CN"/>
                    </w:rPr>
                    <w:t>6</w:t>
                  </w:r>
                </w:p>
              </w:tc>
              <w:tc>
                <w:tcPr>
                  <w:tcW w:w="1292"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实际</w:t>
                  </w:r>
                  <w:r>
                    <w:rPr>
                      <w:rFonts w:hint="eastAsia" w:ascii="Times New Roman" w:hAnsi="Times New Roman" w:cs="Times New Roman"/>
                      <w:color w:val="auto"/>
                      <w:szCs w:val="21"/>
                      <w:highlight w:val="none"/>
                      <w:lang w:eastAsia="zh-CN"/>
                    </w:rPr>
                    <w:t>用</w:t>
                  </w:r>
                  <w:r>
                    <w:rPr>
                      <w:rFonts w:hint="default" w:ascii="Times New Roman" w:hAnsi="Times New Roman" w:cs="Times New Roman"/>
                      <w:color w:val="auto"/>
                      <w:szCs w:val="21"/>
                      <w:highlight w:val="none"/>
                    </w:rPr>
                    <w:t>水量合计</w:t>
                  </w:r>
                </w:p>
              </w:tc>
              <w:tc>
                <w:tcPr>
                  <w:tcW w:w="1106"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097"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057"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2115</w:t>
                  </w:r>
                </w:p>
              </w:tc>
              <w:tc>
                <w:tcPr>
                  <w:tcW w:w="1104"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1225</w:t>
                  </w:r>
                </w:p>
              </w:tc>
              <w:tc>
                <w:tcPr>
                  <w:tcW w:w="1909"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r>
          </w:tbl>
          <w:p>
            <w:pPr>
              <w:spacing w:line="360" w:lineRule="auto"/>
              <w:ind w:firstLine="480"/>
              <w:rPr>
                <w:rFonts w:hint="default" w:ascii="Times New Roman" w:hAnsi="Times New Roman" w:eastAsia="宋体" w:cs="Times New Roman"/>
                <w:b/>
                <w:bCs/>
                <w:color w:val="auto"/>
                <w:kern w:val="2"/>
                <w:sz w:val="22"/>
                <w:szCs w:val="22"/>
                <w:highlight w:val="none"/>
                <w:lang w:val="en-US" w:eastAsia="zh-CN"/>
              </w:rPr>
            </w:pPr>
            <w:r>
              <w:rPr>
                <w:rFonts w:hint="eastAsia" w:ascii="Times New Roman" w:hAnsi="Times New Roman" w:cs="Times New Roman"/>
                <w:b/>
                <w:bCs/>
                <w:color w:val="auto"/>
                <w:kern w:val="2"/>
                <w:sz w:val="22"/>
                <w:szCs w:val="22"/>
                <w:highlight w:val="none"/>
                <w:lang w:val="en-US" w:eastAsia="zh-CN"/>
              </w:rPr>
              <w:t>2.2措施可行性分析</w:t>
            </w:r>
          </w:p>
          <w:p>
            <w:pPr>
              <w:spacing w:line="360" w:lineRule="auto"/>
              <w:ind w:firstLine="480"/>
              <w:rPr>
                <w:rFonts w:hint="default" w:ascii="Times New Roman" w:hAnsi="Times New Roman" w:eastAsia="宋体" w:cs="Times New Roman"/>
                <w:color w:val="auto"/>
                <w:kern w:val="2"/>
                <w:sz w:val="22"/>
                <w:szCs w:val="22"/>
                <w:highlight w:val="none"/>
                <w:lang w:val="en-US" w:eastAsia="zh-CN"/>
              </w:rPr>
            </w:pPr>
            <w:r>
              <w:rPr>
                <w:rFonts w:hint="eastAsia" w:ascii="Times New Roman" w:hAnsi="Times New Roman" w:cs="Times New Roman"/>
                <w:color w:val="auto"/>
                <w:kern w:val="2"/>
                <w:sz w:val="22"/>
                <w:szCs w:val="22"/>
                <w:highlight w:val="none"/>
                <w:lang w:eastAsia="zh-CN"/>
              </w:rPr>
              <w:t>（</w:t>
            </w:r>
            <w:r>
              <w:rPr>
                <w:rFonts w:hint="eastAsia" w:ascii="Times New Roman" w:hAnsi="Times New Roman" w:cs="Times New Roman"/>
                <w:color w:val="auto"/>
                <w:kern w:val="2"/>
                <w:sz w:val="22"/>
                <w:szCs w:val="22"/>
                <w:highlight w:val="none"/>
                <w:lang w:val="en-US" w:eastAsia="zh-CN"/>
              </w:rPr>
              <w:t>1</w:t>
            </w:r>
            <w:r>
              <w:rPr>
                <w:rFonts w:hint="eastAsia" w:ascii="Times New Roman" w:hAnsi="Times New Roman" w:cs="Times New Roman"/>
                <w:color w:val="auto"/>
                <w:kern w:val="2"/>
                <w:sz w:val="22"/>
                <w:szCs w:val="22"/>
                <w:highlight w:val="none"/>
                <w:lang w:eastAsia="zh-CN"/>
              </w:rPr>
              <w:t>）</w:t>
            </w:r>
            <w:r>
              <w:rPr>
                <w:rFonts w:hint="eastAsia" w:ascii="Times New Roman" w:hAnsi="Times New Roman" w:cs="Times New Roman"/>
                <w:color w:val="auto"/>
                <w:kern w:val="2"/>
                <w:sz w:val="22"/>
                <w:szCs w:val="22"/>
                <w:highlight w:val="none"/>
                <w:lang w:val="en-US" w:eastAsia="zh-CN"/>
              </w:rPr>
              <w:t>化粪池</w:t>
            </w:r>
          </w:p>
          <w:p>
            <w:pPr>
              <w:spacing w:line="360" w:lineRule="auto"/>
              <w:ind w:firstLine="480"/>
              <w:rPr>
                <w:rFonts w:hint="default" w:ascii="Times New Roman" w:hAnsi="Times New Roman" w:eastAsia="宋体" w:cs="Times New Roman"/>
                <w:color w:val="auto"/>
                <w:kern w:val="2"/>
                <w:sz w:val="22"/>
                <w:szCs w:val="22"/>
                <w:highlight w:val="none"/>
                <w:lang w:val="en-US" w:eastAsia="zh-CN"/>
              </w:rPr>
            </w:pPr>
            <w:r>
              <w:rPr>
                <w:rFonts w:hint="default" w:ascii="Times New Roman" w:hAnsi="Times New Roman" w:cs="Times New Roman"/>
                <w:bCs/>
                <w:color w:val="auto"/>
                <w:sz w:val="22"/>
                <w:szCs w:val="22"/>
                <w:highlight w:val="none"/>
              </w:rPr>
              <w:t>项目定员</w:t>
            </w:r>
            <w:r>
              <w:rPr>
                <w:rFonts w:hint="eastAsia" w:ascii="Times New Roman" w:hAnsi="Times New Roman" w:cs="Times New Roman"/>
                <w:bCs/>
                <w:color w:val="auto"/>
                <w:sz w:val="22"/>
                <w:szCs w:val="22"/>
                <w:highlight w:val="none"/>
                <w:lang w:val="en-US" w:eastAsia="zh-CN"/>
              </w:rPr>
              <w:t>30</w:t>
            </w:r>
            <w:r>
              <w:rPr>
                <w:rFonts w:hint="default" w:ascii="Times New Roman" w:hAnsi="Times New Roman" w:cs="Times New Roman"/>
                <w:bCs/>
                <w:color w:val="auto"/>
                <w:sz w:val="22"/>
                <w:szCs w:val="22"/>
                <w:highlight w:val="none"/>
              </w:rPr>
              <w:t>人，</w:t>
            </w:r>
            <w:r>
              <w:rPr>
                <w:rFonts w:hint="eastAsia" w:ascii="Times New Roman" w:hAnsi="Times New Roman" w:cs="Times New Roman"/>
                <w:bCs/>
                <w:color w:val="auto"/>
                <w:sz w:val="22"/>
                <w:szCs w:val="22"/>
                <w:highlight w:val="none"/>
                <w:lang w:eastAsia="zh-CN"/>
              </w:rPr>
              <w:t>厂内提供食宿</w:t>
            </w:r>
            <w:r>
              <w:rPr>
                <w:rFonts w:hint="default" w:ascii="Times New Roman" w:hAnsi="Times New Roman" w:cs="Times New Roman"/>
                <w:bCs/>
                <w:color w:val="auto"/>
                <w:sz w:val="22"/>
                <w:szCs w:val="22"/>
                <w:highlight w:val="none"/>
              </w:rPr>
              <w:t>，</w:t>
            </w:r>
            <w:r>
              <w:rPr>
                <w:rFonts w:hint="eastAsia" w:ascii="Times New Roman" w:hAnsi="Times New Roman" w:cs="Times New Roman"/>
                <w:bCs/>
                <w:color w:val="auto"/>
                <w:sz w:val="22"/>
                <w:szCs w:val="22"/>
                <w:highlight w:val="none"/>
                <w:lang w:val="en-US" w:eastAsia="zh-CN"/>
              </w:rPr>
              <w:t>根据《四川省用水定额》（川府函[2021]8号），</w:t>
            </w:r>
            <w:r>
              <w:rPr>
                <w:rFonts w:hint="default" w:ascii="Times New Roman" w:hAnsi="Times New Roman" w:cs="Times New Roman"/>
                <w:bCs/>
                <w:color w:val="auto"/>
                <w:sz w:val="22"/>
                <w:szCs w:val="22"/>
                <w:highlight w:val="none"/>
              </w:rPr>
              <w:t>人均用水量以</w:t>
            </w:r>
            <w:r>
              <w:rPr>
                <w:rFonts w:hint="eastAsia" w:ascii="Times New Roman" w:hAnsi="Times New Roman" w:cs="Times New Roman"/>
                <w:bCs/>
                <w:color w:val="auto"/>
                <w:sz w:val="22"/>
                <w:szCs w:val="22"/>
                <w:highlight w:val="none"/>
                <w:lang w:val="en-US" w:eastAsia="zh-CN"/>
              </w:rPr>
              <w:t>160</w:t>
            </w:r>
            <w:r>
              <w:rPr>
                <w:rFonts w:hint="default" w:ascii="Times New Roman" w:hAnsi="Times New Roman" w:cs="Times New Roman"/>
                <w:bCs/>
                <w:color w:val="auto"/>
                <w:sz w:val="22"/>
                <w:szCs w:val="22"/>
                <w:highlight w:val="none"/>
              </w:rPr>
              <w:t>L/d计算，</w:t>
            </w:r>
            <w:r>
              <w:rPr>
                <w:rFonts w:hint="eastAsia" w:ascii="Times New Roman" w:hAnsi="Times New Roman" w:cs="Times New Roman"/>
                <w:bCs/>
                <w:color w:val="auto"/>
                <w:sz w:val="22"/>
                <w:szCs w:val="22"/>
                <w:highlight w:val="none"/>
                <w:lang w:val="en-US" w:eastAsia="zh-CN"/>
              </w:rPr>
              <w:t>则职工生活用水量为4.8m</w:t>
            </w:r>
            <w:r>
              <w:rPr>
                <w:rFonts w:hint="eastAsia" w:ascii="Times New Roman" w:hAnsi="Times New Roman" w:cs="Times New Roman"/>
                <w:bCs/>
                <w:color w:val="auto"/>
                <w:sz w:val="22"/>
                <w:szCs w:val="22"/>
                <w:highlight w:val="none"/>
                <w:vertAlign w:val="superscript"/>
                <w:lang w:val="en-US" w:eastAsia="zh-CN"/>
              </w:rPr>
              <w:t>3</w:t>
            </w:r>
            <w:r>
              <w:rPr>
                <w:rFonts w:hint="eastAsia" w:ascii="Times New Roman" w:hAnsi="Times New Roman" w:cs="Times New Roman"/>
                <w:bCs/>
                <w:color w:val="auto"/>
                <w:sz w:val="22"/>
                <w:szCs w:val="22"/>
                <w:highlight w:val="none"/>
                <w:lang w:val="en-US" w:eastAsia="zh-CN"/>
              </w:rPr>
              <w:t>/d，1440m</w:t>
            </w:r>
            <w:r>
              <w:rPr>
                <w:rFonts w:hint="eastAsia" w:ascii="Times New Roman" w:hAnsi="Times New Roman" w:cs="Times New Roman"/>
                <w:bCs/>
                <w:color w:val="auto"/>
                <w:sz w:val="22"/>
                <w:szCs w:val="22"/>
                <w:highlight w:val="none"/>
                <w:vertAlign w:val="superscript"/>
                <w:lang w:val="en-US" w:eastAsia="zh-CN"/>
              </w:rPr>
              <w:t>3</w:t>
            </w:r>
            <w:r>
              <w:rPr>
                <w:rFonts w:hint="eastAsia" w:ascii="Times New Roman" w:hAnsi="Times New Roman" w:cs="Times New Roman"/>
                <w:bCs/>
                <w:color w:val="auto"/>
                <w:sz w:val="22"/>
                <w:szCs w:val="22"/>
                <w:highlight w:val="none"/>
                <w:lang w:val="en-US" w:eastAsia="zh-CN"/>
              </w:rPr>
              <w:t>/a。排污系数以0.85计，则生活污水产生量为4.08m</w:t>
            </w:r>
            <w:r>
              <w:rPr>
                <w:rFonts w:hint="eastAsia" w:ascii="Times New Roman" w:hAnsi="Times New Roman" w:cs="Times New Roman"/>
                <w:bCs/>
                <w:color w:val="auto"/>
                <w:sz w:val="22"/>
                <w:szCs w:val="22"/>
                <w:highlight w:val="none"/>
                <w:vertAlign w:val="superscript"/>
                <w:lang w:val="en-US" w:eastAsia="zh-CN"/>
              </w:rPr>
              <w:t>3</w:t>
            </w:r>
            <w:r>
              <w:rPr>
                <w:rFonts w:hint="eastAsia" w:ascii="Times New Roman" w:hAnsi="Times New Roman" w:cs="Times New Roman"/>
                <w:bCs/>
                <w:color w:val="auto"/>
                <w:sz w:val="22"/>
                <w:szCs w:val="22"/>
                <w:highlight w:val="none"/>
                <w:lang w:val="en-US" w:eastAsia="zh-CN"/>
              </w:rPr>
              <w:t>/d，1224m</w:t>
            </w:r>
            <w:r>
              <w:rPr>
                <w:rFonts w:hint="eastAsia" w:ascii="Times New Roman" w:hAnsi="Times New Roman" w:cs="Times New Roman"/>
                <w:bCs/>
                <w:color w:val="auto"/>
                <w:sz w:val="22"/>
                <w:szCs w:val="22"/>
                <w:highlight w:val="none"/>
                <w:vertAlign w:val="superscript"/>
                <w:lang w:val="en-US" w:eastAsia="zh-CN"/>
              </w:rPr>
              <w:t>3</w:t>
            </w:r>
            <w:r>
              <w:rPr>
                <w:rFonts w:hint="eastAsia" w:ascii="Times New Roman" w:hAnsi="Times New Roman" w:cs="Times New Roman"/>
                <w:bCs/>
                <w:color w:val="auto"/>
                <w:sz w:val="22"/>
                <w:szCs w:val="22"/>
                <w:highlight w:val="none"/>
                <w:lang w:val="en-US" w:eastAsia="zh-CN"/>
              </w:rPr>
              <w:t>/a。项目设置化粪池容积为5m</w:t>
            </w:r>
            <w:r>
              <w:rPr>
                <w:rFonts w:hint="eastAsia" w:ascii="Times New Roman" w:hAnsi="Times New Roman" w:cs="Times New Roman"/>
                <w:bCs/>
                <w:color w:val="auto"/>
                <w:sz w:val="22"/>
                <w:szCs w:val="22"/>
                <w:highlight w:val="none"/>
                <w:vertAlign w:val="superscript"/>
                <w:lang w:val="en-US" w:eastAsia="zh-CN"/>
              </w:rPr>
              <w:t>3</w:t>
            </w:r>
            <w:r>
              <w:rPr>
                <w:rFonts w:hint="eastAsia" w:ascii="Times New Roman" w:hAnsi="Times New Roman" w:cs="Times New Roman"/>
                <w:bCs/>
                <w:color w:val="auto"/>
                <w:sz w:val="22"/>
                <w:szCs w:val="22"/>
                <w:highlight w:val="none"/>
                <w:lang w:val="en-US" w:eastAsia="zh-CN"/>
              </w:rPr>
              <w:t>，生活污水经化粪池处理后排入乐山市工业集中区污水处理厂，能满足本项目需求。</w:t>
            </w:r>
          </w:p>
          <w:p>
            <w:pPr>
              <w:spacing w:line="360" w:lineRule="auto"/>
              <w:ind w:firstLine="440" w:firstLineChars="200"/>
              <w:rPr>
                <w:rFonts w:hint="default" w:ascii="Times New Roman" w:hAnsi="Times New Roman" w:eastAsia="宋体" w:cs="Times New Roman"/>
                <w:b w:val="0"/>
                <w:bCs w:val="0"/>
                <w:color w:val="auto"/>
                <w:sz w:val="22"/>
                <w:szCs w:val="21"/>
                <w:highlight w:val="none"/>
                <w:lang w:val="en-US" w:eastAsia="zh-CN"/>
              </w:rPr>
            </w:pPr>
            <w:r>
              <w:rPr>
                <w:rFonts w:hint="eastAsia" w:ascii="Times New Roman" w:hAnsi="Times New Roman" w:cs="Times New Roman"/>
                <w:b w:val="0"/>
                <w:bCs w:val="0"/>
                <w:color w:val="auto"/>
                <w:sz w:val="22"/>
                <w:szCs w:val="21"/>
                <w:highlight w:val="none"/>
                <w:lang w:eastAsia="zh-CN"/>
              </w:rPr>
              <w:t>（</w:t>
            </w:r>
            <w:r>
              <w:rPr>
                <w:rFonts w:hint="eastAsia" w:ascii="Times New Roman" w:hAnsi="Times New Roman" w:cs="Times New Roman"/>
                <w:b w:val="0"/>
                <w:bCs w:val="0"/>
                <w:color w:val="auto"/>
                <w:sz w:val="22"/>
                <w:szCs w:val="21"/>
                <w:highlight w:val="none"/>
                <w:lang w:val="en-US" w:eastAsia="zh-CN"/>
              </w:rPr>
              <w:t>2</w:t>
            </w:r>
            <w:r>
              <w:rPr>
                <w:rFonts w:hint="eastAsia" w:ascii="Times New Roman" w:hAnsi="Times New Roman" w:cs="Times New Roman"/>
                <w:b w:val="0"/>
                <w:bCs w:val="0"/>
                <w:color w:val="auto"/>
                <w:sz w:val="22"/>
                <w:szCs w:val="21"/>
                <w:highlight w:val="none"/>
                <w:lang w:eastAsia="zh-CN"/>
              </w:rPr>
              <w:t>）</w:t>
            </w:r>
            <w:r>
              <w:rPr>
                <w:rFonts w:hint="eastAsia" w:ascii="Times New Roman" w:hAnsi="Times New Roman" w:cs="Times New Roman"/>
                <w:b w:val="0"/>
                <w:bCs w:val="0"/>
                <w:color w:val="auto"/>
                <w:sz w:val="22"/>
                <w:szCs w:val="22"/>
                <w:highlight w:val="none"/>
                <w:lang w:val="en-US" w:eastAsia="zh-CN"/>
              </w:rPr>
              <w:t>乐山市工业集中区污水处理厂</w:t>
            </w:r>
            <w:r>
              <w:rPr>
                <w:rFonts w:hint="eastAsia" w:ascii="Times New Roman" w:hAnsi="Times New Roman" w:cs="Times New Roman"/>
                <w:b w:val="0"/>
                <w:bCs w:val="0"/>
                <w:color w:val="auto"/>
                <w:sz w:val="22"/>
                <w:szCs w:val="21"/>
                <w:highlight w:val="none"/>
                <w:lang w:val="en-US" w:eastAsia="zh-CN"/>
              </w:rPr>
              <w:t>依托可行性</w:t>
            </w:r>
          </w:p>
          <w:p>
            <w:pPr>
              <w:pStyle w:val="14"/>
              <w:spacing w:before="0" w:after="0" w:line="360" w:lineRule="auto"/>
              <w:ind w:right="0" w:firstLine="440" w:firstLineChars="200"/>
              <w:jc w:val="left"/>
              <w:rPr>
                <w:rFonts w:hint="eastAsia" w:ascii="Times New Roman" w:hAnsi="Times New Roman" w:eastAsia="宋体" w:cs="Times New Roman"/>
                <w:bCs/>
                <w:color w:val="auto"/>
                <w:sz w:val="22"/>
                <w:szCs w:val="22"/>
                <w:highlight w:val="none"/>
                <w:lang w:val="en-US" w:eastAsia="zh-CN"/>
              </w:rPr>
            </w:pPr>
            <w:r>
              <w:rPr>
                <w:rFonts w:hint="eastAsia" w:ascii="Times New Roman" w:hAnsi="Times New Roman" w:cs="Times New Roman"/>
                <w:bCs/>
                <w:color w:val="auto"/>
                <w:sz w:val="22"/>
                <w:szCs w:val="22"/>
                <w:highlight w:val="none"/>
                <w:lang w:val="en-US" w:eastAsia="zh-CN"/>
              </w:rPr>
              <w:t>乐山市工业集中区污水处理厂位于乐山市市中区石羊村北300m处，2017年10月原乐山市环境保护局（现为乐山市生态环境局）以“乐市环审[2017]85号”文进行了批复，</w:t>
            </w:r>
            <w:r>
              <w:rPr>
                <w:rFonts w:hint="eastAsia" w:ascii="Times New Roman" w:hAnsi="Times New Roman" w:cs="Times New Roman"/>
                <w:bCs/>
                <w:color w:val="auto"/>
                <w:sz w:val="22"/>
                <w:szCs w:val="22"/>
                <w:highlight w:val="none"/>
                <w:lang w:eastAsia="zh-CN"/>
              </w:rPr>
              <w:t>设计总规模</w:t>
            </w:r>
            <w:r>
              <w:rPr>
                <w:rFonts w:hint="eastAsia" w:ascii="Times New Roman" w:hAnsi="Times New Roman" w:cs="Times New Roman"/>
                <w:bCs/>
                <w:color w:val="auto"/>
                <w:sz w:val="22"/>
                <w:szCs w:val="22"/>
                <w:highlight w:val="none"/>
                <w:lang w:val="en-US" w:eastAsia="zh-CN"/>
              </w:rPr>
              <w:t>为</w:t>
            </w:r>
            <w:r>
              <w:rPr>
                <w:rFonts w:hint="eastAsia" w:ascii="Times New Roman" w:hAnsi="Times New Roman" w:cs="Times New Roman"/>
                <w:bCs/>
                <w:color w:val="auto"/>
                <w:sz w:val="22"/>
                <w:szCs w:val="22"/>
                <w:highlight w:val="none"/>
                <w:lang w:eastAsia="zh-CN"/>
              </w:rPr>
              <w:t>10000m</w:t>
            </w:r>
            <w:r>
              <w:rPr>
                <w:rFonts w:hint="eastAsia" w:ascii="Times New Roman" w:hAnsi="Times New Roman" w:cs="Times New Roman"/>
                <w:bCs/>
                <w:color w:val="auto"/>
                <w:sz w:val="22"/>
                <w:szCs w:val="22"/>
                <w:highlight w:val="none"/>
                <w:vertAlign w:val="superscript"/>
                <w:lang w:eastAsia="zh-CN"/>
              </w:rPr>
              <w:t>3</w:t>
            </w:r>
            <w:r>
              <w:rPr>
                <w:rFonts w:hint="eastAsia" w:ascii="Times New Roman" w:hAnsi="Times New Roman" w:cs="Times New Roman"/>
                <w:bCs/>
                <w:color w:val="auto"/>
                <w:sz w:val="22"/>
                <w:szCs w:val="22"/>
                <w:highlight w:val="none"/>
                <w:lang w:eastAsia="zh-CN"/>
              </w:rPr>
              <w:t>/d，分期建设，一期处理规模为5000m</w:t>
            </w:r>
            <w:r>
              <w:rPr>
                <w:rFonts w:hint="eastAsia" w:ascii="Times New Roman" w:hAnsi="Times New Roman" w:cs="Times New Roman"/>
                <w:bCs/>
                <w:color w:val="auto"/>
                <w:sz w:val="22"/>
                <w:szCs w:val="22"/>
                <w:highlight w:val="none"/>
                <w:vertAlign w:val="superscript"/>
                <w:lang w:eastAsia="zh-CN"/>
              </w:rPr>
              <w:t>3</w:t>
            </w:r>
            <w:r>
              <w:rPr>
                <w:rFonts w:hint="eastAsia" w:ascii="Times New Roman" w:hAnsi="Times New Roman" w:cs="Times New Roman"/>
                <w:bCs/>
                <w:color w:val="auto"/>
                <w:sz w:val="22"/>
                <w:szCs w:val="22"/>
                <w:highlight w:val="none"/>
                <w:lang w:eastAsia="zh-CN"/>
              </w:rPr>
              <w:t>/d，预留远期用地。</w:t>
            </w:r>
            <w:r>
              <w:rPr>
                <w:rFonts w:hint="eastAsia" w:ascii="Times New Roman" w:hAnsi="Times New Roman" w:cs="Times New Roman"/>
                <w:bCs/>
                <w:color w:val="auto"/>
                <w:sz w:val="22"/>
                <w:szCs w:val="22"/>
                <w:highlight w:val="none"/>
                <w:lang w:val="en-US" w:eastAsia="zh-CN"/>
              </w:rPr>
              <w:t>目前一期工程已建成投运，设计</w:t>
            </w:r>
            <w:r>
              <w:rPr>
                <w:rFonts w:hint="eastAsia" w:ascii="Times New Roman" w:hAnsi="Times New Roman" w:cs="Times New Roman"/>
                <w:bCs/>
                <w:color w:val="auto"/>
                <w:sz w:val="22"/>
                <w:szCs w:val="22"/>
                <w:highlight w:val="none"/>
                <w:lang w:eastAsia="zh-CN"/>
              </w:rPr>
              <w:t>污水处理能力为</w:t>
            </w:r>
            <w:r>
              <w:rPr>
                <w:rFonts w:hint="eastAsia" w:ascii="Times New Roman" w:hAnsi="Times New Roman" w:cs="Times New Roman"/>
                <w:bCs/>
                <w:color w:val="auto"/>
                <w:sz w:val="22"/>
                <w:szCs w:val="22"/>
                <w:highlight w:val="none"/>
                <w:lang w:val="en-US" w:eastAsia="zh-CN"/>
              </w:rPr>
              <w:t>5000m</w:t>
            </w:r>
            <w:r>
              <w:rPr>
                <w:rFonts w:hint="eastAsia" w:ascii="Times New Roman" w:hAnsi="Times New Roman" w:cs="Times New Roman"/>
                <w:bCs/>
                <w:color w:val="auto"/>
                <w:sz w:val="22"/>
                <w:szCs w:val="22"/>
                <w:highlight w:val="none"/>
                <w:vertAlign w:val="superscript"/>
                <w:lang w:val="en-US" w:eastAsia="zh-CN"/>
              </w:rPr>
              <w:t>3</w:t>
            </w:r>
            <w:r>
              <w:rPr>
                <w:rFonts w:hint="eastAsia" w:ascii="Times New Roman" w:hAnsi="Times New Roman" w:cs="Times New Roman"/>
                <w:bCs/>
                <w:color w:val="auto"/>
                <w:sz w:val="22"/>
                <w:szCs w:val="22"/>
                <w:highlight w:val="none"/>
                <w:lang w:val="en-US" w:eastAsia="zh-CN"/>
              </w:rPr>
              <w:t>/d。</w:t>
            </w:r>
            <w:r>
              <w:rPr>
                <w:rFonts w:hint="eastAsia" w:ascii="Times New Roman" w:hAnsi="Times New Roman" w:eastAsia="宋体" w:cs="Times New Roman"/>
                <w:bCs/>
                <w:color w:val="auto"/>
                <w:sz w:val="22"/>
                <w:szCs w:val="22"/>
                <w:highlight w:val="none"/>
                <w:lang w:val="en-US" w:eastAsia="zh-CN"/>
              </w:rPr>
              <w:t>项目设计采用“预处理+A</w:t>
            </w:r>
            <w:r>
              <w:rPr>
                <w:rFonts w:hint="eastAsia" w:ascii="Times New Roman" w:hAnsi="Times New Roman" w:eastAsia="宋体" w:cs="Times New Roman"/>
                <w:bCs/>
                <w:color w:val="auto"/>
                <w:sz w:val="22"/>
                <w:szCs w:val="22"/>
                <w:highlight w:val="none"/>
                <w:vertAlign w:val="superscript"/>
                <w:lang w:val="en-US" w:eastAsia="zh-CN"/>
              </w:rPr>
              <w:t>2</w:t>
            </w:r>
            <w:r>
              <w:rPr>
                <w:rFonts w:hint="eastAsia" w:ascii="Times New Roman" w:hAnsi="Times New Roman" w:eastAsia="宋体" w:cs="Times New Roman"/>
                <w:bCs/>
                <w:color w:val="auto"/>
                <w:sz w:val="22"/>
                <w:szCs w:val="22"/>
                <w:highlight w:val="none"/>
                <w:lang w:val="en-US" w:eastAsia="zh-CN"/>
              </w:rPr>
              <w:t>/O生化+MBR+臭氧氧化+曝气生物滤池+消毒”工艺，出水执行《四川省岷江、沱江流域水污染物排放标准》（DB51/2311-2016）中表1相关要求。</w:t>
            </w:r>
          </w:p>
          <w:p>
            <w:pPr>
              <w:pStyle w:val="14"/>
              <w:spacing w:before="0" w:after="0" w:line="360" w:lineRule="auto"/>
              <w:ind w:right="0" w:firstLine="440" w:firstLineChars="200"/>
              <w:jc w:val="left"/>
              <w:rPr>
                <w:rFonts w:hint="default" w:ascii="Times New Roman" w:hAnsi="Times New Roman" w:eastAsia="宋体" w:cs="Times New Roman"/>
                <w:bCs/>
                <w:color w:val="auto"/>
                <w:sz w:val="22"/>
                <w:szCs w:val="22"/>
                <w:highlight w:val="none"/>
                <w:lang w:val="en-US" w:eastAsia="zh-CN"/>
              </w:rPr>
            </w:pPr>
            <w:r>
              <w:rPr>
                <w:rFonts w:hint="eastAsia" w:ascii="Times New Roman" w:hAnsi="Times New Roman" w:cs="Times New Roman"/>
                <w:bCs/>
                <w:color w:val="auto"/>
                <w:sz w:val="22"/>
                <w:szCs w:val="22"/>
                <w:highlight w:val="none"/>
                <w:lang w:eastAsia="zh-CN"/>
              </w:rPr>
              <w:t>乐山市工业集中区污水处理厂服务范围为乐山工业集中区水口-罗汉工业园区（</w:t>
            </w:r>
            <w:r>
              <w:rPr>
                <w:rFonts w:hint="eastAsia" w:ascii="Times New Roman" w:hAnsi="Times New Roman" w:cs="Times New Roman"/>
                <w:bCs/>
                <w:color w:val="auto"/>
                <w:sz w:val="22"/>
                <w:szCs w:val="22"/>
                <w:highlight w:val="none"/>
                <w:lang w:val="en-US" w:eastAsia="zh-CN"/>
              </w:rPr>
              <w:t>现为嘉州工业园</w:t>
            </w:r>
            <w:r>
              <w:rPr>
                <w:rFonts w:hint="eastAsia" w:ascii="Times New Roman" w:hAnsi="Times New Roman" w:cs="Times New Roman"/>
                <w:bCs/>
                <w:color w:val="auto"/>
                <w:sz w:val="22"/>
                <w:szCs w:val="22"/>
                <w:highlight w:val="none"/>
                <w:lang w:eastAsia="zh-CN"/>
              </w:rPr>
              <w:t>），</w:t>
            </w:r>
            <w:r>
              <w:rPr>
                <w:rFonts w:hint="eastAsia" w:ascii="Times New Roman" w:hAnsi="Times New Roman" w:cs="Times New Roman"/>
                <w:bCs/>
                <w:color w:val="auto"/>
                <w:sz w:val="22"/>
                <w:szCs w:val="22"/>
                <w:highlight w:val="none"/>
                <w:lang w:val="en-US" w:eastAsia="zh-CN"/>
              </w:rPr>
              <w:t>本项目在污水处理厂纳污范围内，项目磨边、清洗、冷却水水循环使用不外排，水帘废水循环使用，一年更换一次（1m</w:t>
            </w:r>
            <w:r>
              <w:rPr>
                <w:rFonts w:hint="eastAsia" w:ascii="Times New Roman" w:hAnsi="Times New Roman" w:cs="Times New Roman"/>
                <w:bCs/>
                <w:color w:val="auto"/>
                <w:sz w:val="22"/>
                <w:szCs w:val="22"/>
                <w:highlight w:val="none"/>
                <w:vertAlign w:val="superscript"/>
                <w:lang w:val="en-US" w:eastAsia="zh-CN"/>
              </w:rPr>
              <w:t>3</w:t>
            </w:r>
            <w:r>
              <w:rPr>
                <w:rFonts w:hint="eastAsia" w:ascii="Times New Roman" w:hAnsi="Times New Roman" w:cs="Times New Roman"/>
                <w:bCs/>
                <w:color w:val="auto"/>
                <w:sz w:val="22"/>
                <w:szCs w:val="22"/>
                <w:highlight w:val="none"/>
                <w:lang w:val="en-US" w:eastAsia="zh-CN"/>
              </w:rPr>
              <w:t>），生活废水量较小（4.08m</w:t>
            </w:r>
            <w:r>
              <w:rPr>
                <w:rFonts w:hint="eastAsia" w:ascii="Times New Roman" w:hAnsi="Times New Roman" w:cs="Times New Roman"/>
                <w:bCs/>
                <w:color w:val="auto"/>
                <w:sz w:val="22"/>
                <w:szCs w:val="22"/>
                <w:highlight w:val="none"/>
                <w:vertAlign w:val="superscript"/>
                <w:lang w:val="en-US" w:eastAsia="zh-CN"/>
              </w:rPr>
              <w:t>3</w:t>
            </w:r>
            <w:r>
              <w:rPr>
                <w:rFonts w:hint="eastAsia" w:ascii="Times New Roman" w:hAnsi="Times New Roman" w:cs="Times New Roman"/>
                <w:bCs/>
                <w:color w:val="auto"/>
                <w:sz w:val="22"/>
                <w:szCs w:val="22"/>
                <w:highlight w:val="none"/>
                <w:lang w:val="en-US" w:eastAsia="zh-CN"/>
              </w:rPr>
              <w:t>/d，1224m</w:t>
            </w:r>
            <w:r>
              <w:rPr>
                <w:rFonts w:hint="eastAsia" w:ascii="Times New Roman" w:hAnsi="Times New Roman" w:cs="Times New Roman"/>
                <w:bCs/>
                <w:color w:val="auto"/>
                <w:sz w:val="22"/>
                <w:szCs w:val="22"/>
                <w:highlight w:val="none"/>
                <w:vertAlign w:val="superscript"/>
                <w:lang w:val="en-US" w:eastAsia="zh-CN"/>
              </w:rPr>
              <w:t>3</w:t>
            </w:r>
            <w:r>
              <w:rPr>
                <w:rFonts w:hint="eastAsia" w:ascii="Times New Roman" w:hAnsi="Times New Roman" w:cs="Times New Roman"/>
                <w:bCs/>
                <w:color w:val="auto"/>
                <w:sz w:val="22"/>
                <w:szCs w:val="22"/>
                <w:highlight w:val="none"/>
                <w:lang w:val="en-US" w:eastAsia="zh-CN"/>
              </w:rPr>
              <w:t>/a），排水水质排水达到《污水综合排放标准》（GB8978-1996）表4中三级排放标准，其中氨氮、总磷参照执行《污水排入城镇下水道水质标准》（GB/T31962-2015）B级标准，</w:t>
            </w:r>
            <w:r>
              <w:rPr>
                <w:rFonts w:hint="eastAsia" w:ascii="Times New Roman" w:hAnsi="Times New Roman" w:cs="Times New Roman"/>
                <w:bCs/>
                <w:color w:val="auto"/>
                <w:sz w:val="22"/>
                <w:szCs w:val="22"/>
                <w:highlight w:val="none"/>
                <w:lang w:eastAsia="zh-CN"/>
              </w:rPr>
              <w:t>乐山市工业集中区污水处理厂</w:t>
            </w:r>
            <w:r>
              <w:rPr>
                <w:rFonts w:hint="eastAsia" w:ascii="Times New Roman" w:hAnsi="Times New Roman" w:cs="Times New Roman"/>
                <w:bCs/>
                <w:color w:val="auto"/>
                <w:sz w:val="22"/>
                <w:szCs w:val="22"/>
                <w:highlight w:val="none"/>
                <w:lang w:val="en-US" w:eastAsia="zh-CN"/>
              </w:rPr>
              <w:t>能负荷本项目污水。</w:t>
            </w:r>
          </w:p>
          <w:p>
            <w:pPr>
              <w:spacing w:line="360" w:lineRule="auto"/>
              <w:ind w:firstLine="442" w:firstLineChars="200"/>
              <w:rPr>
                <w:rFonts w:hint="default" w:ascii="Times New Roman" w:hAnsi="Times New Roman" w:cs="Times New Roman"/>
                <w:b/>
                <w:bCs/>
                <w:color w:val="auto"/>
                <w:sz w:val="22"/>
                <w:szCs w:val="21"/>
                <w:highlight w:val="none"/>
              </w:rPr>
            </w:pPr>
            <w:r>
              <w:rPr>
                <w:rFonts w:hint="default" w:ascii="Times New Roman" w:hAnsi="Times New Roman" w:cs="Times New Roman"/>
                <w:b/>
                <w:bCs/>
                <w:color w:val="auto"/>
                <w:sz w:val="22"/>
                <w:szCs w:val="21"/>
                <w:highlight w:val="none"/>
              </w:rPr>
              <w:t>2.</w:t>
            </w:r>
            <w:r>
              <w:rPr>
                <w:rFonts w:hint="eastAsia" w:ascii="Times New Roman" w:hAnsi="Times New Roman" w:cs="Times New Roman"/>
                <w:b/>
                <w:bCs/>
                <w:color w:val="auto"/>
                <w:sz w:val="22"/>
                <w:szCs w:val="21"/>
                <w:highlight w:val="none"/>
                <w:lang w:val="en-US" w:eastAsia="zh-CN"/>
              </w:rPr>
              <w:t>3</w:t>
            </w:r>
            <w:r>
              <w:rPr>
                <w:rFonts w:hint="default" w:ascii="Times New Roman" w:hAnsi="Times New Roman" w:cs="Times New Roman"/>
                <w:b/>
                <w:bCs/>
                <w:color w:val="auto"/>
                <w:sz w:val="22"/>
                <w:szCs w:val="21"/>
                <w:highlight w:val="none"/>
              </w:rPr>
              <w:t xml:space="preserve"> 监测要求</w:t>
            </w:r>
          </w:p>
          <w:p>
            <w:pPr>
              <w:spacing w:line="360" w:lineRule="auto"/>
              <w:ind w:firstLine="440" w:firstLineChars="200"/>
              <w:rPr>
                <w:rFonts w:hint="default" w:ascii="Times New Roman" w:hAnsi="Times New Roman" w:cs="Times New Roman"/>
                <w:b/>
                <w:bCs/>
                <w:color w:val="auto"/>
                <w:sz w:val="22"/>
                <w:szCs w:val="21"/>
                <w:highlight w:val="none"/>
              </w:rPr>
            </w:pPr>
            <w:r>
              <w:rPr>
                <w:rFonts w:hint="default" w:ascii="Times New Roman" w:hAnsi="Times New Roman" w:cs="Times New Roman"/>
                <w:color w:val="auto"/>
                <w:sz w:val="22"/>
                <w:szCs w:val="22"/>
                <w:highlight w:val="none"/>
              </w:rPr>
              <w:t>本项目废水</w:t>
            </w:r>
            <w:r>
              <w:rPr>
                <w:rFonts w:hint="default" w:ascii="Times New Roman" w:hAnsi="Times New Roman" w:cs="Times New Roman"/>
                <w:color w:val="auto"/>
                <w:sz w:val="22"/>
                <w:szCs w:val="22"/>
                <w:highlight w:val="none"/>
                <w:lang w:eastAsia="zh-CN"/>
              </w:rPr>
              <w:t>均为间接排放</w:t>
            </w:r>
            <w:r>
              <w:rPr>
                <w:rFonts w:hint="default" w:ascii="Times New Roman" w:hAnsi="Times New Roman" w:cs="Times New Roman"/>
                <w:color w:val="auto"/>
                <w:sz w:val="22"/>
                <w:szCs w:val="22"/>
                <w:highlight w:val="none"/>
              </w:rPr>
              <w:t>，</w:t>
            </w:r>
            <w:r>
              <w:rPr>
                <w:rFonts w:hint="default" w:ascii="Times New Roman" w:hAnsi="Times New Roman" w:cs="Times New Roman"/>
                <w:color w:val="auto"/>
                <w:sz w:val="22"/>
                <w:szCs w:val="22"/>
                <w:highlight w:val="none"/>
                <w:lang w:eastAsia="zh-CN"/>
              </w:rPr>
              <w:t>不要求</w:t>
            </w:r>
            <w:r>
              <w:rPr>
                <w:rFonts w:hint="default" w:ascii="Times New Roman" w:hAnsi="Times New Roman" w:cs="Times New Roman"/>
                <w:color w:val="auto"/>
                <w:sz w:val="22"/>
                <w:szCs w:val="22"/>
                <w:highlight w:val="none"/>
              </w:rPr>
              <w:t>进行废水污染物监测。</w:t>
            </w:r>
          </w:p>
          <w:p>
            <w:pPr>
              <w:adjustRightInd w:val="0"/>
              <w:spacing w:line="360" w:lineRule="auto"/>
              <w:ind w:firstLine="442" w:firstLineChars="200"/>
              <w:rPr>
                <w:rFonts w:hint="default" w:ascii="Times New Roman" w:hAnsi="Times New Roman" w:cs="Times New Roman"/>
                <w:b/>
                <w:bCs/>
                <w:color w:val="auto"/>
                <w:sz w:val="22"/>
                <w:szCs w:val="21"/>
                <w:highlight w:val="none"/>
              </w:rPr>
            </w:pPr>
            <w:r>
              <w:rPr>
                <w:rFonts w:hint="default" w:ascii="Times New Roman" w:hAnsi="Times New Roman" w:cs="Times New Roman"/>
                <w:b/>
                <w:bCs/>
                <w:color w:val="auto"/>
                <w:sz w:val="22"/>
                <w:szCs w:val="21"/>
                <w:highlight w:val="none"/>
              </w:rPr>
              <w:t>2.</w:t>
            </w:r>
            <w:r>
              <w:rPr>
                <w:rFonts w:hint="eastAsia" w:ascii="Times New Roman" w:hAnsi="Times New Roman" w:cs="Times New Roman"/>
                <w:b/>
                <w:bCs/>
                <w:color w:val="auto"/>
                <w:sz w:val="22"/>
                <w:szCs w:val="21"/>
                <w:highlight w:val="none"/>
                <w:lang w:val="en-US" w:eastAsia="zh-CN"/>
              </w:rPr>
              <w:t>4</w:t>
            </w:r>
            <w:r>
              <w:rPr>
                <w:rFonts w:hint="default" w:ascii="Times New Roman" w:hAnsi="Times New Roman" w:cs="Times New Roman"/>
                <w:b/>
                <w:bCs/>
                <w:color w:val="auto"/>
                <w:sz w:val="22"/>
                <w:szCs w:val="21"/>
                <w:highlight w:val="none"/>
              </w:rPr>
              <w:t xml:space="preserve"> 达标排放情况</w:t>
            </w:r>
          </w:p>
          <w:p>
            <w:pPr>
              <w:pStyle w:val="14"/>
              <w:spacing w:before="0" w:after="0" w:line="360" w:lineRule="auto"/>
              <w:ind w:right="0" w:firstLine="440" w:firstLineChars="200"/>
              <w:jc w:val="left"/>
              <w:rPr>
                <w:rFonts w:hint="default" w:ascii="Times New Roman" w:hAnsi="Times New Roman" w:cs="Times New Roman"/>
                <w:bCs/>
                <w:color w:val="auto"/>
                <w:sz w:val="22"/>
                <w:szCs w:val="22"/>
                <w:highlight w:val="none"/>
                <w:lang w:val="en-US" w:eastAsia="zh-CN"/>
              </w:rPr>
            </w:pPr>
            <w:r>
              <w:rPr>
                <w:rFonts w:hint="default" w:ascii="Times New Roman" w:hAnsi="Times New Roman" w:eastAsia="宋体" w:cs="Times New Roman"/>
                <w:color w:val="auto"/>
                <w:kern w:val="0"/>
                <w:sz w:val="22"/>
                <w:szCs w:val="22"/>
                <w:highlight w:val="none"/>
              </w:rPr>
              <w:t>根据乐山市生态环境局于2023年3月8日发布的《乐山市地表水水质质量月报（2023年2月）》</w:t>
            </w:r>
            <w:r>
              <w:rPr>
                <w:rFonts w:hint="eastAsia" w:ascii="Times New Roman" w:hAnsi="Times New Roman" w:eastAsia="宋体" w:cs="Times New Roman"/>
                <w:color w:val="auto"/>
                <w:kern w:val="0"/>
                <w:sz w:val="22"/>
                <w:szCs w:val="22"/>
                <w:highlight w:val="none"/>
                <w:lang w:eastAsia="zh-CN"/>
              </w:rPr>
              <w:t>：2023年2月，列入国家考核的6个断面和省考核的8个断面水质均符合《地表水环境质量标准》（GB3838－2002）Ⅲ类标准，断面达标率为100％，水质状况良好</w:t>
            </w:r>
            <w:r>
              <w:rPr>
                <w:rFonts w:hint="default" w:ascii="Times New Roman" w:hAnsi="Times New Roman" w:cs="Times New Roman"/>
                <w:bCs/>
                <w:color w:val="auto"/>
                <w:sz w:val="22"/>
                <w:szCs w:val="22"/>
                <w:highlight w:val="none"/>
                <w:lang w:val="en-US" w:eastAsia="zh-CN"/>
              </w:rPr>
              <w:t>。</w:t>
            </w:r>
          </w:p>
          <w:p>
            <w:pPr>
              <w:spacing w:line="360" w:lineRule="auto"/>
              <w:ind w:firstLine="480"/>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本项目废水</w:t>
            </w:r>
            <w:r>
              <w:rPr>
                <w:rFonts w:hint="default" w:ascii="Times New Roman" w:hAnsi="Times New Roman" w:cs="Times New Roman"/>
                <w:color w:val="auto"/>
                <w:sz w:val="22"/>
                <w:szCs w:val="22"/>
                <w:highlight w:val="none"/>
                <w:lang w:eastAsia="zh-CN"/>
              </w:rPr>
              <w:t>为间接排放</w:t>
            </w:r>
            <w:r>
              <w:rPr>
                <w:rFonts w:hint="default" w:ascii="Times New Roman" w:hAnsi="Times New Roman" w:cs="Times New Roman"/>
                <w:color w:val="auto"/>
                <w:sz w:val="22"/>
                <w:szCs w:val="22"/>
                <w:highlight w:val="none"/>
              </w:rPr>
              <w:t>，</w:t>
            </w:r>
            <w:r>
              <w:rPr>
                <w:rFonts w:hint="eastAsia" w:ascii="Times New Roman" w:hAnsi="Times New Roman" w:cs="Times New Roman"/>
                <w:color w:val="auto"/>
                <w:sz w:val="22"/>
                <w:szCs w:val="22"/>
                <w:highlight w:val="none"/>
                <w:lang w:val="en-US" w:eastAsia="zh-CN"/>
              </w:rPr>
              <w:t>水质达</w:t>
            </w:r>
            <w:r>
              <w:rPr>
                <w:rFonts w:hint="default" w:ascii="Times New Roman" w:hAnsi="Times New Roman" w:cs="Times New Roman"/>
                <w:color w:val="auto"/>
                <w:kern w:val="2"/>
                <w:sz w:val="22"/>
                <w:szCs w:val="21"/>
                <w:highlight w:val="none"/>
                <w:lang w:val="zh-CN"/>
              </w:rPr>
              <w:t>《污水综合排放标准》（</w:t>
            </w:r>
            <w:r>
              <w:rPr>
                <w:rFonts w:hint="default" w:ascii="Times New Roman" w:hAnsi="Times New Roman" w:cs="Times New Roman"/>
                <w:color w:val="auto"/>
                <w:kern w:val="2"/>
                <w:sz w:val="22"/>
                <w:szCs w:val="21"/>
                <w:highlight w:val="none"/>
                <w:lang w:val="en-US" w:eastAsia="zh-CN"/>
              </w:rPr>
              <w:t>GB8978-2002</w:t>
            </w:r>
            <w:r>
              <w:rPr>
                <w:rFonts w:hint="default" w:ascii="Times New Roman" w:hAnsi="Times New Roman" w:cs="Times New Roman"/>
                <w:color w:val="auto"/>
                <w:kern w:val="2"/>
                <w:sz w:val="22"/>
                <w:szCs w:val="21"/>
                <w:highlight w:val="none"/>
                <w:lang w:val="zh-CN"/>
              </w:rPr>
              <w:t>）中三级标准</w:t>
            </w:r>
            <w:r>
              <w:rPr>
                <w:rFonts w:hint="eastAsia" w:ascii="Times New Roman" w:hAnsi="Times New Roman" w:cs="Times New Roman"/>
                <w:color w:val="auto"/>
                <w:kern w:val="2"/>
                <w:sz w:val="22"/>
                <w:szCs w:val="21"/>
                <w:highlight w:val="none"/>
                <w:lang w:val="en-US" w:eastAsia="zh-CN"/>
              </w:rPr>
              <w:t>后排入</w:t>
            </w:r>
            <w:r>
              <w:rPr>
                <w:rFonts w:hint="eastAsia" w:ascii="Times New Roman" w:hAnsi="Times New Roman" w:cs="Times New Roman"/>
                <w:bCs/>
                <w:color w:val="auto"/>
                <w:sz w:val="22"/>
                <w:szCs w:val="22"/>
                <w:highlight w:val="none"/>
                <w:lang w:eastAsia="zh-CN"/>
              </w:rPr>
              <w:t>乐山市工业集中区污水处理厂</w:t>
            </w:r>
            <w:r>
              <w:rPr>
                <w:rFonts w:hint="default" w:ascii="Times New Roman" w:hAnsi="Times New Roman" w:cs="Times New Roman"/>
                <w:bCs/>
                <w:color w:val="auto"/>
                <w:sz w:val="22"/>
                <w:szCs w:val="22"/>
                <w:highlight w:val="none"/>
                <w:lang w:val="en-US" w:eastAsia="zh-CN"/>
              </w:rPr>
              <w:t>，</w:t>
            </w:r>
            <w:r>
              <w:rPr>
                <w:rFonts w:hint="default" w:ascii="Times New Roman" w:hAnsi="Times New Roman" w:cs="Times New Roman"/>
                <w:color w:val="auto"/>
                <w:sz w:val="22"/>
                <w:szCs w:val="22"/>
                <w:highlight w:val="none"/>
              </w:rPr>
              <w:t>不会对</w:t>
            </w:r>
            <w:r>
              <w:rPr>
                <w:rFonts w:hint="eastAsia" w:ascii="Times New Roman" w:hAnsi="Times New Roman" w:cs="Times New Roman"/>
                <w:color w:val="auto"/>
                <w:sz w:val="22"/>
                <w:szCs w:val="22"/>
                <w:highlight w:val="none"/>
                <w:lang w:val="en-US" w:eastAsia="zh-CN"/>
              </w:rPr>
              <w:t>大渡河</w:t>
            </w:r>
            <w:r>
              <w:rPr>
                <w:rFonts w:hint="default" w:ascii="Times New Roman" w:hAnsi="Times New Roman" w:cs="Times New Roman"/>
                <w:color w:val="auto"/>
                <w:sz w:val="22"/>
                <w:szCs w:val="22"/>
                <w:highlight w:val="none"/>
              </w:rPr>
              <w:t>造成影响。</w:t>
            </w:r>
          </w:p>
          <w:p>
            <w:pPr>
              <w:spacing w:line="360" w:lineRule="auto"/>
              <w:ind w:firstLine="442" w:firstLineChars="200"/>
              <w:rPr>
                <w:rFonts w:hint="default" w:ascii="Times New Roman" w:hAnsi="Times New Roman" w:cs="Times New Roman"/>
                <w:color w:val="auto"/>
                <w:sz w:val="22"/>
                <w:szCs w:val="22"/>
                <w:highlight w:val="none"/>
                <w:lang w:val="en-US" w:eastAsia="zh-CN"/>
              </w:rPr>
            </w:pPr>
            <w:r>
              <w:rPr>
                <w:rFonts w:hint="default" w:ascii="Times New Roman" w:hAnsi="Times New Roman" w:cs="Times New Roman"/>
                <w:b/>
                <w:bCs/>
                <w:color w:val="auto"/>
                <w:sz w:val="22"/>
                <w:szCs w:val="21"/>
                <w:highlight w:val="none"/>
              </w:rPr>
              <w:t>3、噪声</w:t>
            </w:r>
          </w:p>
          <w:p>
            <w:pPr>
              <w:spacing w:line="360" w:lineRule="auto"/>
              <w:ind w:firstLine="442" w:firstLineChars="200"/>
              <w:rPr>
                <w:b/>
                <w:bCs/>
                <w:color w:val="auto"/>
                <w:sz w:val="22"/>
                <w:szCs w:val="21"/>
                <w:highlight w:val="none"/>
              </w:rPr>
            </w:pPr>
            <w:r>
              <w:rPr>
                <w:b/>
                <w:bCs/>
                <w:color w:val="auto"/>
                <w:sz w:val="22"/>
                <w:szCs w:val="21"/>
                <w:highlight w:val="none"/>
              </w:rPr>
              <w:t>3.1 噪声产排情况</w:t>
            </w:r>
          </w:p>
          <w:p>
            <w:pPr>
              <w:spacing w:line="360" w:lineRule="auto"/>
              <w:ind w:firstLine="440" w:firstLineChars="200"/>
              <w:rPr>
                <w:rFonts w:hint="eastAsia" w:ascii="Times New Roman" w:hAnsi="Times New Roman" w:eastAsia="宋体" w:cs="Times New Roman"/>
                <w:color w:val="auto"/>
                <w:sz w:val="22"/>
                <w:szCs w:val="22"/>
                <w:highlight w:val="none"/>
                <w:lang w:eastAsia="zh-CN"/>
              </w:rPr>
            </w:pPr>
            <w:r>
              <w:rPr>
                <w:rFonts w:hint="eastAsia"/>
                <w:color w:val="auto"/>
                <w:sz w:val="22"/>
                <w:szCs w:val="22"/>
                <w:highlight w:val="none"/>
                <w:lang w:eastAsia="zh-CN"/>
              </w:rPr>
              <w:t>项目噪声源主要为各生产设备运转是产生的噪</w:t>
            </w:r>
            <w:r>
              <w:rPr>
                <w:rFonts w:hint="eastAsia" w:ascii="Times New Roman" w:hAnsi="Times New Roman" w:eastAsia="宋体" w:cs="Times New Roman"/>
                <w:color w:val="auto"/>
                <w:sz w:val="22"/>
                <w:szCs w:val="22"/>
                <w:highlight w:val="none"/>
                <w:lang w:eastAsia="zh-CN"/>
              </w:rPr>
              <w:t>声，主要噪声源源强见下表：</w:t>
            </w:r>
          </w:p>
          <w:p>
            <w:pPr>
              <w:pStyle w:val="14"/>
              <w:tabs>
                <w:tab w:val="left" w:pos="1425"/>
              </w:tabs>
              <w:spacing w:before="0" w:after="0" w:line="240" w:lineRule="auto"/>
              <w:ind w:right="0"/>
              <w:jc w:val="center"/>
              <w:outlineLvl w:val="0"/>
              <w:rPr>
                <w:b/>
                <w:color w:val="auto"/>
                <w:kern w:val="2"/>
                <w:sz w:val="21"/>
                <w:szCs w:val="21"/>
                <w:highlight w:val="none"/>
              </w:rPr>
            </w:pPr>
          </w:p>
          <w:p>
            <w:pPr>
              <w:pStyle w:val="14"/>
              <w:tabs>
                <w:tab w:val="left" w:pos="1425"/>
              </w:tabs>
              <w:spacing w:before="0" w:after="0" w:line="240" w:lineRule="auto"/>
              <w:ind w:right="0"/>
              <w:jc w:val="center"/>
              <w:outlineLvl w:val="0"/>
              <w:rPr>
                <w:b/>
                <w:color w:val="auto"/>
                <w:kern w:val="2"/>
                <w:sz w:val="21"/>
                <w:szCs w:val="21"/>
                <w:highlight w:val="none"/>
              </w:rPr>
            </w:pPr>
          </w:p>
          <w:p>
            <w:pPr>
              <w:pStyle w:val="14"/>
              <w:tabs>
                <w:tab w:val="left" w:pos="1425"/>
              </w:tabs>
              <w:spacing w:before="0" w:after="0" w:line="240" w:lineRule="auto"/>
              <w:ind w:right="0"/>
              <w:jc w:val="center"/>
              <w:outlineLvl w:val="0"/>
              <w:rPr>
                <w:b/>
                <w:color w:val="auto"/>
                <w:kern w:val="2"/>
                <w:sz w:val="21"/>
                <w:szCs w:val="21"/>
                <w:highlight w:val="none"/>
              </w:rPr>
            </w:pPr>
          </w:p>
          <w:p>
            <w:pPr>
              <w:pStyle w:val="14"/>
              <w:tabs>
                <w:tab w:val="left" w:pos="1425"/>
              </w:tabs>
              <w:spacing w:before="0" w:after="0" w:line="240" w:lineRule="auto"/>
              <w:ind w:right="0"/>
              <w:jc w:val="center"/>
              <w:outlineLvl w:val="0"/>
              <w:rPr>
                <w:b/>
                <w:color w:val="auto"/>
                <w:kern w:val="2"/>
                <w:sz w:val="21"/>
                <w:szCs w:val="21"/>
                <w:highlight w:val="none"/>
              </w:rPr>
            </w:pPr>
          </w:p>
          <w:p>
            <w:pPr>
              <w:pStyle w:val="14"/>
              <w:tabs>
                <w:tab w:val="left" w:pos="1425"/>
              </w:tabs>
              <w:spacing w:before="0" w:after="0" w:line="240" w:lineRule="auto"/>
              <w:ind w:right="0"/>
              <w:jc w:val="center"/>
              <w:outlineLvl w:val="0"/>
              <w:rPr>
                <w:b/>
                <w:color w:val="auto"/>
                <w:kern w:val="2"/>
                <w:sz w:val="21"/>
                <w:szCs w:val="21"/>
                <w:highlight w:val="none"/>
              </w:rPr>
            </w:pPr>
          </w:p>
          <w:p>
            <w:pPr>
              <w:pStyle w:val="14"/>
              <w:tabs>
                <w:tab w:val="left" w:pos="1425"/>
              </w:tabs>
              <w:spacing w:before="0" w:after="0" w:line="240" w:lineRule="auto"/>
              <w:ind w:right="0"/>
              <w:jc w:val="center"/>
              <w:outlineLvl w:val="0"/>
              <w:rPr>
                <w:b/>
                <w:color w:val="auto"/>
                <w:kern w:val="2"/>
                <w:sz w:val="21"/>
                <w:szCs w:val="21"/>
                <w:highlight w:val="none"/>
              </w:rPr>
            </w:pPr>
            <w:r>
              <w:rPr>
                <w:b/>
                <w:color w:val="auto"/>
                <w:kern w:val="2"/>
                <w:sz w:val="21"/>
                <w:szCs w:val="21"/>
                <w:highlight w:val="none"/>
              </w:rPr>
              <w:t>表4-</w:t>
            </w:r>
            <w:r>
              <w:rPr>
                <w:rFonts w:hint="eastAsia"/>
                <w:b/>
                <w:color w:val="auto"/>
                <w:kern w:val="2"/>
                <w:sz w:val="21"/>
                <w:szCs w:val="21"/>
                <w:highlight w:val="none"/>
                <w:lang w:val="en-US" w:eastAsia="zh-CN"/>
              </w:rPr>
              <w:t xml:space="preserve">7 </w:t>
            </w:r>
            <w:r>
              <w:rPr>
                <w:b/>
                <w:color w:val="auto"/>
                <w:kern w:val="2"/>
                <w:sz w:val="21"/>
                <w:szCs w:val="21"/>
                <w:highlight w:val="none"/>
              </w:rPr>
              <w:t>噪声源产排情况一览表</w:t>
            </w:r>
          </w:p>
          <w:tbl>
            <w:tblPr>
              <w:tblStyle w:val="43"/>
              <w:tblW w:w="7974" w:type="dxa"/>
              <w:tblInd w:w="-76"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71"/>
              <w:gridCol w:w="707"/>
              <w:gridCol w:w="645"/>
              <w:gridCol w:w="752"/>
              <w:gridCol w:w="1023"/>
              <w:gridCol w:w="914"/>
              <w:gridCol w:w="681"/>
              <w:gridCol w:w="622"/>
              <w:gridCol w:w="692"/>
              <w:gridCol w:w="86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671" w:type="pct"/>
                  <w:vMerge w:val="restar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color w:val="000000"/>
                      <w:sz w:val="20"/>
                      <w:szCs w:val="20"/>
                      <w:highlight w:val="none"/>
                    </w:rPr>
                  </w:pPr>
                  <w:r>
                    <w:rPr>
                      <w:rFonts w:hint="default" w:ascii="Times New Roman" w:hAnsi="Times New Roman" w:cs="Times New Roman"/>
                      <w:color w:val="000000"/>
                      <w:sz w:val="20"/>
                      <w:szCs w:val="20"/>
                      <w:highlight w:val="none"/>
                    </w:rPr>
                    <w:t>噪声源</w:t>
                  </w:r>
                </w:p>
              </w:tc>
              <w:tc>
                <w:tcPr>
                  <w:tcW w:w="443" w:type="pct"/>
                  <w:vMerge w:val="restar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color w:val="000000"/>
                      <w:sz w:val="20"/>
                      <w:szCs w:val="20"/>
                      <w:highlight w:val="none"/>
                    </w:rPr>
                  </w:pPr>
                  <w:r>
                    <w:rPr>
                      <w:rFonts w:hint="default" w:ascii="Times New Roman" w:hAnsi="Times New Roman" w:cs="Times New Roman"/>
                      <w:color w:val="000000"/>
                      <w:sz w:val="20"/>
                      <w:szCs w:val="20"/>
                      <w:highlight w:val="none"/>
                    </w:rPr>
                    <w:t>声源类型</w:t>
                  </w:r>
                </w:p>
              </w:tc>
              <w:tc>
                <w:tcPr>
                  <w:tcW w:w="875" w:type="pct"/>
                  <w:gridSpan w:val="2"/>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color w:val="000000"/>
                      <w:sz w:val="20"/>
                      <w:szCs w:val="20"/>
                      <w:highlight w:val="none"/>
                    </w:rPr>
                  </w:pPr>
                  <w:r>
                    <w:rPr>
                      <w:rFonts w:hint="default" w:ascii="Times New Roman" w:hAnsi="Times New Roman" w:cs="Times New Roman"/>
                      <w:color w:val="000000"/>
                      <w:sz w:val="20"/>
                      <w:szCs w:val="20"/>
                      <w:highlight w:val="none"/>
                    </w:rPr>
                    <w:t>噪声源强</w:t>
                  </w:r>
                </w:p>
              </w:tc>
              <w:tc>
                <w:tcPr>
                  <w:tcW w:w="1214" w:type="pct"/>
                  <w:gridSpan w:val="2"/>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color w:val="000000"/>
                      <w:sz w:val="20"/>
                      <w:szCs w:val="20"/>
                      <w:highlight w:val="none"/>
                    </w:rPr>
                  </w:pPr>
                  <w:r>
                    <w:rPr>
                      <w:rFonts w:hint="default" w:ascii="Times New Roman" w:hAnsi="Times New Roman" w:cs="Times New Roman"/>
                      <w:color w:val="000000"/>
                      <w:sz w:val="20"/>
                      <w:szCs w:val="20"/>
                      <w:highlight w:val="none"/>
                    </w:rPr>
                    <w:t>降噪措施</w:t>
                  </w:r>
                </w:p>
              </w:tc>
              <w:tc>
                <w:tcPr>
                  <w:tcW w:w="817" w:type="pct"/>
                  <w:gridSpan w:val="2"/>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color w:val="000000"/>
                      <w:sz w:val="20"/>
                      <w:szCs w:val="20"/>
                      <w:highlight w:val="none"/>
                    </w:rPr>
                  </w:pPr>
                  <w:r>
                    <w:rPr>
                      <w:rFonts w:hint="default" w:ascii="Times New Roman" w:hAnsi="Times New Roman" w:cs="Times New Roman"/>
                      <w:color w:val="000000"/>
                      <w:sz w:val="20"/>
                      <w:szCs w:val="20"/>
                      <w:highlight w:val="none"/>
                    </w:rPr>
                    <w:t>噪声排放值</w:t>
                  </w:r>
                </w:p>
              </w:tc>
              <w:tc>
                <w:tcPr>
                  <w:tcW w:w="433" w:type="pct"/>
                  <w:vMerge w:val="restar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000000"/>
                      <w:sz w:val="20"/>
                      <w:szCs w:val="20"/>
                      <w:highlight w:val="none"/>
                      <w:lang w:eastAsia="zh-CN"/>
                    </w:rPr>
                  </w:pPr>
                  <w:r>
                    <w:rPr>
                      <w:rFonts w:hint="default" w:ascii="Times New Roman" w:hAnsi="Times New Roman" w:cs="Times New Roman"/>
                      <w:color w:val="000000"/>
                      <w:sz w:val="20"/>
                      <w:szCs w:val="20"/>
                      <w:highlight w:val="none"/>
                      <w:lang w:eastAsia="zh-CN"/>
                    </w:rPr>
                    <w:t>噪声源位置</w:t>
                  </w:r>
                </w:p>
              </w:tc>
              <w:tc>
                <w:tcPr>
                  <w:tcW w:w="543" w:type="pct"/>
                  <w:vMerge w:val="restar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color w:val="000000"/>
                      <w:sz w:val="20"/>
                      <w:szCs w:val="20"/>
                      <w:highlight w:val="none"/>
                      <w:lang w:eastAsia="zh-CN"/>
                    </w:rPr>
                  </w:pPr>
                  <w:r>
                    <w:rPr>
                      <w:rFonts w:hint="default" w:ascii="Times New Roman" w:hAnsi="Times New Roman" w:cs="Times New Roman"/>
                      <w:color w:val="000000"/>
                      <w:sz w:val="20"/>
                      <w:szCs w:val="20"/>
                      <w:highlight w:val="none"/>
                      <w:lang w:eastAsia="zh-CN"/>
                    </w:rPr>
                    <w:t>持续时间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4" w:hRule="atLeast"/>
              </w:trPr>
              <w:tc>
                <w:tcPr>
                  <w:tcW w:w="671" w:type="pct"/>
                  <w:vMerge w:val="continue"/>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color w:val="000000"/>
                      <w:sz w:val="20"/>
                      <w:szCs w:val="20"/>
                      <w:highlight w:val="none"/>
                    </w:rPr>
                  </w:pPr>
                </w:p>
              </w:tc>
              <w:tc>
                <w:tcPr>
                  <w:tcW w:w="443" w:type="pct"/>
                  <w:vMerge w:val="continue"/>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color w:val="000000"/>
                      <w:sz w:val="20"/>
                      <w:szCs w:val="20"/>
                      <w:highlight w:val="none"/>
                    </w:rPr>
                  </w:pPr>
                </w:p>
              </w:tc>
              <w:tc>
                <w:tcPr>
                  <w:tcW w:w="404"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color w:val="000000"/>
                      <w:sz w:val="20"/>
                      <w:szCs w:val="20"/>
                      <w:highlight w:val="none"/>
                    </w:rPr>
                  </w:pPr>
                  <w:r>
                    <w:rPr>
                      <w:rFonts w:hint="default" w:ascii="Times New Roman" w:hAnsi="Times New Roman" w:cs="Times New Roman"/>
                      <w:color w:val="000000"/>
                      <w:sz w:val="20"/>
                      <w:szCs w:val="20"/>
                      <w:highlight w:val="none"/>
                    </w:rPr>
                    <w:t>核算方法</w:t>
                  </w:r>
                </w:p>
              </w:tc>
              <w:tc>
                <w:tcPr>
                  <w:tcW w:w="471"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color w:val="000000"/>
                      <w:sz w:val="20"/>
                      <w:szCs w:val="20"/>
                      <w:highlight w:val="none"/>
                    </w:rPr>
                  </w:pPr>
                  <w:r>
                    <w:rPr>
                      <w:rFonts w:hint="default" w:ascii="Times New Roman" w:hAnsi="Times New Roman" w:cs="Times New Roman"/>
                      <w:color w:val="000000"/>
                      <w:sz w:val="20"/>
                      <w:szCs w:val="20"/>
                      <w:highlight w:val="none"/>
                    </w:rPr>
                    <w:t>噪声值dB（A）</w:t>
                  </w:r>
                </w:p>
              </w:tc>
              <w:tc>
                <w:tcPr>
                  <w:tcW w:w="641"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color w:val="000000"/>
                      <w:sz w:val="20"/>
                      <w:szCs w:val="20"/>
                      <w:highlight w:val="none"/>
                    </w:rPr>
                  </w:pPr>
                  <w:r>
                    <w:rPr>
                      <w:rFonts w:hint="default" w:ascii="Times New Roman" w:hAnsi="Times New Roman" w:cs="Times New Roman"/>
                      <w:color w:val="000000"/>
                      <w:sz w:val="20"/>
                      <w:szCs w:val="20"/>
                      <w:highlight w:val="none"/>
                    </w:rPr>
                    <w:t>工艺</w:t>
                  </w:r>
                </w:p>
              </w:tc>
              <w:tc>
                <w:tcPr>
                  <w:tcW w:w="573"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color w:val="000000"/>
                      <w:sz w:val="20"/>
                      <w:szCs w:val="20"/>
                      <w:highlight w:val="none"/>
                    </w:rPr>
                  </w:pPr>
                  <w:r>
                    <w:rPr>
                      <w:rFonts w:hint="default" w:ascii="Times New Roman" w:hAnsi="Times New Roman" w:cs="Times New Roman"/>
                      <w:color w:val="000000"/>
                      <w:sz w:val="20"/>
                      <w:szCs w:val="20"/>
                      <w:highlight w:val="none"/>
                    </w:rPr>
                    <w:t>降噪效果dB（A）</w:t>
                  </w:r>
                </w:p>
              </w:tc>
              <w:tc>
                <w:tcPr>
                  <w:tcW w:w="427"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color w:val="000000"/>
                      <w:sz w:val="20"/>
                      <w:szCs w:val="20"/>
                      <w:highlight w:val="none"/>
                    </w:rPr>
                  </w:pPr>
                  <w:r>
                    <w:rPr>
                      <w:rFonts w:hint="default" w:ascii="Times New Roman" w:hAnsi="Times New Roman" w:cs="Times New Roman"/>
                      <w:color w:val="000000"/>
                      <w:sz w:val="20"/>
                      <w:szCs w:val="20"/>
                      <w:highlight w:val="none"/>
                    </w:rPr>
                    <w:t>核算方法</w:t>
                  </w:r>
                </w:p>
              </w:tc>
              <w:tc>
                <w:tcPr>
                  <w:tcW w:w="390"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color w:val="000000"/>
                      <w:sz w:val="20"/>
                      <w:szCs w:val="20"/>
                      <w:highlight w:val="none"/>
                    </w:rPr>
                  </w:pPr>
                  <w:r>
                    <w:rPr>
                      <w:rFonts w:hint="default" w:ascii="Times New Roman" w:hAnsi="Times New Roman" w:cs="Times New Roman"/>
                      <w:color w:val="000000"/>
                      <w:sz w:val="20"/>
                      <w:szCs w:val="20"/>
                      <w:highlight w:val="none"/>
                    </w:rPr>
                    <w:t>噪声值</w:t>
                  </w:r>
                </w:p>
              </w:tc>
              <w:tc>
                <w:tcPr>
                  <w:tcW w:w="433" w:type="pct"/>
                  <w:vMerge w:val="continue"/>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color w:val="000000"/>
                      <w:sz w:val="20"/>
                      <w:szCs w:val="20"/>
                      <w:highlight w:val="none"/>
                    </w:rPr>
                  </w:pPr>
                </w:p>
              </w:tc>
              <w:tc>
                <w:tcPr>
                  <w:tcW w:w="543" w:type="pct"/>
                  <w:vMerge w:val="continue"/>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color w:val="000000"/>
                      <w:sz w:val="20"/>
                      <w:szCs w:val="20"/>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671" w:type="pct"/>
                  <w:tcBorders>
                    <w:tl2br w:val="nil"/>
                    <w:tr2bl w:val="nil"/>
                  </w:tcBorders>
                  <w:noWrap w:val="0"/>
                  <w:vAlign w:val="center"/>
                </w:tcPr>
                <w:p>
                  <w:pPr>
                    <w:widowControl/>
                    <w:spacing w:line="300" w:lineRule="exact"/>
                    <w:ind w:firstLine="35" w:firstLineChars="17"/>
                    <w:jc w:val="center"/>
                    <w:rPr>
                      <w:rFonts w:hint="eastAsia" w:ascii="Times New Roman" w:hAnsi="Times New Roman" w:eastAsia="宋体" w:cs="Times New Roman"/>
                      <w:i w:val="0"/>
                      <w:iCs w:val="0"/>
                      <w:color w:val="000000"/>
                      <w:kern w:val="0"/>
                      <w:sz w:val="20"/>
                      <w:szCs w:val="20"/>
                      <w:highlight w:val="none"/>
                      <w:u w:val="none"/>
                      <w:lang w:val="en-US" w:eastAsia="zh-CN" w:bidi="ar"/>
                    </w:rPr>
                  </w:pPr>
                  <w:r>
                    <w:rPr>
                      <w:rFonts w:hint="eastAsia" w:ascii="Times New Roman" w:hAnsi="Times New Roman" w:eastAsia="宋体" w:cs="Times New Roman"/>
                      <w:color w:val="auto"/>
                      <w:kern w:val="0"/>
                      <w:sz w:val="21"/>
                      <w:szCs w:val="21"/>
                      <w:highlight w:val="none"/>
                      <w:lang w:val="en-US" w:eastAsia="zh-CN"/>
                    </w:rPr>
                    <w:t>切割机</w:t>
                  </w:r>
                </w:p>
              </w:tc>
              <w:tc>
                <w:tcPr>
                  <w:tcW w:w="4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000000"/>
                      <w:sz w:val="20"/>
                      <w:szCs w:val="20"/>
                      <w:highlight w:val="none"/>
                    </w:rPr>
                  </w:pPr>
                  <w:r>
                    <w:rPr>
                      <w:rFonts w:hint="default" w:ascii="Times New Roman" w:hAnsi="Times New Roman" w:cs="Times New Roman"/>
                      <w:color w:val="000000"/>
                      <w:sz w:val="20"/>
                      <w:szCs w:val="20"/>
                      <w:highlight w:val="none"/>
                    </w:rPr>
                    <w:t>频发</w:t>
                  </w:r>
                </w:p>
              </w:tc>
              <w:tc>
                <w:tcPr>
                  <w:tcW w:w="404" w:type="pct"/>
                  <w:vMerge w:val="restar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color w:val="000000"/>
                      <w:sz w:val="20"/>
                      <w:szCs w:val="20"/>
                      <w:highlight w:val="none"/>
                    </w:rPr>
                  </w:pPr>
                  <w:r>
                    <w:rPr>
                      <w:rFonts w:hint="default" w:ascii="Times New Roman" w:hAnsi="Times New Roman" w:cs="Times New Roman"/>
                      <w:color w:val="000000"/>
                      <w:sz w:val="20"/>
                      <w:szCs w:val="20"/>
                      <w:highlight w:val="none"/>
                    </w:rPr>
                    <w:t>类比法</w:t>
                  </w:r>
                </w:p>
              </w:tc>
              <w:tc>
                <w:tcPr>
                  <w:tcW w:w="471"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000000"/>
                      <w:sz w:val="20"/>
                      <w:szCs w:val="20"/>
                      <w:highlight w:val="none"/>
                      <w:lang w:val="en-US" w:eastAsia="zh-CN"/>
                    </w:rPr>
                  </w:pPr>
                  <w:r>
                    <w:rPr>
                      <w:rFonts w:hint="eastAsia" w:ascii="Times New Roman" w:hAnsi="Times New Roman" w:cs="Times New Roman"/>
                      <w:color w:val="000000"/>
                      <w:sz w:val="20"/>
                      <w:szCs w:val="20"/>
                      <w:highlight w:val="none"/>
                      <w:lang w:val="en-US" w:eastAsia="zh-CN"/>
                    </w:rPr>
                    <w:t>85</w:t>
                  </w:r>
                </w:p>
              </w:tc>
              <w:tc>
                <w:tcPr>
                  <w:tcW w:w="641" w:type="pct"/>
                  <w:vMerge w:val="restar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000000"/>
                      <w:sz w:val="20"/>
                      <w:szCs w:val="20"/>
                      <w:highlight w:val="none"/>
                      <w:lang w:val="en-US" w:eastAsia="zh-CN"/>
                    </w:rPr>
                  </w:pPr>
                  <w:r>
                    <w:rPr>
                      <w:rFonts w:hint="default" w:ascii="Times New Roman" w:hAnsi="Times New Roman" w:cs="Times New Roman"/>
                      <w:color w:val="000000"/>
                      <w:sz w:val="20"/>
                      <w:szCs w:val="20"/>
                      <w:highlight w:val="none"/>
                      <w:lang w:val="en-US" w:eastAsia="zh-CN"/>
                    </w:rPr>
                    <w:t>低噪声设备+</w:t>
                  </w:r>
                  <w:r>
                    <w:rPr>
                      <w:rFonts w:hint="eastAsia" w:ascii="Times New Roman" w:hAnsi="Times New Roman" w:cs="Times New Roman"/>
                      <w:color w:val="000000"/>
                      <w:sz w:val="20"/>
                      <w:szCs w:val="20"/>
                      <w:highlight w:val="none"/>
                      <w:lang w:val="en-US" w:eastAsia="zh-CN"/>
                    </w:rPr>
                    <w:t>基础减振</w:t>
                  </w:r>
                  <w:r>
                    <w:rPr>
                      <w:rFonts w:hint="default" w:ascii="Times New Roman" w:hAnsi="Times New Roman" w:cs="Times New Roman"/>
                      <w:color w:val="auto"/>
                      <w:sz w:val="20"/>
                      <w:szCs w:val="20"/>
                      <w:highlight w:val="none"/>
                      <w:lang w:val="en-US" w:eastAsia="zh-CN"/>
                    </w:rPr>
                    <w:t>+厂房隔声</w:t>
                  </w:r>
                </w:p>
              </w:tc>
              <w:tc>
                <w:tcPr>
                  <w:tcW w:w="573" w:type="pct"/>
                  <w:vMerge w:val="restar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color w:val="000000"/>
                      <w:sz w:val="20"/>
                      <w:szCs w:val="20"/>
                      <w:highlight w:val="none"/>
                    </w:rPr>
                  </w:pPr>
                  <w:r>
                    <w:rPr>
                      <w:rFonts w:hint="default" w:ascii="Times New Roman" w:hAnsi="Times New Roman" w:eastAsia="宋体" w:cs="Times New Roman"/>
                      <w:bCs w:val="0"/>
                      <w:color w:val="000000"/>
                      <w:sz w:val="20"/>
                      <w:szCs w:val="20"/>
                      <w:highlight w:val="none"/>
                      <w:lang w:eastAsia="zh-CN"/>
                    </w:rPr>
                    <w:t>隔声量≥</w:t>
                  </w:r>
                  <w:r>
                    <w:rPr>
                      <w:rFonts w:hint="default" w:ascii="Times New Roman" w:hAnsi="Times New Roman" w:eastAsia="宋体" w:cs="Times New Roman"/>
                      <w:bCs w:val="0"/>
                      <w:color w:val="000000"/>
                      <w:sz w:val="20"/>
                      <w:szCs w:val="20"/>
                      <w:highlight w:val="none"/>
                      <w:lang w:val="en-US" w:eastAsia="zh-CN"/>
                    </w:rPr>
                    <w:t>15</w:t>
                  </w:r>
                  <w:r>
                    <w:rPr>
                      <w:rFonts w:hint="default" w:ascii="Times New Roman" w:hAnsi="Times New Roman" w:eastAsia="宋体" w:cs="Times New Roman"/>
                      <w:bCs w:val="0"/>
                      <w:color w:val="000000"/>
                      <w:sz w:val="20"/>
                      <w:szCs w:val="20"/>
                      <w:highlight w:val="none"/>
                    </w:rPr>
                    <w:t>dB（A）</w:t>
                  </w:r>
                </w:p>
              </w:tc>
              <w:tc>
                <w:tcPr>
                  <w:tcW w:w="427"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Chars="0"/>
                    <w:jc w:val="center"/>
                    <w:textAlignment w:val="auto"/>
                    <w:rPr>
                      <w:rFonts w:hint="default" w:ascii="Times New Roman" w:hAnsi="Times New Roman" w:cs="Times New Roman"/>
                      <w:color w:val="000000"/>
                      <w:sz w:val="20"/>
                      <w:szCs w:val="20"/>
                      <w:highlight w:val="none"/>
                    </w:rPr>
                  </w:pPr>
                  <w:r>
                    <w:rPr>
                      <w:rFonts w:hint="default" w:ascii="Times New Roman" w:hAnsi="Times New Roman" w:cs="Times New Roman"/>
                      <w:color w:val="000000"/>
                      <w:sz w:val="20"/>
                      <w:szCs w:val="20"/>
                      <w:highlight w:val="none"/>
                    </w:rPr>
                    <w:t>类比法</w:t>
                  </w:r>
                </w:p>
              </w:tc>
              <w:tc>
                <w:tcPr>
                  <w:tcW w:w="390"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000000"/>
                      <w:sz w:val="20"/>
                      <w:szCs w:val="20"/>
                      <w:highlight w:val="none"/>
                      <w:lang w:val="en-US" w:eastAsia="zh-CN"/>
                    </w:rPr>
                  </w:pPr>
                  <w:r>
                    <w:rPr>
                      <w:rFonts w:hint="eastAsia" w:ascii="Times New Roman" w:hAnsi="Times New Roman" w:eastAsia="宋体" w:cs="Times New Roman"/>
                      <w:color w:val="000000"/>
                      <w:sz w:val="20"/>
                      <w:szCs w:val="20"/>
                      <w:highlight w:val="none"/>
                      <w:lang w:val="en-US" w:eastAsia="zh-CN"/>
                    </w:rPr>
                    <w:t>70</w:t>
                  </w:r>
                </w:p>
              </w:tc>
              <w:tc>
                <w:tcPr>
                  <w:tcW w:w="433" w:type="pct"/>
                  <w:vMerge w:val="restar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color w:val="000000"/>
                      <w:sz w:val="20"/>
                      <w:szCs w:val="20"/>
                      <w:highlight w:val="none"/>
                      <w:lang w:val="en-US" w:eastAsia="zh-CN"/>
                    </w:rPr>
                  </w:pPr>
                  <w:r>
                    <w:rPr>
                      <w:rFonts w:hint="eastAsia" w:ascii="Times New Roman" w:hAnsi="Times New Roman" w:cs="Times New Roman"/>
                      <w:color w:val="000000"/>
                      <w:sz w:val="20"/>
                      <w:szCs w:val="20"/>
                      <w:highlight w:val="none"/>
                      <w:lang w:val="en-US" w:eastAsia="zh-CN"/>
                    </w:rPr>
                    <w:t>生产车间</w:t>
                  </w:r>
                </w:p>
              </w:tc>
              <w:tc>
                <w:tcPr>
                  <w:tcW w:w="543" w:type="pct"/>
                  <w:vMerge w:val="restar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color w:val="000000"/>
                      <w:sz w:val="20"/>
                      <w:szCs w:val="20"/>
                      <w:highlight w:val="none"/>
                    </w:rPr>
                  </w:pPr>
                  <w:r>
                    <w:rPr>
                      <w:rFonts w:hint="default" w:ascii="Times New Roman" w:hAnsi="Times New Roman" w:cs="Times New Roman"/>
                      <w:color w:val="000000"/>
                      <w:sz w:val="20"/>
                      <w:szCs w:val="20"/>
                      <w:highlight w:val="none"/>
                    </w:rPr>
                    <w:t>运行期连续排放</w:t>
                  </w:r>
                  <w:r>
                    <w:rPr>
                      <w:rFonts w:hint="default" w:ascii="Times New Roman" w:hAnsi="Times New Roman" w:cs="Times New Roman"/>
                      <w:color w:val="000000"/>
                      <w:sz w:val="20"/>
                      <w:szCs w:val="20"/>
                      <w:highlight w:val="none"/>
                      <w:lang w:eastAsia="zh-CN"/>
                    </w:rPr>
                    <w:t>，每天</w:t>
                  </w:r>
                  <w:r>
                    <w:rPr>
                      <w:rFonts w:hint="eastAsia" w:ascii="Times New Roman" w:hAnsi="Times New Roman" w:cs="Times New Roman"/>
                      <w:color w:val="000000"/>
                      <w:sz w:val="20"/>
                      <w:szCs w:val="20"/>
                      <w:highlight w:val="none"/>
                      <w:lang w:val="en-US" w:eastAsia="zh-CN"/>
                    </w:rPr>
                    <w:t>8</w:t>
                  </w:r>
                  <w:r>
                    <w:rPr>
                      <w:rFonts w:hint="default" w:ascii="Times New Roman" w:hAnsi="Times New Roman" w:cs="Times New Roman"/>
                      <w:color w:val="000000"/>
                      <w:sz w:val="20"/>
                      <w:szCs w:val="20"/>
                      <w:highlight w:val="none"/>
                      <w:lang w:val="en-US" w:eastAsia="zh-CN"/>
                    </w:rPr>
                    <w:t>小时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671" w:type="pct"/>
                  <w:tcBorders>
                    <w:tl2br w:val="nil"/>
                    <w:tr2bl w:val="nil"/>
                  </w:tcBorders>
                  <w:noWrap w:val="0"/>
                  <w:vAlign w:val="center"/>
                </w:tcPr>
                <w:p>
                  <w:pPr>
                    <w:widowControl/>
                    <w:spacing w:line="300" w:lineRule="exact"/>
                    <w:ind w:firstLine="35" w:firstLineChars="17"/>
                    <w:jc w:val="center"/>
                    <w:rPr>
                      <w:rFonts w:hint="eastAsia" w:ascii="Times New Roman" w:hAnsi="Times New Roman" w:eastAsia="宋体" w:cs="Times New Roman"/>
                      <w:color w:val="000000"/>
                      <w:sz w:val="20"/>
                      <w:szCs w:val="20"/>
                      <w:highlight w:val="none"/>
                      <w:lang w:eastAsia="zh-CN"/>
                    </w:rPr>
                  </w:pPr>
                  <w:r>
                    <w:rPr>
                      <w:rFonts w:hint="eastAsia" w:ascii="Times New Roman" w:hAnsi="Times New Roman" w:eastAsia="宋体" w:cs="Times New Roman"/>
                      <w:color w:val="auto"/>
                      <w:kern w:val="0"/>
                      <w:sz w:val="21"/>
                      <w:szCs w:val="21"/>
                      <w:highlight w:val="none"/>
                      <w:lang w:val="en-US" w:eastAsia="zh-CN"/>
                    </w:rPr>
                    <w:t>双边磨</w:t>
                  </w:r>
                </w:p>
              </w:tc>
              <w:tc>
                <w:tcPr>
                  <w:tcW w:w="4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000000"/>
                      <w:sz w:val="20"/>
                      <w:szCs w:val="20"/>
                      <w:highlight w:val="none"/>
                    </w:rPr>
                  </w:pPr>
                  <w:r>
                    <w:rPr>
                      <w:rFonts w:hint="default" w:ascii="Times New Roman" w:hAnsi="Times New Roman" w:cs="Times New Roman"/>
                      <w:color w:val="000000"/>
                      <w:sz w:val="20"/>
                      <w:szCs w:val="20"/>
                      <w:highlight w:val="none"/>
                    </w:rPr>
                    <w:t>频发</w:t>
                  </w:r>
                </w:p>
              </w:tc>
              <w:tc>
                <w:tcPr>
                  <w:tcW w:w="404" w:type="pct"/>
                  <w:vMerge w:val="continue"/>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color w:val="000000"/>
                      <w:sz w:val="20"/>
                      <w:szCs w:val="20"/>
                      <w:highlight w:val="none"/>
                    </w:rPr>
                  </w:pPr>
                </w:p>
              </w:tc>
              <w:tc>
                <w:tcPr>
                  <w:tcW w:w="471"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color w:val="000000"/>
                      <w:sz w:val="20"/>
                      <w:szCs w:val="20"/>
                      <w:highlight w:val="none"/>
                      <w:lang w:val="en-US"/>
                    </w:rPr>
                  </w:pPr>
                  <w:r>
                    <w:rPr>
                      <w:rFonts w:hint="eastAsia" w:ascii="Times New Roman" w:hAnsi="Times New Roman" w:cs="Times New Roman"/>
                      <w:color w:val="000000"/>
                      <w:sz w:val="20"/>
                      <w:szCs w:val="20"/>
                      <w:highlight w:val="none"/>
                      <w:lang w:val="en-US" w:eastAsia="zh-CN"/>
                    </w:rPr>
                    <w:t>80</w:t>
                  </w:r>
                </w:p>
              </w:tc>
              <w:tc>
                <w:tcPr>
                  <w:tcW w:w="641" w:type="pct"/>
                  <w:vMerge w:val="continue"/>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color w:val="000000"/>
                      <w:sz w:val="20"/>
                      <w:szCs w:val="20"/>
                      <w:highlight w:val="none"/>
                      <w:lang w:val="en-US"/>
                    </w:rPr>
                  </w:pPr>
                </w:p>
              </w:tc>
              <w:tc>
                <w:tcPr>
                  <w:tcW w:w="573" w:type="pct"/>
                  <w:vMerge w:val="continue"/>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color w:val="000000"/>
                      <w:sz w:val="20"/>
                      <w:szCs w:val="20"/>
                      <w:highlight w:val="none"/>
                    </w:rPr>
                  </w:pPr>
                </w:p>
              </w:tc>
              <w:tc>
                <w:tcPr>
                  <w:tcW w:w="42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Chars="0"/>
                    <w:jc w:val="center"/>
                    <w:textAlignment w:val="auto"/>
                    <w:rPr>
                      <w:rFonts w:hint="default" w:ascii="Times New Roman" w:hAnsi="Times New Roman" w:cs="Times New Roman"/>
                      <w:color w:val="000000"/>
                      <w:sz w:val="20"/>
                      <w:szCs w:val="20"/>
                      <w:highlight w:val="none"/>
                    </w:rPr>
                  </w:pPr>
                </w:p>
              </w:tc>
              <w:tc>
                <w:tcPr>
                  <w:tcW w:w="390"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000000"/>
                      <w:sz w:val="20"/>
                      <w:szCs w:val="20"/>
                      <w:highlight w:val="none"/>
                      <w:lang w:val="en-US" w:eastAsia="zh-CN"/>
                    </w:rPr>
                  </w:pPr>
                  <w:r>
                    <w:rPr>
                      <w:rFonts w:hint="eastAsia" w:ascii="Times New Roman" w:hAnsi="Times New Roman" w:eastAsia="宋体" w:cs="Times New Roman"/>
                      <w:color w:val="000000"/>
                      <w:sz w:val="20"/>
                      <w:szCs w:val="20"/>
                      <w:highlight w:val="none"/>
                      <w:lang w:val="en-US" w:eastAsia="zh-CN"/>
                    </w:rPr>
                    <w:t>65</w:t>
                  </w:r>
                </w:p>
              </w:tc>
              <w:tc>
                <w:tcPr>
                  <w:tcW w:w="433" w:type="pct"/>
                  <w:vMerge w:val="continue"/>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color w:val="000000"/>
                      <w:sz w:val="20"/>
                      <w:szCs w:val="20"/>
                      <w:highlight w:val="none"/>
                    </w:rPr>
                  </w:pPr>
                </w:p>
              </w:tc>
              <w:tc>
                <w:tcPr>
                  <w:tcW w:w="543" w:type="pct"/>
                  <w:vMerge w:val="continue"/>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color w:val="000000"/>
                      <w:sz w:val="20"/>
                      <w:szCs w:val="20"/>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671" w:type="pct"/>
                  <w:tcBorders>
                    <w:tl2br w:val="nil"/>
                    <w:tr2bl w:val="nil"/>
                  </w:tcBorders>
                  <w:noWrap w:val="0"/>
                  <w:vAlign w:val="center"/>
                </w:tcPr>
                <w:p>
                  <w:pPr>
                    <w:widowControl/>
                    <w:spacing w:line="300" w:lineRule="exact"/>
                    <w:ind w:firstLine="35" w:firstLineChars="17"/>
                    <w:jc w:val="center"/>
                    <w:rPr>
                      <w:rFonts w:hint="default" w:ascii="宋体" w:hAnsi="宋体" w:eastAsia="宋体"/>
                      <w:color w:val="000000"/>
                      <w:sz w:val="20"/>
                      <w:szCs w:val="20"/>
                      <w:lang w:val="en-US" w:eastAsia="zh-CN"/>
                    </w:rPr>
                  </w:pPr>
                  <w:r>
                    <w:rPr>
                      <w:rFonts w:hint="eastAsia" w:ascii="Times New Roman" w:hAnsi="Times New Roman" w:eastAsia="宋体" w:cs="Times New Roman"/>
                      <w:color w:val="auto"/>
                      <w:kern w:val="0"/>
                      <w:sz w:val="21"/>
                      <w:szCs w:val="21"/>
                      <w:highlight w:val="none"/>
                      <w:lang w:val="en-US" w:eastAsia="zh-CN"/>
                    </w:rPr>
                    <w:t>直边机</w:t>
                  </w:r>
                </w:p>
              </w:tc>
              <w:tc>
                <w:tcPr>
                  <w:tcW w:w="4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000000"/>
                      <w:sz w:val="20"/>
                      <w:szCs w:val="20"/>
                      <w:highlight w:val="none"/>
                    </w:rPr>
                  </w:pPr>
                  <w:r>
                    <w:rPr>
                      <w:rFonts w:hint="default" w:ascii="Times New Roman" w:hAnsi="Times New Roman" w:cs="Times New Roman"/>
                      <w:color w:val="000000"/>
                      <w:sz w:val="20"/>
                      <w:szCs w:val="20"/>
                      <w:highlight w:val="none"/>
                    </w:rPr>
                    <w:t>频发</w:t>
                  </w:r>
                </w:p>
              </w:tc>
              <w:tc>
                <w:tcPr>
                  <w:tcW w:w="404" w:type="pct"/>
                  <w:vMerge w:val="continue"/>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color w:val="000000"/>
                      <w:sz w:val="20"/>
                      <w:szCs w:val="20"/>
                      <w:highlight w:val="none"/>
                    </w:rPr>
                  </w:pPr>
                </w:p>
              </w:tc>
              <w:tc>
                <w:tcPr>
                  <w:tcW w:w="471"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color w:val="000000"/>
                      <w:sz w:val="20"/>
                      <w:szCs w:val="20"/>
                      <w:highlight w:val="none"/>
                      <w:lang w:val="en-US" w:eastAsia="zh-CN"/>
                    </w:rPr>
                  </w:pPr>
                  <w:r>
                    <w:rPr>
                      <w:rFonts w:hint="eastAsia" w:ascii="Times New Roman" w:hAnsi="Times New Roman" w:cs="Times New Roman"/>
                      <w:color w:val="000000"/>
                      <w:sz w:val="20"/>
                      <w:szCs w:val="20"/>
                      <w:highlight w:val="none"/>
                      <w:lang w:val="en-US" w:eastAsia="zh-CN"/>
                    </w:rPr>
                    <w:t>80</w:t>
                  </w:r>
                </w:p>
              </w:tc>
              <w:tc>
                <w:tcPr>
                  <w:tcW w:w="641" w:type="pct"/>
                  <w:vMerge w:val="continue"/>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color w:val="000000"/>
                      <w:sz w:val="20"/>
                      <w:szCs w:val="20"/>
                      <w:highlight w:val="none"/>
                      <w:lang w:val="en-US" w:eastAsia="zh-CN"/>
                    </w:rPr>
                  </w:pPr>
                </w:p>
              </w:tc>
              <w:tc>
                <w:tcPr>
                  <w:tcW w:w="573" w:type="pct"/>
                  <w:vMerge w:val="continue"/>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bCs w:val="0"/>
                      <w:color w:val="000000"/>
                      <w:sz w:val="20"/>
                      <w:szCs w:val="20"/>
                      <w:highlight w:val="none"/>
                      <w:lang w:eastAsia="zh-CN"/>
                    </w:rPr>
                  </w:pPr>
                </w:p>
              </w:tc>
              <w:tc>
                <w:tcPr>
                  <w:tcW w:w="42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Chars="0"/>
                    <w:jc w:val="center"/>
                    <w:textAlignment w:val="auto"/>
                    <w:rPr>
                      <w:rFonts w:hint="default" w:ascii="Times New Roman" w:hAnsi="Times New Roman" w:cs="Times New Roman"/>
                      <w:color w:val="000000"/>
                      <w:sz w:val="20"/>
                      <w:szCs w:val="20"/>
                      <w:highlight w:val="none"/>
                    </w:rPr>
                  </w:pPr>
                </w:p>
              </w:tc>
              <w:tc>
                <w:tcPr>
                  <w:tcW w:w="390"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color w:val="000000"/>
                      <w:sz w:val="20"/>
                      <w:szCs w:val="20"/>
                      <w:highlight w:val="none"/>
                      <w:lang w:val="en-US" w:eastAsia="zh-CN"/>
                    </w:rPr>
                  </w:pPr>
                  <w:r>
                    <w:rPr>
                      <w:rFonts w:hint="eastAsia" w:ascii="Times New Roman" w:hAnsi="Times New Roman" w:cs="Times New Roman"/>
                      <w:color w:val="000000"/>
                      <w:sz w:val="20"/>
                      <w:szCs w:val="20"/>
                      <w:highlight w:val="none"/>
                      <w:lang w:val="en-US" w:eastAsia="zh-CN"/>
                    </w:rPr>
                    <w:t>65</w:t>
                  </w:r>
                </w:p>
              </w:tc>
              <w:tc>
                <w:tcPr>
                  <w:tcW w:w="433" w:type="pct"/>
                  <w:vMerge w:val="continue"/>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color w:val="000000"/>
                      <w:sz w:val="20"/>
                      <w:szCs w:val="20"/>
                      <w:highlight w:val="none"/>
                      <w:lang w:val="en-US" w:eastAsia="zh-CN"/>
                    </w:rPr>
                  </w:pPr>
                </w:p>
              </w:tc>
              <w:tc>
                <w:tcPr>
                  <w:tcW w:w="543" w:type="pct"/>
                  <w:vMerge w:val="continue"/>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color w:val="000000"/>
                      <w:sz w:val="20"/>
                      <w:szCs w:val="20"/>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671" w:type="pct"/>
                  <w:tcBorders>
                    <w:tl2br w:val="nil"/>
                    <w:tr2bl w:val="nil"/>
                  </w:tcBorders>
                  <w:noWrap w:val="0"/>
                  <w:vAlign w:val="center"/>
                </w:tcPr>
                <w:p>
                  <w:pPr>
                    <w:widowControl/>
                    <w:spacing w:line="300" w:lineRule="exact"/>
                    <w:ind w:firstLine="35" w:firstLineChars="17"/>
                    <w:jc w:val="center"/>
                    <w:rPr>
                      <w:rFonts w:hint="eastAsia" w:ascii="宋体" w:hAnsi="宋体"/>
                      <w:color w:val="000000"/>
                      <w:sz w:val="20"/>
                      <w:szCs w:val="20"/>
                      <w:lang w:val="en-US" w:eastAsia="zh-CN"/>
                    </w:rPr>
                  </w:pPr>
                  <w:r>
                    <w:rPr>
                      <w:rFonts w:hint="eastAsia" w:ascii="Times New Roman" w:hAnsi="Times New Roman" w:eastAsia="宋体" w:cs="Times New Roman"/>
                      <w:color w:val="auto"/>
                      <w:kern w:val="0"/>
                      <w:sz w:val="21"/>
                      <w:szCs w:val="21"/>
                      <w:highlight w:val="none"/>
                      <w:lang w:val="en-US" w:eastAsia="zh-CN"/>
                    </w:rPr>
                    <w:t>斜边机</w:t>
                  </w:r>
                </w:p>
              </w:tc>
              <w:tc>
                <w:tcPr>
                  <w:tcW w:w="4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000000"/>
                      <w:sz w:val="20"/>
                      <w:szCs w:val="20"/>
                      <w:highlight w:val="none"/>
                    </w:rPr>
                  </w:pPr>
                  <w:r>
                    <w:rPr>
                      <w:rFonts w:hint="default" w:ascii="Times New Roman" w:hAnsi="Times New Roman" w:cs="Times New Roman"/>
                      <w:color w:val="000000"/>
                      <w:sz w:val="20"/>
                      <w:szCs w:val="20"/>
                      <w:highlight w:val="none"/>
                    </w:rPr>
                    <w:t>频发</w:t>
                  </w:r>
                </w:p>
              </w:tc>
              <w:tc>
                <w:tcPr>
                  <w:tcW w:w="404" w:type="pct"/>
                  <w:vMerge w:val="continue"/>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color w:val="000000"/>
                      <w:sz w:val="20"/>
                      <w:szCs w:val="20"/>
                      <w:highlight w:val="none"/>
                    </w:rPr>
                  </w:pPr>
                </w:p>
              </w:tc>
              <w:tc>
                <w:tcPr>
                  <w:tcW w:w="471"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color w:val="000000"/>
                      <w:sz w:val="20"/>
                      <w:szCs w:val="20"/>
                      <w:highlight w:val="none"/>
                      <w:lang w:val="en-US" w:eastAsia="zh-CN"/>
                    </w:rPr>
                  </w:pPr>
                  <w:r>
                    <w:rPr>
                      <w:rFonts w:hint="eastAsia" w:ascii="Times New Roman" w:hAnsi="Times New Roman" w:cs="Times New Roman"/>
                      <w:color w:val="000000"/>
                      <w:sz w:val="20"/>
                      <w:szCs w:val="20"/>
                      <w:highlight w:val="none"/>
                      <w:lang w:val="en-US" w:eastAsia="zh-CN"/>
                    </w:rPr>
                    <w:t>80</w:t>
                  </w:r>
                </w:p>
              </w:tc>
              <w:tc>
                <w:tcPr>
                  <w:tcW w:w="641" w:type="pct"/>
                  <w:vMerge w:val="continue"/>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color w:val="000000"/>
                      <w:sz w:val="20"/>
                      <w:szCs w:val="20"/>
                      <w:highlight w:val="none"/>
                      <w:lang w:val="en-US" w:eastAsia="zh-CN"/>
                    </w:rPr>
                  </w:pPr>
                </w:p>
              </w:tc>
              <w:tc>
                <w:tcPr>
                  <w:tcW w:w="573" w:type="pct"/>
                  <w:vMerge w:val="continue"/>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bCs w:val="0"/>
                      <w:color w:val="000000"/>
                      <w:sz w:val="20"/>
                      <w:szCs w:val="20"/>
                      <w:highlight w:val="none"/>
                      <w:lang w:eastAsia="zh-CN"/>
                    </w:rPr>
                  </w:pPr>
                </w:p>
              </w:tc>
              <w:tc>
                <w:tcPr>
                  <w:tcW w:w="42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Chars="0"/>
                    <w:jc w:val="center"/>
                    <w:textAlignment w:val="auto"/>
                    <w:rPr>
                      <w:rFonts w:hint="default" w:ascii="Times New Roman" w:hAnsi="Times New Roman" w:cs="Times New Roman"/>
                      <w:color w:val="000000"/>
                      <w:sz w:val="20"/>
                      <w:szCs w:val="20"/>
                      <w:highlight w:val="none"/>
                    </w:rPr>
                  </w:pPr>
                </w:p>
              </w:tc>
              <w:tc>
                <w:tcPr>
                  <w:tcW w:w="390"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color w:val="000000"/>
                      <w:sz w:val="20"/>
                      <w:szCs w:val="20"/>
                      <w:highlight w:val="none"/>
                      <w:lang w:val="en-US" w:eastAsia="zh-CN"/>
                    </w:rPr>
                  </w:pPr>
                  <w:r>
                    <w:rPr>
                      <w:rFonts w:hint="eastAsia" w:ascii="Times New Roman" w:hAnsi="Times New Roman" w:cs="Times New Roman"/>
                      <w:color w:val="000000"/>
                      <w:sz w:val="20"/>
                      <w:szCs w:val="20"/>
                      <w:highlight w:val="none"/>
                      <w:lang w:val="en-US" w:eastAsia="zh-CN"/>
                    </w:rPr>
                    <w:t>65</w:t>
                  </w:r>
                </w:p>
              </w:tc>
              <w:tc>
                <w:tcPr>
                  <w:tcW w:w="433" w:type="pct"/>
                  <w:vMerge w:val="continue"/>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Times New Roman" w:hAnsi="Times New Roman" w:cs="Times New Roman"/>
                      <w:color w:val="000000"/>
                      <w:sz w:val="20"/>
                      <w:szCs w:val="20"/>
                      <w:highlight w:val="none"/>
                      <w:lang w:val="en-US" w:eastAsia="zh-CN"/>
                    </w:rPr>
                  </w:pPr>
                </w:p>
              </w:tc>
              <w:tc>
                <w:tcPr>
                  <w:tcW w:w="543" w:type="pct"/>
                  <w:vMerge w:val="continue"/>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color w:val="000000"/>
                      <w:sz w:val="20"/>
                      <w:szCs w:val="20"/>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671" w:type="pct"/>
                  <w:tcBorders>
                    <w:tl2br w:val="nil"/>
                    <w:tr2bl w:val="nil"/>
                  </w:tcBorders>
                  <w:noWrap w:val="0"/>
                  <w:vAlign w:val="center"/>
                </w:tcPr>
                <w:p>
                  <w:pPr>
                    <w:widowControl/>
                    <w:spacing w:line="300" w:lineRule="exact"/>
                    <w:ind w:firstLine="35" w:firstLineChars="17"/>
                    <w:jc w:val="center"/>
                    <w:rPr>
                      <w:rFonts w:hint="eastAsia" w:ascii="宋体" w:hAnsi="宋体"/>
                      <w:color w:val="000000"/>
                      <w:sz w:val="20"/>
                      <w:szCs w:val="20"/>
                      <w:lang w:val="en-US" w:eastAsia="zh-CN"/>
                    </w:rPr>
                  </w:pPr>
                  <w:r>
                    <w:rPr>
                      <w:rFonts w:hint="eastAsia" w:ascii="Times New Roman" w:hAnsi="Times New Roman" w:eastAsia="宋体" w:cs="Times New Roman"/>
                      <w:color w:val="auto"/>
                      <w:kern w:val="0"/>
                      <w:sz w:val="21"/>
                      <w:szCs w:val="21"/>
                      <w:highlight w:val="none"/>
                      <w:lang w:val="en-US" w:eastAsia="zh-CN"/>
                    </w:rPr>
                    <w:t>清洗机</w:t>
                  </w:r>
                </w:p>
              </w:tc>
              <w:tc>
                <w:tcPr>
                  <w:tcW w:w="4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000000"/>
                      <w:sz w:val="20"/>
                      <w:szCs w:val="20"/>
                      <w:highlight w:val="none"/>
                    </w:rPr>
                  </w:pPr>
                  <w:r>
                    <w:rPr>
                      <w:rFonts w:hint="default" w:ascii="Times New Roman" w:hAnsi="Times New Roman" w:cs="Times New Roman"/>
                      <w:color w:val="000000"/>
                      <w:sz w:val="20"/>
                      <w:szCs w:val="20"/>
                      <w:highlight w:val="none"/>
                    </w:rPr>
                    <w:t>频发</w:t>
                  </w:r>
                </w:p>
              </w:tc>
              <w:tc>
                <w:tcPr>
                  <w:tcW w:w="404" w:type="pct"/>
                  <w:vMerge w:val="continue"/>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color w:val="000000"/>
                      <w:sz w:val="20"/>
                      <w:szCs w:val="20"/>
                      <w:highlight w:val="none"/>
                    </w:rPr>
                  </w:pPr>
                </w:p>
              </w:tc>
              <w:tc>
                <w:tcPr>
                  <w:tcW w:w="471"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color w:val="000000"/>
                      <w:sz w:val="20"/>
                      <w:szCs w:val="20"/>
                      <w:highlight w:val="none"/>
                      <w:lang w:val="en-US" w:eastAsia="zh-CN"/>
                    </w:rPr>
                  </w:pPr>
                  <w:r>
                    <w:rPr>
                      <w:rFonts w:hint="eastAsia" w:ascii="Times New Roman" w:hAnsi="Times New Roman" w:cs="Times New Roman"/>
                      <w:color w:val="000000"/>
                      <w:sz w:val="20"/>
                      <w:szCs w:val="20"/>
                      <w:highlight w:val="none"/>
                      <w:lang w:val="en-US" w:eastAsia="zh-CN"/>
                    </w:rPr>
                    <w:t>80</w:t>
                  </w:r>
                </w:p>
              </w:tc>
              <w:tc>
                <w:tcPr>
                  <w:tcW w:w="641" w:type="pct"/>
                  <w:vMerge w:val="continue"/>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color w:val="000000"/>
                      <w:sz w:val="20"/>
                      <w:szCs w:val="20"/>
                      <w:highlight w:val="none"/>
                      <w:lang w:val="en-US" w:eastAsia="zh-CN"/>
                    </w:rPr>
                  </w:pPr>
                </w:p>
              </w:tc>
              <w:tc>
                <w:tcPr>
                  <w:tcW w:w="573" w:type="pct"/>
                  <w:vMerge w:val="continue"/>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bCs w:val="0"/>
                      <w:color w:val="000000"/>
                      <w:sz w:val="20"/>
                      <w:szCs w:val="20"/>
                      <w:highlight w:val="none"/>
                      <w:lang w:eastAsia="zh-CN"/>
                    </w:rPr>
                  </w:pPr>
                </w:p>
              </w:tc>
              <w:tc>
                <w:tcPr>
                  <w:tcW w:w="42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Chars="0"/>
                    <w:jc w:val="center"/>
                    <w:textAlignment w:val="auto"/>
                    <w:rPr>
                      <w:rFonts w:hint="default" w:ascii="Times New Roman" w:hAnsi="Times New Roman" w:cs="Times New Roman"/>
                      <w:color w:val="000000"/>
                      <w:sz w:val="20"/>
                      <w:szCs w:val="20"/>
                      <w:highlight w:val="none"/>
                    </w:rPr>
                  </w:pPr>
                </w:p>
              </w:tc>
              <w:tc>
                <w:tcPr>
                  <w:tcW w:w="390"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color w:val="000000"/>
                      <w:sz w:val="20"/>
                      <w:szCs w:val="20"/>
                      <w:highlight w:val="none"/>
                      <w:lang w:val="en-US" w:eastAsia="zh-CN"/>
                    </w:rPr>
                  </w:pPr>
                  <w:r>
                    <w:rPr>
                      <w:rFonts w:hint="eastAsia" w:ascii="Times New Roman" w:hAnsi="Times New Roman" w:cs="Times New Roman"/>
                      <w:color w:val="000000"/>
                      <w:sz w:val="20"/>
                      <w:szCs w:val="20"/>
                      <w:highlight w:val="none"/>
                      <w:lang w:val="en-US" w:eastAsia="zh-CN"/>
                    </w:rPr>
                    <w:t>65</w:t>
                  </w:r>
                </w:p>
              </w:tc>
              <w:tc>
                <w:tcPr>
                  <w:tcW w:w="433" w:type="pct"/>
                  <w:vMerge w:val="continue"/>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Times New Roman" w:hAnsi="Times New Roman" w:cs="Times New Roman"/>
                      <w:color w:val="000000"/>
                      <w:sz w:val="20"/>
                      <w:szCs w:val="20"/>
                      <w:highlight w:val="none"/>
                      <w:lang w:val="en-US" w:eastAsia="zh-CN"/>
                    </w:rPr>
                  </w:pPr>
                </w:p>
              </w:tc>
              <w:tc>
                <w:tcPr>
                  <w:tcW w:w="543" w:type="pct"/>
                  <w:vMerge w:val="continue"/>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color w:val="000000"/>
                      <w:sz w:val="20"/>
                      <w:szCs w:val="20"/>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671" w:type="pct"/>
                  <w:tcBorders>
                    <w:tl2br w:val="nil"/>
                    <w:tr2bl w:val="nil"/>
                  </w:tcBorders>
                  <w:noWrap w:val="0"/>
                  <w:vAlign w:val="center"/>
                </w:tcPr>
                <w:p>
                  <w:pPr>
                    <w:widowControl/>
                    <w:spacing w:line="300" w:lineRule="exact"/>
                    <w:ind w:firstLine="35" w:firstLineChars="17"/>
                    <w:jc w:val="center"/>
                    <w:rPr>
                      <w:rFonts w:hint="eastAsia" w:ascii="宋体" w:hAnsi="宋体"/>
                      <w:color w:val="000000"/>
                      <w:sz w:val="20"/>
                      <w:szCs w:val="20"/>
                      <w:lang w:val="en-US" w:eastAsia="zh-CN"/>
                    </w:rPr>
                  </w:pPr>
                  <w:r>
                    <w:rPr>
                      <w:rFonts w:hint="eastAsia" w:ascii="Times New Roman" w:hAnsi="Times New Roman" w:eastAsia="宋体" w:cs="Times New Roman"/>
                      <w:color w:val="auto"/>
                      <w:kern w:val="0"/>
                      <w:sz w:val="21"/>
                      <w:szCs w:val="21"/>
                      <w:highlight w:val="none"/>
                      <w:lang w:val="en-US" w:eastAsia="zh-CN"/>
                    </w:rPr>
                    <w:t>夹层线</w:t>
                  </w:r>
                </w:p>
              </w:tc>
              <w:tc>
                <w:tcPr>
                  <w:tcW w:w="4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000000"/>
                      <w:sz w:val="20"/>
                      <w:szCs w:val="20"/>
                      <w:highlight w:val="none"/>
                    </w:rPr>
                  </w:pPr>
                  <w:r>
                    <w:rPr>
                      <w:rFonts w:hint="default" w:ascii="Times New Roman" w:hAnsi="Times New Roman" w:cs="Times New Roman"/>
                      <w:color w:val="000000"/>
                      <w:sz w:val="20"/>
                      <w:szCs w:val="20"/>
                      <w:highlight w:val="none"/>
                    </w:rPr>
                    <w:t>频发</w:t>
                  </w:r>
                </w:p>
              </w:tc>
              <w:tc>
                <w:tcPr>
                  <w:tcW w:w="404" w:type="pct"/>
                  <w:vMerge w:val="continue"/>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color w:val="000000"/>
                      <w:sz w:val="20"/>
                      <w:szCs w:val="20"/>
                      <w:highlight w:val="none"/>
                    </w:rPr>
                  </w:pPr>
                </w:p>
              </w:tc>
              <w:tc>
                <w:tcPr>
                  <w:tcW w:w="471"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color w:val="000000"/>
                      <w:sz w:val="20"/>
                      <w:szCs w:val="20"/>
                      <w:highlight w:val="none"/>
                      <w:lang w:val="en-US" w:eastAsia="zh-CN"/>
                    </w:rPr>
                  </w:pPr>
                  <w:r>
                    <w:rPr>
                      <w:rFonts w:hint="eastAsia" w:ascii="Times New Roman" w:hAnsi="Times New Roman" w:cs="Times New Roman"/>
                      <w:color w:val="000000"/>
                      <w:sz w:val="20"/>
                      <w:szCs w:val="20"/>
                      <w:highlight w:val="none"/>
                      <w:lang w:val="en-US" w:eastAsia="zh-CN"/>
                    </w:rPr>
                    <w:t>80</w:t>
                  </w:r>
                </w:p>
              </w:tc>
              <w:tc>
                <w:tcPr>
                  <w:tcW w:w="641" w:type="pct"/>
                  <w:vMerge w:val="continue"/>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color w:val="000000"/>
                      <w:sz w:val="20"/>
                      <w:szCs w:val="20"/>
                      <w:highlight w:val="none"/>
                      <w:lang w:val="en-US" w:eastAsia="zh-CN"/>
                    </w:rPr>
                  </w:pPr>
                </w:p>
              </w:tc>
              <w:tc>
                <w:tcPr>
                  <w:tcW w:w="573" w:type="pct"/>
                  <w:vMerge w:val="continue"/>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bCs w:val="0"/>
                      <w:color w:val="000000"/>
                      <w:sz w:val="20"/>
                      <w:szCs w:val="20"/>
                      <w:highlight w:val="none"/>
                      <w:lang w:eastAsia="zh-CN"/>
                    </w:rPr>
                  </w:pPr>
                </w:p>
              </w:tc>
              <w:tc>
                <w:tcPr>
                  <w:tcW w:w="42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Chars="0"/>
                    <w:jc w:val="center"/>
                    <w:textAlignment w:val="auto"/>
                    <w:rPr>
                      <w:rFonts w:hint="default" w:ascii="Times New Roman" w:hAnsi="Times New Roman" w:cs="Times New Roman"/>
                      <w:color w:val="000000"/>
                      <w:sz w:val="20"/>
                      <w:szCs w:val="20"/>
                      <w:highlight w:val="none"/>
                    </w:rPr>
                  </w:pPr>
                </w:p>
              </w:tc>
              <w:tc>
                <w:tcPr>
                  <w:tcW w:w="390"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color w:val="000000"/>
                      <w:sz w:val="20"/>
                      <w:szCs w:val="20"/>
                      <w:highlight w:val="none"/>
                      <w:lang w:val="en-US" w:eastAsia="zh-CN"/>
                    </w:rPr>
                  </w:pPr>
                  <w:r>
                    <w:rPr>
                      <w:rFonts w:hint="eastAsia" w:ascii="Times New Roman" w:hAnsi="Times New Roman" w:cs="Times New Roman"/>
                      <w:color w:val="000000"/>
                      <w:sz w:val="20"/>
                      <w:szCs w:val="20"/>
                      <w:highlight w:val="none"/>
                      <w:lang w:val="en-US" w:eastAsia="zh-CN"/>
                    </w:rPr>
                    <w:t>65</w:t>
                  </w:r>
                </w:p>
              </w:tc>
              <w:tc>
                <w:tcPr>
                  <w:tcW w:w="433" w:type="pct"/>
                  <w:vMerge w:val="continue"/>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Times New Roman" w:hAnsi="Times New Roman" w:cs="Times New Roman"/>
                      <w:color w:val="000000"/>
                      <w:sz w:val="20"/>
                      <w:szCs w:val="20"/>
                      <w:highlight w:val="none"/>
                      <w:lang w:val="en-US" w:eastAsia="zh-CN"/>
                    </w:rPr>
                  </w:pPr>
                </w:p>
              </w:tc>
              <w:tc>
                <w:tcPr>
                  <w:tcW w:w="543" w:type="pct"/>
                  <w:vMerge w:val="continue"/>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color w:val="000000"/>
                      <w:sz w:val="20"/>
                      <w:szCs w:val="20"/>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671" w:type="pct"/>
                  <w:tcBorders>
                    <w:tl2br w:val="nil"/>
                    <w:tr2bl w:val="nil"/>
                  </w:tcBorders>
                  <w:noWrap w:val="0"/>
                  <w:vAlign w:val="center"/>
                </w:tcPr>
                <w:p>
                  <w:pPr>
                    <w:widowControl/>
                    <w:spacing w:line="300" w:lineRule="exact"/>
                    <w:ind w:firstLine="35" w:firstLineChars="17"/>
                    <w:jc w:val="center"/>
                    <w:rPr>
                      <w:rFonts w:hint="eastAsia" w:ascii="宋体" w:hAnsi="宋体"/>
                      <w:color w:val="000000"/>
                      <w:sz w:val="20"/>
                      <w:szCs w:val="20"/>
                      <w:lang w:val="en-US" w:eastAsia="zh-CN"/>
                    </w:rPr>
                  </w:pPr>
                  <w:r>
                    <w:rPr>
                      <w:rFonts w:hint="eastAsia" w:ascii="Times New Roman" w:hAnsi="Times New Roman" w:eastAsia="宋体" w:cs="Times New Roman"/>
                      <w:color w:val="auto"/>
                      <w:kern w:val="0"/>
                      <w:sz w:val="21"/>
                      <w:szCs w:val="21"/>
                      <w:highlight w:val="none"/>
                      <w:lang w:val="en-US" w:eastAsia="zh-CN"/>
                    </w:rPr>
                    <w:t>高压釜</w:t>
                  </w:r>
                </w:p>
              </w:tc>
              <w:tc>
                <w:tcPr>
                  <w:tcW w:w="4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000000"/>
                      <w:sz w:val="20"/>
                      <w:szCs w:val="20"/>
                      <w:highlight w:val="none"/>
                    </w:rPr>
                  </w:pPr>
                  <w:r>
                    <w:rPr>
                      <w:rFonts w:hint="default" w:ascii="Times New Roman" w:hAnsi="Times New Roman" w:cs="Times New Roman"/>
                      <w:color w:val="000000"/>
                      <w:sz w:val="20"/>
                      <w:szCs w:val="20"/>
                      <w:highlight w:val="none"/>
                    </w:rPr>
                    <w:t>频发</w:t>
                  </w:r>
                </w:p>
              </w:tc>
              <w:tc>
                <w:tcPr>
                  <w:tcW w:w="404" w:type="pct"/>
                  <w:vMerge w:val="continue"/>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color w:val="000000"/>
                      <w:sz w:val="20"/>
                      <w:szCs w:val="20"/>
                      <w:highlight w:val="none"/>
                    </w:rPr>
                  </w:pPr>
                </w:p>
              </w:tc>
              <w:tc>
                <w:tcPr>
                  <w:tcW w:w="471"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color w:val="000000"/>
                      <w:sz w:val="20"/>
                      <w:szCs w:val="20"/>
                      <w:highlight w:val="none"/>
                      <w:lang w:val="en-US" w:eastAsia="zh-CN"/>
                    </w:rPr>
                  </w:pPr>
                  <w:r>
                    <w:rPr>
                      <w:rFonts w:hint="eastAsia" w:ascii="Times New Roman" w:hAnsi="Times New Roman" w:cs="Times New Roman"/>
                      <w:color w:val="000000"/>
                      <w:sz w:val="20"/>
                      <w:szCs w:val="20"/>
                      <w:highlight w:val="none"/>
                      <w:lang w:val="en-US" w:eastAsia="zh-CN"/>
                    </w:rPr>
                    <w:t>80</w:t>
                  </w:r>
                </w:p>
              </w:tc>
              <w:tc>
                <w:tcPr>
                  <w:tcW w:w="641" w:type="pct"/>
                  <w:vMerge w:val="continue"/>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color w:val="000000"/>
                      <w:sz w:val="20"/>
                      <w:szCs w:val="20"/>
                      <w:highlight w:val="none"/>
                      <w:lang w:val="en-US" w:eastAsia="zh-CN"/>
                    </w:rPr>
                  </w:pPr>
                </w:p>
              </w:tc>
              <w:tc>
                <w:tcPr>
                  <w:tcW w:w="573" w:type="pct"/>
                  <w:vMerge w:val="continue"/>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bCs w:val="0"/>
                      <w:color w:val="000000"/>
                      <w:sz w:val="20"/>
                      <w:szCs w:val="20"/>
                      <w:highlight w:val="none"/>
                      <w:lang w:eastAsia="zh-CN"/>
                    </w:rPr>
                  </w:pPr>
                </w:p>
              </w:tc>
              <w:tc>
                <w:tcPr>
                  <w:tcW w:w="42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Chars="0"/>
                    <w:jc w:val="center"/>
                    <w:textAlignment w:val="auto"/>
                    <w:rPr>
                      <w:rFonts w:hint="default" w:ascii="Times New Roman" w:hAnsi="Times New Roman" w:cs="Times New Roman"/>
                      <w:color w:val="000000"/>
                      <w:sz w:val="20"/>
                      <w:szCs w:val="20"/>
                      <w:highlight w:val="none"/>
                    </w:rPr>
                  </w:pPr>
                </w:p>
              </w:tc>
              <w:tc>
                <w:tcPr>
                  <w:tcW w:w="390"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color w:val="000000"/>
                      <w:sz w:val="20"/>
                      <w:szCs w:val="20"/>
                      <w:highlight w:val="none"/>
                      <w:lang w:val="en-US" w:eastAsia="zh-CN"/>
                    </w:rPr>
                  </w:pPr>
                  <w:r>
                    <w:rPr>
                      <w:rFonts w:hint="eastAsia" w:ascii="Times New Roman" w:hAnsi="Times New Roman" w:cs="Times New Roman"/>
                      <w:color w:val="000000"/>
                      <w:sz w:val="20"/>
                      <w:szCs w:val="20"/>
                      <w:highlight w:val="none"/>
                      <w:lang w:val="en-US" w:eastAsia="zh-CN"/>
                    </w:rPr>
                    <w:t>65</w:t>
                  </w:r>
                </w:p>
              </w:tc>
              <w:tc>
                <w:tcPr>
                  <w:tcW w:w="433" w:type="pct"/>
                  <w:vMerge w:val="continue"/>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Times New Roman" w:hAnsi="Times New Roman" w:cs="Times New Roman"/>
                      <w:color w:val="000000"/>
                      <w:sz w:val="20"/>
                      <w:szCs w:val="20"/>
                      <w:highlight w:val="none"/>
                      <w:lang w:val="en-US" w:eastAsia="zh-CN"/>
                    </w:rPr>
                  </w:pPr>
                </w:p>
              </w:tc>
              <w:tc>
                <w:tcPr>
                  <w:tcW w:w="543" w:type="pct"/>
                  <w:vMerge w:val="continue"/>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color w:val="000000"/>
                      <w:sz w:val="20"/>
                      <w:szCs w:val="20"/>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671" w:type="pct"/>
                  <w:tcBorders>
                    <w:tl2br w:val="nil"/>
                    <w:tr2bl w:val="nil"/>
                  </w:tcBorders>
                  <w:noWrap w:val="0"/>
                  <w:vAlign w:val="center"/>
                </w:tcPr>
                <w:p>
                  <w:pPr>
                    <w:widowControl/>
                    <w:spacing w:line="300" w:lineRule="exact"/>
                    <w:ind w:firstLine="35" w:firstLineChars="17"/>
                    <w:jc w:val="center"/>
                    <w:rPr>
                      <w:rFonts w:hint="eastAsia" w:ascii="宋体" w:hAnsi="宋体"/>
                      <w:color w:val="000000"/>
                      <w:sz w:val="20"/>
                      <w:szCs w:val="20"/>
                      <w:lang w:val="en-US" w:eastAsia="zh-CN"/>
                    </w:rPr>
                  </w:pPr>
                  <w:r>
                    <w:rPr>
                      <w:rFonts w:hint="eastAsia" w:ascii="Times New Roman" w:hAnsi="Times New Roman" w:eastAsia="宋体" w:cs="Times New Roman"/>
                      <w:color w:val="auto"/>
                      <w:kern w:val="0"/>
                      <w:sz w:val="21"/>
                      <w:szCs w:val="21"/>
                      <w:highlight w:val="none"/>
                      <w:lang w:val="en-US" w:eastAsia="zh-CN"/>
                    </w:rPr>
                    <w:t>除湿机</w:t>
                  </w:r>
                </w:p>
              </w:tc>
              <w:tc>
                <w:tcPr>
                  <w:tcW w:w="4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000000"/>
                      <w:sz w:val="20"/>
                      <w:szCs w:val="20"/>
                      <w:highlight w:val="none"/>
                    </w:rPr>
                  </w:pPr>
                  <w:r>
                    <w:rPr>
                      <w:rFonts w:hint="default" w:ascii="Times New Roman" w:hAnsi="Times New Roman" w:cs="Times New Roman"/>
                      <w:color w:val="000000"/>
                      <w:sz w:val="20"/>
                      <w:szCs w:val="20"/>
                      <w:highlight w:val="none"/>
                    </w:rPr>
                    <w:t>频发</w:t>
                  </w:r>
                </w:p>
              </w:tc>
              <w:tc>
                <w:tcPr>
                  <w:tcW w:w="404" w:type="pct"/>
                  <w:vMerge w:val="continue"/>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color w:val="000000"/>
                      <w:sz w:val="20"/>
                      <w:szCs w:val="20"/>
                      <w:highlight w:val="none"/>
                    </w:rPr>
                  </w:pPr>
                </w:p>
              </w:tc>
              <w:tc>
                <w:tcPr>
                  <w:tcW w:w="471"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color w:val="000000"/>
                      <w:sz w:val="20"/>
                      <w:szCs w:val="20"/>
                      <w:highlight w:val="none"/>
                      <w:lang w:val="en-US" w:eastAsia="zh-CN"/>
                    </w:rPr>
                  </w:pPr>
                  <w:r>
                    <w:rPr>
                      <w:rFonts w:hint="eastAsia" w:ascii="Times New Roman" w:hAnsi="Times New Roman" w:cs="Times New Roman"/>
                      <w:color w:val="000000"/>
                      <w:sz w:val="20"/>
                      <w:szCs w:val="20"/>
                      <w:highlight w:val="none"/>
                      <w:lang w:val="en-US" w:eastAsia="zh-CN"/>
                    </w:rPr>
                    <w:t>75</w:t>
                  </w:r>
                </w:p>
              </w:tc>
              <w:tc>
                <w:tcPr>
                  <w:tcW w:w="641" w:type="pct"/>
                  <w:vMerge w:val="continue"/>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color w:val="000000"/>
                      <w:sz w:val="20"/>
                      <w:szCs w:val="20"/>
                      <w:highlight w:val="none"/>
                      <w:lang w:val="en-US" w:eastAsia="zh-CN"/>
                    </w:rPr>
                  </w:pPr>
                </w:p>
              </w:tc>
              <w:tc>
                <w:tcPr>
                  <w:tcW w:w="573" w:type="pct"/>
                  <w:vMerge w:val="continue"/>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bCs w:val="0"/>
                      <w:color w:val="000000"/>
                      <w:sz w:val="20"/>
                      <w:szCs w:val="20"/>
                      <w:highlight w:val="none"/>
                      <w:lang w:eastAsia="zh-CN"/>
                    </w:rPr>
                  </w:pPr>
                </w:p>
              </w:tc>
              <w:tc>
                <w:tcPr>
                  <w:tcW w:w="42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Chars="0"/>
                    <w:jc w:val="center"/>
                    <w:textAlignment w:val="auto"/>
                    <w:rPr>
                      <w:rFonts w:hint="default" w:ascii="Times New Roman" w:hAnsi="Times New Roman" w:cs="Times New Roman"/>
                      <w:color w:val="000000"/>
                      <w:sz w:val="20"/>
                      <w:szCs w:val="20"/>
                      <w:highlight w:val="none"/>
                    </w:rPr>
                  </w:pPr>
                </w:p>
              </w:tc>
              <w:tc>
                <w:tcPr>
                  <w:tcW w:w="390"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color w:val="000000"/>
                      <w:sz w:val="20"/>
                      <w:szCs w:val="20"/>
                      <w:highlight w:val="none"/>
                      <w:lang w:val="en-US" w:eastAsia="zh-CN"/>
                    </w:rPr>
                  </w:pPr>
                  <w:r>
                    <w:rPr>
                      <w:rFonts w:hint="eastAsia" w:ascii="Times New Roman" w:hAnsi="Times New Roman" w:cs="Times New Roman"/>
                      <w:color w:val="000000"/>
                      <w:sz w:val="20"/>
                      <w:szCs w:val="20"/>
                      <w:highlight w:val="none"/>
                      <w:lang w:val="en-US" w:eastAsia="zh-CN"/>
                    </w:rPr>
                    <w:t>60</w:t>
                  </w:r>
                </w:p>
              </w:tc>
              <w:tc>
                <w:tcPr>
                  <w:tcW w:w="433" w:type="pct"/>
                  <w:vMerge w:val="continue"/>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Times New Roman" w:hAnsi="Times New Roman" w:cs="Times New Roman"/>
                      <w:color w:val="000000"/>
                      <w:sz w:val="20"/>
                      <w:szCs w:val="20"/>
                      <w:highlight w:val="none"/>
                      <w:lang w:val="en-US" w:eastAsia="zh-CN"/>
                    </w:rPr>
                  </w:pPr>
                </w:p>
              </w:tc>
              <w:tc>
                <w:tcPr>
                  <w:tcW w:w="543" w:type="pct"/>
                  <w:vMerge w:val="continue"/>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color w:val="000000"/>
                      <w:sz w:val="20"/>
                      <w:szCs w:val="20"/>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671" w:type="pct"/>
                  <w:tcBorders>
                    <w:tl2br w:val="nil"/>
                    <w:tr2bl w:val="nil"/>
                  </w:tcBorders>
                  <w:noWrap w:val="0"/>
                  <w:vAlign w:val="center"/>
                </w:tcPr>
                <w:p>
                  <w:pPr>
                    <w:widowControl/>
                    <w:spacing w:line="300" w:lineRule="exact"/>
                    <w:ind w:firstLine="35" w:firstLineChars="17"/>
                    <w:jc w:val="center"/>
                    <w:rPr>
                      <w:rFonts w:hint="eastAsia" w:ascii="宋体" w:hAnsi="宋体"/>
                      <w:color w:val="000000"/>
                      <w:sz w:val="20"/>
                      <w:szCs w:val="20"/>
                      <w:lang w:val="en-US" w:eastAsia="zh-CN"/>
                    </w:rPr>
                  </w:pPr>
                  <w:r>
                    <w:rPr>
                      <w:rFonts w:hint="eastAsia" w:ascii="Times New Roman" w:hAnsi="Times New Roman" w:eastAsia="宋体" w:cs="Times New Roman"/>
                      <w:color w:val="auto"/>
                      <w:kern w:val="0"/>
                      <w:sz w:val="21"/>
                      <w:szCs w:val="21"/>
                      <w:highlight w:val="none"/>
                      <w:lang w:val="en-US" w:eastAsia="zh-CN"/>
                    </w:rPr>
                    <w:t>贴膜机</w:t>
                  </w:r>
                </w:p>
              </w:tc>
              <w:tc>
                <w:tcPr>
                  <w:tcW w:w="4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000000"/>
                      <w:sz w:val="20"/>
                      <w:szCs w:val="20"/>
                      <w:highlight w:val="none"/>
                    </w:rPr>
                  </w:pPr>
                  <w:r>
                    <w:rPr>
                      <w:rFonts w:hint="default" w:ascii="Times New Roman" w:hAnsi="Times New Roman" w:cs="Times New Roman"/>
                      <w:color w:val="000000"/>
                      <w:sz w:val="20"/>
                      <w:szCs w:val="20"/>
                      <w:highlight w:val="none"/>
                    </w:rPr>
                    <w:t>频发</w:t>
                  </w:r>
                </w:p>
              </w:tc>
              <w:tc>
                <w:tcPr>
                  <w:tcW w:w="404" w:type="pct"/>
                  <w:vMerge w:val="continue"/>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color w:val="000000"/>
                      <w:sz w:val="20"/>
                      <w:szCs w:val="20"/>
                      <w:highlight w:val="none"/>
                    </w:rPr>
                  </w:pPr>
                </w:p>
              </w:tc>
              <w:tc>
                <w:tcPr>
                  <w:tcW w:w="471"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color w:val="000000"/>
                      <w:sz w:val="20"/>
                      <w:szCs w:val="20"/>
                      <w:highlight w:val="none"/>
                      <w:lang w:val="en-US" w:eastAsia="zh-CN"/>
                    </w:rPr>
                  </w:pPr>
                  <w:r>
                    <w:rPr>
                      <w:rFonts w:hint="eastAsia" w:ascii="Times New Roman" w:hAnsi="Times New Roman" w:cs="Times New Roman"/>
                      <w:color w:val="000000"/>
                      <w:sz w:val="20"/>
                      <w:szCs w:val="20"/>
                      <w:highlight w:val="none"/>
                      <w:lang w:val="en-US" w:eastAsia="zh-CN"/>
                    </w:rPr>
                    <w:t>75</w:t>
                  </w:r>
                </w:p>
              </w:tc>
              <w:tc>
                <w:tcPr>
                  <w:tcW w:w="641" w:type="pct"/>
                  <w:vMerge w:val="continue"/>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color w:val="000000"/>
                      <w:sz w:val="20"/>
                      <w:szCs w:val="20"/>
                      <w:highlight w:val="none"/>
                      <w:lang w:val="en-US" w:eastAsia="zh-CN"/>
                    </w:rPr>
                  </w:pPr>
                </w:p>
              </w:tc>
              <w:tc>
                <w:tcPr>
                  <w:tcW w:w="573" w:type="pct"/>
                  <w:vMerge w:val="continue"/>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bCs w:val="0"/>
                      <w:color w:val="000000"/>
                      <w:sz w:val="20"/>
                      <w:szCs w:val="20"/>
                      <w:highlight w:val="none"/>
                      <w:lang w:eastAsia="zh-CN"/>
                    </w:rPr>
                  </w:pPr>
                </w:p>
              </w:tc>
              <w:tc>
                <w:tcPr>
                  <w:tcW w:w="42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Chars="0"/>
                    <w:jc w:val="center"/>
                    <w:textAlignment w:val="auto"/>
                    <w:rPr>
                      <w:rFonts w:hint="default" w:ascii="Times New Roman" w:hAnsi="Times New Roman" w:cs="Times New Roman"/>
                      <w:color w:val="000000"/>
                      <w:sz w:val="20"/>
                      <w:szCs w:val="20"/>
                      <w:highlight w:val="none"/>
                    </w:rPr>
                  </w:pPr>
                </w:p>
              </w:tc>
              <w:tc>
                <w:tcPr>
                  <w:tcW w:w="390"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color w:val="000000"/>
                      <w:sz w:val="20"/>
                      <w:szCs w:val="20"/>
                      <w:highlight w:val="none"/>
                      <w:lang w:val="en-US" w:eastAsia="zh-CN"/>
                    </w:rPr>
                  </w:pPr>
                  <w:r>
                    <w:rPr>
                      <w:rFonts w:hint="eastAsia" w:ascii="Times New Roman" w:hAnsi="Times New Roman" w:cs="Times New Roman"/>
                      <w:color w:val="000000"/>
                      <w:sz w:val="20"/>
                      <w:szCs w:val="20"/>
                      <w:highlight w:val="none"/>
                      <w:lang w:val="en-US" w:eastAsia="zh-CN"/>
                    </w:rPr>
                    <w:t>60</w:t>
                  </w:r>
                </w:p>
              </w:tc>
              <w:tc>
                <w:tcPr>
                  <w:tcW w:w="433" w:type="pct"/>
                  <w:vMerge w:val="continue"/>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Times New Roman" w:hAnsi="Times New Roman" w:cs="Times New Roman"/>
                      <w:color w:val="000000"/>
                      <w:sz w:val="20"/>
                      <w:szCs w:val="20"/>
                      <w:highlight w:val="none"/>
                      <w:lang w:val="en-US" w:eastAsia="zh-CN"/>
                    </w:rPr>
                  </w:pPr>
                </w:p>
              </w:tc>
              <w:tc>
                <w:tcPr>
                  <w:tcW w:w="543" w:type="pct"/>
                  <w:vMerge w:val="continue"/>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color w:val="000000"/>
                      <w:sz w:val="20"/>
                      <w:szCs w:val="20"/>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671" w:type="pct"/>
                  <w:tcBorders>
                    <w:tl2br w:val="nil"/>
                    <w:tr2bl w:val="nil"/>
                  </w:tcBorders>
                  <w:noWrap w:val="0"/>
                  <w:vAlign w:val="center"/>
                </w:tcPr>
                <w:p>
                  <w:pPr>
                    <w:widowControl/>
                    <w:spacing w:line="300" w:lineRule="exact"/>
                    <w:ind w:firstLine="35" w:firstLineChars="17"/>
                    <w:jc w:val="center"/>
                    <w:rPr>
                      <w:rFonts w:hint="eastAsia" w:ascii="宋体" w:hAnsi="宋体"/>
                      <w:color w:val="000000"/>
                      <w:sz w:val="20"/>
                      <w:szCs w:val="20"/>
                      <w:lang w:val="en-US" w:eastAsia="zh-CN"/>
                    </w:rPr>
                  </w:pPr>
                  <w:r>
                    <w:rPr>
                      <w:rFonts w:hint="eastAsia" w:ascii="Times New Roman" w:hAnsi="Times New Roman" w:eastAsia="宋体" w:cs="Times New Roman"/>
                      <w:color w:val="auto"/>
                      <w:kern w:val="0"/>
                      <w:sz w:val="21"/>
                      <w:szCs w:val="21"/>
                      <w:highlight w:val="none"/>
                      <w:lang w:val="en-US" w:eastAsia="zh-CN"/>
                    </w:rPr>
                    <w:t>钻孔机</w:t>
                  </w:r>
                </w:p>
              </w:tc>
              <w:tc>
                <w:tcPr>
                  <w:tcW w:w="4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000000"/>
                      <w:sz w:val="20"/>
                      <w:szCs w:val="20"/>
                      <w:highlight w:val="none"/>
                    </w:rPr>
                  </w:pPr>
                  <w:r>
                    <w:rPr>
                      <w:rFonts w:hint="default" w:ascii="Times New Roman" w:hAnsi="Times New Roman" w:cs="Times New Roman"/>
                      <w:color w:val="000000"/>
                      <w:sz w:val="20"/>
                      <w:szCs w:val="20"/>
                      <w:highlight w:val="none"/>
                    </w:rPr>
                    <w:t>频发</w:t>
                  </w:r>
                </w:p>
              </w:tc>
              <w:tc>
                <w:tcPr>
                  <w:tcW w:w="404" w:type="pct"/>
                  <w:vMerge w:val="continue"/>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color w:val="000000"/>
                      <w:sz w:val="20"/>
                      <w:szCs w:val="20"/>
                      <w:highlight w:val="none"/>
                    </w:rPr>
                  </w:pPr>
                </w:p>
              </w:tc>
              <w:tc>
                <w:tcPr>
                  <w:tcW w:w="471"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color w:val="000000"/>
                      <w:sz w:val="20"/>
                      <w:szCs w:val="20"/>
                      <w:highlight w:val="none"/>
                      <w:lang w:val="en-US" w:eastAsia="zh-CN"/>
                    </w:rPr>
                  </w:pPr>
                  <w:r>
                    <w:rPr>
                      <w:rFonts w:hint="eastAsia" w:ascii="Times New Roman" w:hAnsi="Times New Roman" w:cs="Times New Roman"/>
                      <w:color w:val="000000"/>
                      <w:sz w:val="20"/>
                      <w:szCs w:val="20"/>
                      <w:highlight w:val="none"/>
                      <w:lang w:val="en-US" w:eastAsia="zh-CN"/>
                    </w:rPr>
                    <w:t>85</w:t>
                  </w:r>
                </w:p>
              </w:tc>
              <w:tc>
                <w:tcPr>
                  <w:tcW w:w="641" w:type="pct"/>
                  <w:vMerge w:val="continue"/>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color w:val="000000"/>
                      <w:sz w:val="20"/>
                      <w:szCs w:val="20"/>
                      <w:highlight w:val="none"/>
                      <w:lang w:val="en-US" w:eastAsia="zh-CN"/>
                    </w:rPr>
                  </w:pPr>
                </w:p>
              </w:tc>
              <w:tc>
                <w:tcPr>
                  <w:tcW w:w="573" w:type="pct"/>
                  <w:vMerge w:val="continue"/>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bCs w:val="0"/>
                      <w:color w:val="000000"/>
                      <w:sz w:val="20"/>
                      <w:szCs w:val="20"/>
                      <w:highlight w:val="none"/>
                      <w:lang w:eastAsia="zh-CN"/>
                    </w:rPr>
                  </w:pPr>
                </w:p>
              </w:tc>
              <w:tc>
                <w:tcPr>
                  <w:tcW w:w="42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Chars="0"/>
                    <w:jc w:val="center"/>
                    <w:textAlignment w:val="auto"/>
                    <w:rPr>
                      <w:rFonts w:hint="default" w:ascii="Times New Roman" w:hAnsi="Times New Roman" w:cs="Times New Roman"/>
                      <w:color w:val="000000"/>
                      <w:sz w:val="20"/>
                      <w:szCs w:val="20"/>
                      <w:highlight w:val="none"/>
                    </w:rPr>
                  </w:pPr>
                </w:p>
              </w:tc>
              <w:tc>
                <w:tcPr>
                  <w:tcW w:w="390"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color w:val="000000"/>
                      <w:sz w:val="20"/>
                      <w:szCs w:val="20"/>
                      <w:highlight w:val="none"/>
                      <w:lang w:val="en-US" w:eastAsia="zh-CN"/>
                    </w:rPr>
                  </w:pPr>
                  <w:r>
                    <w:rPr>
                      <w:rFonts w:hint="eastAsia" w:ascii="Times New Roman" w:hAnsi="Times New Roman" w:cs="Times New Roman"/>
                      <w:color w:val="000000"/>
                      <w:sz w:val="20"/>
                      <w:szCs w:val="20"/>
                      <w:highlight w:val="none"/>
                      <w:lang w:val="en-US" w:eastAsia="zh-CN"/>
                    </w:rPr>
                    <w:t>70</w:t>
                  </w:r>
                </w:p>
              </w:tc>
              <w:tc>
                <w:tcPr>
                  <w:tcW w:w="433" w:type="pct"/>
                  <w:vMerge w:val="continue"/>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Times New Roman" w:hAnsi="Times New Roman" w:cs="Times New Roman"/>
                      <w:color w:val="000000"/>
                      <w:sz w:val="20"/>
                      <w:szCs w:val="20"/>
                      <w:highlight w:val="none"/>
                      <w:lang w:val="en-US" w:eastAsia="zh-CN"/>
                    </w:rPr>
                  </w:pPr>
                </w:p>
              </w:tc>
              <w:tc>
                <w:tcPr>
                  <w:tcW w:w="543" w:type="pct"/>
                  <w:vMerge w:val="continue"/>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color w:val="000000"/>
                      <w:sz w:val="20"/>
                      <w:szCs w:val="20"/>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671" w:type="pct"/>
                  <w:tcBorders>
                    <w:tl2br w:val="nil"/>
                    <w:tr2bl w:val="nil"/>
                  </w:tcBorders>
                  <w:noWrap w:val="0"/>
                  <w:vAlign w:val="center"/>
                </w:tcPr>
                <w:p>
                  <w:pPr>
                    <w:widowControl/>
                    <w:spacing w:line="300" w:lineRule="exact"/>
                    <w:ind w:firstLine="35" w:firstLineChars="17"/>
                    <w:jc w:val="center"/>
                    <w:rPr>
                      <w:rFonts w:hint="eastAsia" w:ascii="宋体" w:hAnsi="宋体"/>
                      <w:color w:val="000000"/>
                      <w:sz w:val="20"/>
                      <w:szCs w:val="20"/>
                      <w:lang w:val="en-US" w:eastAsia="zh-CN"/>
                    </w:rPr>
                  </w:pPr>
                  <w:r>
                    <w:rPr>
                      <w:rFonts w:hint="eastAsia" w:ascii="Times New Roman" w:hAnsi="Times New Roman" w:eastAsia="宋体" w:cs="Times New Roman"/>
                      <w:color w:val="auto"/>
                      <w:kern w:val="0"/>
                      <w:sz w:val="21"/>
                      <w:szCs w:val="21"/>
                      <w:highlight w:val="none"/>
                      <w:lang w:val="en-US" w:eastAsia="zh-CN"/>
                    </w:rPr>
                    <w:t>喷漆房</w:t>
                  </w:r>
                </w:p>
              </w:tc>
              <w:tc>
                <w:tcPr>
                  <w:tcW w:w="4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000000"/>
                      <w:sz w:val="20"/>
                      <w:szCs w:val="20"/>
                      <w:highlight w:val="none"/>
                    </w:rPr>
                  </w:pPr>
                  <w:r>
                    <w:rPr>
                      <w:rFonts w:hint="default" w:ascii="Times New Roman" w:hAnsi="Times New Roman" w:cs="Times New Roman"/>
                      <w:color w:val="000000"/>
                      <w:sz w:val="20"/>
                      <w:szCs w:val="20"/>
                      <w:highlight w:val="none"/>
                    </w:rPr>
                    <w:t>频发</w:t>
                  </w:r>
                </w:p>
              </w:tc>
              <w:tc>
                <w:tcPr>
                  <w:tcW w:w="404" w:type="pct"/>
                  <w:vMerge w:val="continue"/>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color w:val="000000"/>
                      <w:sz w:val="20"/>
                      <w:szCs w:val="20"/>
                      <w:highlight w:val="none"/>
                    </w:rPr>
                  </w:pPr>
                </w:p>
              </w:tc>
              <w:tc>
                <w:tcPr>
                  <w:tcW w:w="471"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color w:val="000000"/>
                      <w:sz w:val="20"/>
                      <w:szCs w:val="20"/>
                      <w:highlight w:val="none"/>
                      <w:lang w:val="en-US" w:eastAsia="zh-CN"/>
                    </w:rPr>
                  </w:pPr>
                  <w:r>
                    <w:rPr>
                      <w:rFonts w:hint="eastAsia" w:ascii="Times New Roman" w:hAnsi="Times New Roman" w:cs="Times New Roman"/>
                      <w:color w:val="000000"/>
                      <w:sz w:val="20"/>
                      <w:szCs w:val="20"/>
                      <w:highlight w:val="none"/>
                      <w:lang w:val="en-US" w:eastAsia="zh-CN"/>
                    </w:rPr>
                    <w:t>80</w:t>
                  </w:r>
                </w:p>
              </w:tc>
              <w:tc>
                <w:tcPr>
                  <w:tcW w:w="641"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color w:val="000000"/>
                      <w:sz w:val="20"/>
                      <w:szCs w:val="20"/>
                      <w:highlight w:val="none"/>
                      <w:lang w:val="en-US" w:eastAsia="zh-CN"/>
                    </w:rPr>
                  </w:pPr>
                  <w:r>
                    <w:rPr>
                      <w:rFonts w:hint="default" w:ascii="Times New Roman" w:hAnsi="Times New Roman" w:cs="Times New Roman"/>
                      <w:color w:val="auto"/>
                      <w:sz w:val="20"/>
                      <w:szCs w:val="20"/>
                      <w:highlight w:val="none"/>
                      <w:lang w:val="en-US" w:eastAsia="zh-CN"/>
                    </w:rPr>
                    <w:t>低噪声设备+厂房隔声</w:t>
                  </w:r>
                </w:p>
              </w:tc>
              <w:tc>
                <w:tcPr>
                  <w:tcW w:w="573" w:type="pct"/>
                  <w:vMerge w:val="continue"/>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bCs w:val="0"/>
                      <w:color w:val="000000"/>
                      <w:sz w:val="20"/>
                      <w:szCs w:val="20"/>
                      <w:highlight w:val="none"/>
                      <w:lang w:eastAsia="zh-CN"/>
                    </w:rPr>
                  </w:pPr>
                </w:p>
              </w:tc>
              <w:tc>
                <w:tcPr>
                  <w:tcW w:w="42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Chars="0"/>
                    <w:jc w:val="center"/>
                    <w:textAlignment w:val="auto"/>
                    <w:rPr>
                      <w:rFonts w:hint="default" w:ascii="Times New Roman" w:hAnsi="Times New Roman" w:cs="Times New Roman"/>
                      <w:color w:val="000000"/>
                      <w:sz w:val="20"/>
                      <w:szCs w:val="20"/>
                      <w:highlight w:val="none"/>
                    </w:rPr>
                  </w:pPr>
                </w:p>
              </w:tc>
              <w:tc>
                <w:tcPr>
                  <w:tcW w:w="390" w:type="pct"/>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color w:val="000000"/>
                      <w:sz w:val="20"/>
                      <w:szCs w:val="20"/>
                      <w:highlight w:val="none"/>
                      <w:lang w:val="en-US" w:eastAsia="zh-CN"/>
                    </w:rPr>
                  </w:pPr>
                  <w:r>
                    <w:rPr>
                      <w:rFonts w:hint="eastAsia" w:ascii="Times New Roman" w:hAnsi="Times New Roman" w:cs="Times New Roman"/>
                      <w:color w:val="000000"/>
                      <w:sz w:val="20"/>
                      <w:szCs w:val="20"/>
                      <w:highlight w:val="none"/>
                      <w:lang w:val="en-US" w:eastAsia="zh-CN"/>
                    </w:rPr>
                    <w:t>65</w:t>
                  </w:r>
                </w:p>
              </w:tc>
              <w:tc>
                <w:tcPr>
                  <w:tcW w:w="433" w:type="pct"/>
                  <w:vMerge w:val="continue"/>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Times New Roman" w:hAnsi="Times New Roman" w:cs="Times New Roman"/>
                      <w:color w:val="000000"/>
                      <w:sz w:val="20"/>
                      <w:szCs w:val="20"/>
                      <w:highlight w:val="none"/>
                      <w:lang w:val="en-US" w:eastAsia="zh-CN"/>
                    </w:rPr>
                  </w:pPr>
                </w:p>
              </w:tc>
              <w:tc>
                <w:tcPr>
                  <w:tcW w:w="543" w:type="pct"/>
                  <w:vMerge w:val="continue"/>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color w:val="000000"/>
                      <w:sz w:val="20"/>
                      <w:szCs w:val="20"/>
                      <w:highlight w:val="none"/>
                    </w:rPr>
                  </w:pPr>
                </w:p>
              </w:tc>
            </w:tr>
          </w:tbl>
          <w:p>
            <w:pPr>
              <w:spacing w:line="360" w:lineRule="auto"/>
              <w:ind w:firstLine="442" w:firstLineChars="200"/>
              <w:rPr>
                <w:b/>
                <w:bCs/>
                <w:color w:val="auto"/>
                <w:sz w:val="22"/>
                <w:szCs w:val="21"/>
                <w:highlight w:val="none"/>
              </w:rPr>
            </w:pPr>
            <w:r>
              <w:rPr>
                <w:b/>
                <w:bCs/>
                <w:color w:val="auto"/>
                <w:sz w:val="22"/>
                <w:szCs w:val="21"/>
                <w:highlight w:val="none"/>
              </w:rPr>
              <w:t>3.2 排放标准</w:t>
            </w:r>
          </w:p>
          <w:p>
            <w:pPr>
              <w:pStyle w:val="14"/>
              <w:tabs>
                <w:tab w:val="left" w:pos="1425"/>
              </w:tabs>
              <w:spacing w:before="0" w:after="0" w:line="240" w:lineRule="auto"/>
              <w:ind w:right="0"/>
              <w:jc w:val="center"/>
              <w:outlineLvl w:val="0"/>
              <w:rPr>
                <w:b/>
                <w:color w:val="auto"/>
                <w:kern w:val="2"/>
                <w:sz w:val="21"/>
                <w:szCs w:val="21"/>
                <w:highlight w:val="none"/>
              </w:rPr>
            </w:pPr>
            <w:r>
              <w:rPr>
                <w:b/>
                <w:color w:val="auto"/>
                <w:kern w:val="2"/>
                <w:sz w:val="21"/>
                <w:szCs w:val="21"/>
                <w:highlight w:val="none"/>
              </w:rPr>
              <w:t>表4-</w:t>
            </w:r>
            <w:r>
              <w:rPr>
                <w:rFonts w:hint="eastAsia"/>
                <w:b/>
                <w:color w:val="auto"/>
                <w:kern w:val="2"/>
                <w:sz w:val="21"/>
                <w:szCs w:val="21"/>
                <w:highlight w:val="none"/>
                <w:lang w:val="en-US" w:eastAsia="zh-CN"/>
              </w:rPr>
              <w:t>8</w:t>
            </w:r>
            <w:r>
              <w:rPr>
                <w:b/>
                <w:color w:val="auto"/>
                <w:kern w:val="2"/>
                <w:sz w:val="21"/>
                <w:szCs w:val="21"/>
                <w:highlight w:val="none"/>
              </w:rPr>
              <w:t xml:space="preserve">  工业企业厂界环境噪声排放标准  单位：dB（A）</w:t>
            </w:r>
          </w:p>
          <w:tbl>
            <w:tblPr>
              <w:tblStyle w:val="42"/>
              <w:tblW w:w="0" w:type="auto"/>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2819"/>
              <w:gridCol w:w="2512"/>
              <w:gridCol w:w="2448"/>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02" w:hRule="atLeast"/>
                <w:jc w:val="center"/>
              </w:trPr>
              <w:tc>
                <w:tcPr>
                  <w:tcW w:w="2819" w:type="dxa"/>
                  <w:noWrap w:val="0"/>
                  <w:vAlign w:val="center"/>
                </w:tcPr>
                <w:p>
                  <w:pPr>
                    <w:adjustRightInd w:val="0"/>
                    <w:spacing w:line="260" w:lineRule="exact"/>
                    <w:jc w:val="center"/>
                    <w:textAlignment w:val="baseline"/>
                    <w:rPr>
                      <w:color w:val="auto"/>
                      <w:szCs w:val="21"/>
                      <w:highlight w:val="none"/>
                    </w:rPr>
                  </w:pPr>
                  <w:r>
                    <w:rPr>
                      <w:color w:val="auto"/>
                      <w:szCs w:val="21"/>
                      <w:highlight w:val="none"/>
                    </w:rPr>
                    <w:t>项目</w:t>
                  </w:r>
                </w:p>
              </w:tc>
              <w:tc>
                <w:tcPr>
                  <w:tcW w:w="2512" w:type="dxa"/>
                  <w:noWrap w:val="0"/>
                  <w:vAlign w:val="center"/>
                </w:tcPr>
                <w:p>
                  <w:pPr>
                    <w:adjustRightInd w:val="0"/>
                    <w:spacing w:line="260" w:lineRule="exact"/>
                    <w:jc w:val="center"/>
                    <w:textAlignment w:val="baseline"/>
                    <w:rPr>
                      <w:color w:val="auto"/>
                      <w:szCs w:val="21"/>
                      <w:highlight w:val="none"/>
                    </w:rPr>
                  </w:pPr>
                  <w:r>
                    <w:rPr>
                      <w:color w:val="auto"/>
                      <w:szCs w:val="21"/>
                      <w:highlight w:val="none"/>
                    </w:rPr>
                    <w:t>昼间</w:t>
                  </w:r>
                </w:p>
              </w:tc>
              <w:tc>
                <w:tcPr>
                  <w:tcW w:w="2448" w:type="dxa"/>
                  <w:noWrap w:val="0"/>
                  <w:vAlign w:val="center"/>
                </w:tcPr>
                <w:p>
                  <w:pPr>
                    <w:adjustRightInd w:val="0"/>
                    <w:spacing w:line="260" w:lineRule="exact"/>
                    <w:jc w:val="center"/>
                    <w:textAlignment w:val="baseline"/>
                    <w:rPr>
                      <w:color w:val="auto"/>
                      <w:szCs w:val="21"/>
                      <w:highlight w:val="none"/>
                    </w:rPr>
                  </w:pPr>
                  <w:r>
                    <w:rPr>
                      <w:color w:val="auto"/>
                      <w:szCs w:val="21"/>
                      <w:highlight w:val="none"/>
                    </w:rPr>
                    <w:t>夜间</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2819" w:type="dxa"/>
                  <w:noWrap w:val="0"/>
                  <w:vAlign w:val="center"/>
                </w:tcPr>
                <w:p>
                  <w:pPr>
                    <w:adjustRightInd w:val="0"/>
                    <w:spacing w:line="260" w:lineRule="exact"/>
                    <w:jc w:val="center"/>
                    <w:textAlignment w:val="baseline"/>
                    <w:rPr>
                      <w:color w:val="auto"/>
                      <w:szCs w:val="21"/>
                      <w:highlight w:val="none"/>
                    </w:rPr>
                  </w:pPr>
                  <w:r>
                    <w:rPr>
                      <w:color w:val="auto"/>
                      <w:szCs w:val="21"/>
                      <w:highlight w:val="none"/>
                    </w:rPr>
                    <w:t>标准值</w:t>
                  </w:r>
                </w:p>
              </w:tc>
              <w:tc>
                <w:tcPr>
                  <w:tcW w:w="2512" w:type="dxa"/>
                  <w:noWrap w:val="0"/>
                  <w:vAlign w:val="center"/>
                </w:tcPr>
                <w:p>
                  <w:pPr>
                    <w:adjustRightInd w:val="0"/>
                    <w:spacing w:line="260" w:lineRule="exact"/>
                    <w:jc w:val="center"/>
                    <w:textAlignment w:val="baseline"/>
                    <w:rPr>
                      <w:rFonts w:hint="default" w:eastAsia="宋体"/>
                      <w:color w:val="auto"/>
                      <w:szCs w:val="21"/>
                      <w:highlight w:val="none"/>
                      <w:lang w:val="en-US" w:eastAsia="zh-CN"/>
                    </w:rPr>
                  </w:pPr>
                  <w:r>
                    <w:rPr>
                      <w:rFonts w:hint="eastAsia" w:eastAsia="宋体"/>
                      <w:color w:val="auto"/>
                      <w:szCs w:val="21"/>
                      <w:highlight w:val="none"/>
                      <w:lang w:val="en-US" w:eastAsia="zh-CN"/>
                    </w:rPr>
                    <w:t>65</w:t>
                  </w:r>
                </w:p>
              </w:tc>
              <w:tc>
                <w:tcPr>
                  <w:tcW w:w="2448" w:type="dxa"/>
                  <w:noWrap w:val="0"/>
                  <w:vAlign w:val="center"/>
                </w:tcPr>
                <w:p>
                  <w:pPr>
                    <w:adjustRightInd w:val="0"/>
                    <w:spacing w:line="260" w:lineRule="exact"/>
                    <w:jc w:val="center"/>
                    <w:textAlignment w:val="baseline"/>
                    <w:rPr>
                      <w:rFonts w:hint="default" w:eastAsia="宋体"/>
                      <w:color w:val="auto"/>
                      <w:szCs w:val="21"/>
                      <w:highlight w:val="none"/>
                      <w:lang w:val="en-US" w:eastAsia="zh-CN"/>
                    </w:rPr>
                  </w:pPr>
                  <w:r>
                    <w:rPr>
                      <w:rFonts w:hint="eastAsia" w:eastAsia="宋体"/>
                      <w:color w:val="auto"/>
                      <w:szCs w:val="21"/>
                      <w:highlight w:val="none"/>
                      <w:lang w:val="en-US" w:eastAsia="zh-CN"/>
                    </w:rPr>
                    <w:t>55</w:t>
                  </w:r>
                </w:p>
              </w:tc>
            </w:tr>
          </w:tbl>
          <w:p>
            <w:pPr>
              <w:spacing w:line="360" w:lineRule="auto"/>
              <w:ind w:firstLine="442" w:firstLineChars="200"/>
              <w:rPr>
                <w:b/>
                <w:bCs/>
                <w:color w:val="auto"/>
                <w:sz w:val="22"/>
                <w:szCs w:val="21"/>
                <w:highlight w:val="none"/>
              </w:rPr>
            </w:pPr>
            <w:r>
              <w:rPr>
                <w:b/>
                <w:bCs/>
                <w:color w:val="auto"/>
                <w:sz w:val="22"/>
                <w:szCs w:val="21"/>
                <w:highlight w:val="none"/>
              </w:rPr>
              <w:t xml:space="preserve">3.3 达标排放情况 </w:t>
            </w:r>
          </w:p>
          <w:p>
            <w:pPr>
              <w:autoSpaceDE w:val="0"/>
              <w:autoSpaceDN w:val="0"/>
              <w:adjustRightInd w:val="0"/>
              <w:spacing w:line="360" w:lineRule="auto"/>
              <w:ind w:firstLine="442" w:firstLineChars="200"/>
              <w:rPr>
                <w:b/>
                <w:bCs/>
                <w:color w:val="auto"/>
                <w:sz w:val="22"/>
                <w:szCs w:val="21"/>
                <w:highlight w:val="none"/>
              </w:rPr>
            </w:pPr>
            <w:r>
              <w:rPr>
                <w:b/>
                <w:bCs/>
                <w:color w:val="auto"/>
                <w:sz w:val="22"/>
                <w:szCs w:val="21"/>
                <w:highlight w:val="none"/>
              </w:rPr>
              <w:t>（1）治理措施</w:t>
            </w:r>
          </w:p>
          <w:p>
            <w:pPr>
              <w:autoSpaceDE w:val="0"/>
              <w:autoSpaceDN w:val="0"/>
              <w:adjustRightInd w:val="0"/>
              <w:spacing w:line="360" w:lineRule="auto"/>
              <w:ind w:firstLine="440" w:firstLineChars="200"/>
              <w:rPr>
                <w:color w:val="auto"/>
                <w:sz w:val="22"/>
                <w:szCs w:val="21"/>
                <w:highlight w:val="none"/>
              </w:rPr>
            </w:pPr>
            <w:r>
              <w:rPr>
                <w:color w:val="auto"/>
                <w:sz w:val="22"/>
                <w:szCs w:val="21"/>
                <w:highlight w:val="none"/>
              </w:rPr>
              <w:t>为有效降低项目噪声源的影响，拟采取以下措施：</w:t>
            </w:r>
          </w:p>
          <w:p>
            <w:pPr>
              <w:autoSpaceDE w:val="0"/>
              <w:autoSpaceDN w:val="0"/>
              <w:adjustRightInd w:val="0"/>
              <w:spacing w:line="360" w:lineRule="auto"/>
              <w:ind w:firstLine="440" w:firstLineChars="200"/>
              <w:rPr>
                <w:color w:val="auto"/>
                <w:sz w:val="22"/>
                <w:szCs w:val="21"/>
                <w:highlight w:val="none"/>
              </w:rPr>
            </w:pPr>
            <w:r>
              <w:rPr>
                <w:color w:val="auto"/>
                <w:sz w:val="22"/>
                <w:szCs w:val="21"/>
                <w:highlight w:val="none"/>
              </w:rPr>
              <w:t>①选用符合国家标准的低噪声设备，定期进行设备检修，保证设备的正常运行，降低故障性噪声排放；</w:t>
            </w:r>
          </w:p>
          <w:p>
            <w:pPr>
              <w:pStyle w:val="113"/>
              <w:spacing w:line="360" w:lineRule="auto"/>
              <w:ind w:firstLine="440"/>
              <w:rPr>
                <w:color w:val="auto"/>
                <w:sz w:val="22"/>
                <w:szCs w:val="21"/>
                <w:highlight w:val="none"/>
                <w:lang w:val="en-US"/>
              </w:rPr>
            </w:pPr>
            <w:r>
              <w:rPr>
                <w:color w:val="auto"/>
                <w:sz w:val="22"/>
                <w:szCs w:val="22"/>
                <w:highlight w:val="none"/>
                <w:lang w:val="en-US"/>
              </w:rPr>
              <w:t>②</w:t>
            </w:r>
            <w:r>
              <w:rPr>
                <w:color w:val="auto"/>
                <w:sz w:val="22"/>
                <w:szCs w:val="21"/>
                <w:highlight w:val="none"/>
                <w:lang w:val="en-US"/>
              </w:rPr>
              <w:t>对生产设备进行减震、隔声；</w:t>
            </w:r>
          </w:p>
          <w:p>
            <w:pPr>
              <w:pStyle w:val="113"/>
              <w:spacing w:line="360" w:lineRule="auto"/>
              <w:ind w:firstLine="440"/>
              <w:rPr>
                <w:color w:val="auto"/>
                <w:sz w:val="22"/>
                <w:szCs w:val="21"/>
                <w:highlight w:val="none"/>
                <w:lang w:val="en-US"/>
              </w:rPr>
            </w:pPr>
            <w:r>
              <w:rPr>
                <w:color w:val="auto"/>
                <w:sz w:val="22"/>
                <w:szCs w:val="21"/>
                <w:highlight w:val="none"/>
                <w:lang w:val="en-US"/>
              </w:rPr>
              <w:t>③</w:t>
            </w:r>
            <w:r>
              <w:rPr>
                <w:rFonts w:hint="eastAsia"/>
                <w:color w:val="auto"/>
                <w:sz w:val="22"/>
                <w:szCs w:val="21"/>
                <w:highlight w:val="none"/>
                <w:lang w:val="en-US" w:eastAsia="zh-CN"/>
              </w:rPr>
              <w:t>夜</w:t>
            </w:r>
            <w:r>
              <w:rPr>
                <w:color w:val="auto"/>
                <w:sz w:val="22"/>
                <w:szCs w:val="21"/>
                <w:highlight w:val="none"/>
                <w:lang w:val="en-US"/>
              </w:rPr>
              <w:t>间禁止原料、产品运输，禁止生产；</w:t>
            </w:r>
          </w:p>
          <w:p>
            <w:pPr>
              <w:autoSpaceDE w:val="0"/>
              <w:autoSpaceDN w:val="0"/>
              <w:adjustRightInd w:val="0"/>
              <w:spacing w:line="360" w:lineRule="auto"/>
              <w:ind w:firstLine="440" w:firstLineChars="200"/>
              <w:rPr>
                <w:color w:val="auto"/>
                <w:sz w:val="22"/>
                <w:szCs w:val="21"/>
                <w:highlight w:val="none"/>
              </w:rPr>
            </w:pPr>
            <w:r>
              <w:rPr>
                <w:color w:val="auto"/>
                <w:sz w:val="22"/>
                <w:szCs w:val="21"/>
                <w:highlight w:val="none"/>
              </w:rPr>
              <w:t>④加强对进出车辆的管理，车辆进出时禁止鸣笛，平稳启动，限速</w:t>
            </w:r>
            <w:r>
              <w:rPr>
                <w:rFonts w:hint="eastAsia"/>
                <w:color w:val="auto"/>
                <w:sz w:val="22"/>
                <w:szCs w:val="21"/>
                <w:highlight w:val="none"/>
                <w:lang w:val="en-US" w:eastAsia="zh-CN"/>
              </w:rPr>
              <w:t>10</w:t>
            </w:r>
            <w:r>
              <w:rPr>
                <w:color w:val="auto"/>
                <w:sz w:val="22"/>
                <w:szCs w:val="21"/>
                <w:highlight w:val="none"/>
              </w:rPr>
              <w:t>km/h以内（可有效降低噪声5-15dB）。做好车辆维护工作，降低车辆运输的瞬时声级影响。</w:t>
            </w:r>
          </w:p>
          <w:p>
            <w:pPr>
              <w:autoSpaceDE w:val="0"/>
              <w:autoSpaceDN w:val="0"/>
              <w:adjustRightInd w:val="0"/>
              <w:spacing w:line="360" w:lineRule="auto"/>
              <w:ind w:firstLine="442" w:firstLineChars="200"/>
              <w:rPr>
                <w:b/>
                <w:bCs/>
                <w:color w:val="auto"/>
                <w:sz w:val="22"/>
                <w:szCs w:val="21"/>
                <w:highlight w:val="none"/>
              </w:rPr>
            </w:pPr>
          </w:p>
          <w:p>
            <w:pPr>
              <w:autoSpaceDE w:val="0"/>
              <w:autoSpaceDN w:val="0"/>
              <w:adjustRightInd w:val="0"/>
              <w:spacing w:line="360" w:lineRule="auto"/>
              <w:ind w:firstLine="442" w:firstLineChars="200"/>
              <w:rPr>
                <w:b/>
                <w:bCs/>
                <w:color w:val="auto"/>
                <w:sz w:val="22"/>
                <w:szCs w:val="21"/>
                <w:highlight w:val="none"/>
              </w:rPr>
            </w:pPr>
          </w:p>
          <w:p>
            <w:pPr>
              <w:autoSpaceDE w:val="0"/>
              <w:autoSpaceDN w:val="0"/>
              <w:adjustRightInd w:val="0"/>
              <w:spacing w:line="360" w:lineRule="auto"/>
              <w:ind w:firstLine="442" w:firstLineChars="200"/>
              <w:rPr>
                <w:b/>
                <w:bCs/>
                <w:color w:val="auto"/>
                <w:sz w:val="22"/>
                <w:szCs w:val="21"/>
                <w:highlight w:val="none"/>
              </w:rPr>
            </w:pPr>
          </w:p>
          <w:p>
            <w:pPr>
              <w:autoSpaceDE w:val="0"/>
              <w:autoSpaceDN w:val="0"/>
              <w:adjustRightInd w:val="0"/>
              <w:spacing w:line="360" w:lineRule="auto"/>
              <w:ind w:firstLine="442" w:firstLineChars="200"/>
              <w:rPr>
                <w:b/>
                <w:bCs/>
                <w:color w:val="auto"/>
                <w:sz w:val="22"/>
                <w:szCs w:val="21"/>
                <w:highlight w:val="none"/>
              </w:rPr>
            </w:pPr>
          </w:p>
          <w:p>
            <w:pPr>
              <w:autoSpaceDE w:val="0"/>
              <w:autoSpaceDN w:val="0"/>
              <w:adjustRightInd w:val="0"/>
              <w:spacing w:line="360" w:lineRule="auto"/>
              <w:ind w:firstLine="442" w:firstLineChars="200"/>
              <w:rPr>
                <w:b/>
                <w:bCs/>
                <w:color w:val="auto"/>
                <w:sz w:val="22"/>
                <w:szCs w:val="21"/>
                <w:highlight w:val="none"/>
              </w:rPr>
            </w:pPr>
            <w:r>
              <w:rPr>
                <w:b/>
                <w:bCs/>
                <w:color w:val="auto"/>
                <w:sz w:val="22"/>
                <w:szCs w:val="21"/>
                <w:highlight w:val="none"/>
              </w:rPr>
              <w:t>（2）预测</w:t>
            </w:r>
          </w:p>
          <w:p>
            <w:pPr>
              <w:spacing w:line="360" w:lineRule="auto"/>
              <w:ind w:firstLine="480"/>
              <w:rPr>
                <w:rFonts w:hint="default" w:ascii="Times New Roman" w:hAnsi="Times New Roman" w:cs="Times New Roman"/>
                <w:color w:val="auto"/>
                <w:sz w:val="22"/>
                <w:szCs w:val="22"/>
                <w:highlight w:val="none"/>
              </w:rPr>
            </w:pPr>
            <w:r>
              <w:rPr>
                <w:color w:val="auto"/>
                <w:sz w:val="22"/>
                <w:szCs w:val="21"/>
                <w:highlight w:val="none"/>
              </w:rPr>
              <w:t>①噪声源距厂界距离</w:t>
            </w:r>
          </w:p>
          <w:p>
            <w:pPr>
              <w:adjustRightInd w:val="0"/>
              <w:jc w:val="center"/>
              <w:textAlignment w:val="baseline"/>
              <w:rPr>
                <w:b/>
                <w:color w:val="auto"/>
                <w:szCs w:val="21"/>
                <w:highlight w:val="none"/>
              </w:rPr>
            </w:pPr>
            <w:r>
              <w:rPr>
                <w:b/>
                <w:color w:val="auto"/>
                <w:szCs w:val="21"/>
                <w:highlight w:val="none"/>
              </w:rPr>
              <w:t>表4-</w:t>
            </w:r>
            <w:r>
              <w:rPr>
                <w:rFonts w:hint="eastAsia"/>
                <w:b/>
                <w:color w:val="auto"/>
                <w:szCs w:val="21"/>
                <w:highlight w:val="none"/>
                <w:lang w:val="en-US" w:eastAsia="zh-CN"/>
              </w:rPr>
              <w:t>9</w:t>
            </w:r>
            <w:r>
              <w:rPr>
                <w:b/>
                <w:color w:val="auto"/>
                <w:szCs w:val="21"/>
                <w:highlight w:val="none"/>
              </w:rPr>
              <w:t>噪声源距厂界距离（m）</w:t>
            </w:r>
          </w:p>
          <w:tbl>
            <w:tblPr>
              <w:tblStyle w:val="42"/>
              <w:tblW w:w="78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5"/>
              <w:gridCol w:w="1479"/>
              <w:gridCol w:w="1431"/>
              <w:gridCol w:w="1470"/>
              <w:gridCol w:w="16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805" w:type="dxa"/>
                  <w:noWrap w:val="0"/>
                  <w:vAlign w:val="center"/>
                </w:tcPr>
                <w:p>
                  <w:pPr>
                    <w:widowControl/>
                    <w:spacing w:line="300" w:lineRule="exact"/>
                    <w:ind w:firstLine="34" w:firstLineChars="17"/>
                    <w:jc w:val="center"/>
                    <w:rPr>
                      <w:rFonts w:hint="default" w:ascii="Times New Roman" w:hAnsi="Times New Roman" w:eastAsia="宋体" w:cs="Times New Roman"/>
                      <w:b/>
                      <w:bCs/>
                      <w:color w:val="auto"/>
                      <w:kern w:val="0"/>
                      <w:sz w:val="20"/>
                      <w:szCs w:val="20"/>
                      <w:highlight w:val="none"/>
                      <w:lang w:val="en-US" w:eastAsia="zh-CN"/>
                    </w:rPr>
                  </w:pPr>
                  <w:r>
                    <w:rPr>
                      <w:rFonts w:hint="default" w:ascii="Times New Roman" w:hAnsi="Times New Roman" w:eastAsia="宋体" w:cs="Times New Roman"/>
                      <w:b/>
                      <w:bCs/>
                      <w:color w:val="auto"/>
                      <w:kern w:val="0"/>
                      <w:sz w:val="20"/>
                      <w:szCs w:val="20"/>
                      <w:highlight w:val="none"/>
                      <w:lang w:val="en-US" w:eastAsia="zh-CN"/>
                    </w:rPr>
                    <w:t>噪声源</w:t>
                  </w:r>
                </w:p>
              </w:tc>
              <w:tc>
                <w:tcPr>
                  <w:tcW w:w="1479" w:type="dxa"/>
                  <w:noWrap w:val="0"/>
                  <w:vAlign w:val="center"/>
                </w:tcPr>
                <w:p>
                  <w:pPr>
                    <w:jc w:val="center"/>
                    <w:rPr>
                      <w:rFonts w:hint="default" w:ascii="Times New Roman" w:hAnsi="Times New Roman" w:cs="Times New Roman"/>
                      <w:b/>
                      <w:bCs/>
                      <w:color w:val="auto"/>
                      <w:sz w:val="20"/>
                      <w:szCs w:val="20"/>
                      <w:highlight w:val="none"/>
                    </w:rPr>
                  </w:pPr>
                  <w:r>
                    <w:rPr>
                      <w:rFonts w:hint="eastAsia" w:ascii="Times New Roman" w:hAnsi="Times New Roman" w:cs="Times New Roman"/>
                      <w:b/>
                      <w:bCs/>
                      <w:color w:val="auto"/>
                      <w:sz w:val="20"/>
                      <w:szCs w:val="20"/>
                      <w:highlight w:val="none"/>
                      <w:vertAlign w:val="baseline"/>
                      <w:lang w:val="en-US" w:eastAsia="zh-CN"/>
                    </w:rPr>
                    <w:t>东厂</w:t>
                  </w:r>
                  <w:r>
                    <w:rPr>
                      <w:rFonts w:hint="default" w:ascii="Times New Roman" w:hAnsi="Times New Roman" w:cs="Times New Roman"/>
                      <w:b/>
                      <w:bCs/>
                      <w:color w:val="auto"/>
                      <w:sz w:val="20"/>
                      <w:szCs w:val="20"/>
                      <w:highlight w:val="none"/>
                      <w:vertAlign w:val="baseline"/>
                      <w:lang w:eastAsia="zh-CN"/>
                    </w:rPr>
                    <w:t>界</w:t>
                  </w:r>
                </w:p>
              </w:tc>
              <w:tc>
                <w:tcPr>
                  <w:tcW w:w="1431" w:type="dxa"/>
                  <w:noWrap w:val="0"/>
                  <w:vAlign w:val="center"/>
                </w:tcPr>
                <w:p>
                  <w:pPr>
                    <w:jc w:val="center"/>
                    <w:rPr>
                      <w:rFonts w:hint="default" w:ascii="Times New Roman" w:hAnsi="Times New Roman" w:cs="Times New Roman"/>
                      <w:b/>
                      <w:bCs/>
                      <w:color w:val="auto"/>
                      <w:sz w:val="20"/>
                      <w:szCs w:val="20"/>
                      <w:highlight w:val="none"/>
                    </w:rPr>
                  </w:pPr>
                  <w:r>
                    <w:rPr>
                      <w:rFonts w:hint="default" w:ascii="Times New Roman" w:hAnsi="Times New Roman" w:cs="Times New Roman"/>
                      <w:b/>
                      <w:bCs/>
                      <w:color w:val="auto"/>
                      <w:sz w:val="20"/>
                      <w:szCs w:val="20"/>
                      <w:highlight w:val="none"/>
                      <w:vertAlign w:val="baseline"/>
                      <w:lang w:eastAsia="zh-CN"/>
                    </w:rPr>
                    <w:t>南厂界</w:t>
                  </w:r>
                </w:p>
              </w:tc>
              <w:tc>
                <w:tcPr>
                  <w:tcW w:w="1470" w:type="dxa"/>
                  <w:noWrap w:val="0"/>
                  <w:vAlign w:val="center"/>
                </w:tcPr>
                <w:p>
                  <w:pPr>
                    <w:jc w:val="center"/>
                    <w:rPr>
                      <w:rFonts w:hint="default" w:ascii="Times New Roman" w:hAnsi="Times New Roman" w:cs="Times New Roman"/>
                      <w:b/>
                      <w:bCs/>
                      <w:color w:val="auto"/>
                      <w:sz w:val="20"/>
                      <w:szCs w:val="20"/>
                      <w:highlight w:val="none"/>
                    </w:rPr>
                  </w:pPr>
                  <w:r>
                    <w:rPr>
                      <w:rFonts w:hint="eastAsia" w:ascii="Times New Roman" w:hAnsi="Times New Roman" w:cs="Times New Roman"/>
                      <w:b/>
                      <w:bCs/>
                      <w:color w:val="auto"/>
                      <w:sz w:val="20"/>
                      <w:szCs w:val="20"/>
                      <w:highlight w:val="none"/>
                      <w:vertAlign w:val="baseline"/>
                      <w:lang w:val="en-US" w:eastAsia="zh-CN"/>
                    </w:rPr>
                    <w:t>西</w:t>
                  </w:r>
                  <w:r>
                    <w:rPr>
                      <w:rFonts w:hint="default" w:ascii="Times New Roman" w:hAnsi="Times New Roman" w:cs="Times New Roman"/>
                      <w:b/>
                      <w:bCs/>
                      <w:color w:val="auto"/>
                      <w:sz w:val="20"/>
                      <w:szCs w:val="20"/>
                      <w:highlight w:val="none"/>
                      <w:vertAlign w:val="baseline"/>
                      <w:lang w:eastAsia="zh-CN"/>
                    </w:rPr>
                    <w:t>厂界</w:t>
                  </w:r>
                </w:p>
              </w:tc>
              <w:tc>
                <w:tcPr>
                  <w:tcW w:w="1633" w:type="dxa"/>
                  <w:noWrap w:val="0"/>
                  <w:vAlign w:val="center"/>
                </w:tcPr>
                <w:p>
                  <w:pPr>
                    <w:jc w:val="center"/>
                    <w:rPr>
                      <w:rFonts w:hint="default" w:ascii="Times New Roman" w:hAnsi="Times New Roman" w:cs="Times New Roman"/>
                      <w:b/>
                      <w:bCs/>
                      <w:color w:val="auto"/>
                      <w:sz w:val="20"/>
                      <w:szCs w:val="20"/>
                      <w:highlight w:val="none"/>
                    </w:rPr>
                  </w:pPr>
                  <w:r>
                    <w:rPr>
                      <w:rFonts w:hint="default" w:ascii="Times New Roman" w:hAnsi="Times New Roman" w:cs="Times New Roman"/>
                      <w:b/>
                      <w:bCs/>
                      <w:color w:val="auto"/>
                      <w:sz w:val="20"/>
                      <w:szCs w:val="20"/>
                      <w:highlight w:val="none"/>
                      <w:vertAlign w:val="baseline"/>
                      <w:lang w:val="en-US" w:eastAsia="zh-CN"/>
                    </w:rPr>
                    <w:t>北</w:t>
                  </w:r>
                  <w:r>
                    <w:rPr>
                      <w:rFonts w:hint="default" w:ascii="Times New Roman" w:hAnsi="Times New Roman" w:cs="Times New Roman"/>
                      <w:b/>
                      <w:bCs/>
                      <w:color w:val="auto"/>
                      <w:sz w:val="20"/>
                      <w:szCs w:val="20"/>
                      <w:highlight w:val="none"/>
                      <w:vertAlign w:val="baseline"/>
                      <w:lang w:eastAsia="zh-CN"/>
                    </w:rPr>
                    <w:t>厂界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1805" w:type="dxa"/>
                  <w:noWrap w:val="0"/>
                  <w:vAlign w:val="center"/>
                </w:tcPr>
                <w:p>
                  <w:pPr>
                    <w:widowControl/>
                    <w:spacing w:line="300" w:lineRule="exact"/>
                    <w:ind w:firstLine="35" w:firstLineChars="17"/>
                    <w:jc w:val="center"/>
                    <w:rPr>
                      <w:rFonts w:hint="default" w:ascii="Times New Roman" w:hAnsi="Times New Roman" w:eastAsia="宋体" w:cs="Times New Roman"/>
                      <w:color w:val="auto"/>
                      <w:kern w:val="0"/>
                      <w:sz w:val="20"/>
                      <w:szCs w:val="20"/>
                      <w:highlight w:val="none"/>
                      <w:lang w:val="en-US" w:eastAsia="zh-CN"/>
                    </w:rPr>
                  </w:pPr>
                  <w:r>
                    <w:rPr>
                      <w:rFonts w:hint="eastAsia" w:ascii="Times New Roman" w:hAnsi="Times New Roman" w:eastAsia="宋体" w:cs="Times New Roman"/>
                      <w:color w:val="auto"/>
                      <w:kern w:val="0"/>
                      <w:sz w:val="21"/>
                      <w:szCs w:val="21"/>
                      <w:highlight w:val="none"/>
                      <w:lang w:val="en-US" w:eastAsia="zh-CN"/>
                    </w:rPr>
                    <w:t>切割机</w:t>
                  </w:r>
                </w:p>
              </w:tc>
              <w:tc>
                <w:tcPr>
                  <w:tcW w:w="1479" w:type="dxa"/>
                  <w:noWrap w:val="0"/>
                  <w:vAlign w:val="center"/>
                </w:tcPr>
                <w:p>
                  <w:pPr>
                    <w:jc w:val="center"/>
                    <w:rPr>
                      <w:rFonts w:hint="default" w:ascii="Times New Roman" w:hAnsi="Times New Roman" w:eastAsia="宋体" w:cs="Times New Roman"/>
                      <w:color w:val="auto"/>
                      <w:sz w:val="20"/>
                      <w:szCs w:val="20"/>
                      <w:highlight w:val="none"/>
                      <w:lang w:val="en-US" w:eastAsia="zh-CN"/>
                    </w:rPr>
                  </w:pPr>
                  <w:r>
                    <w:rPr>
                      <w:rFonts w:hint="eastAsia" w:cs="Times New Roman"/>
                      <w:color w:val="auto"/>
                      <w:sz w:val="20"/>
                      <w:szCs w:val="20"/>
                      <w:highlight w:val="none"/>
                      <w:lang w:val="en-US" w:eastAsia="zh-CN"/>
                    </w:rPr>
                    <w:t>35</w:t>
                  </w:r>
                </w:p>
              </w:tc>
              <w:tc>
                <w:tcPr>
                  <w:tcW w:w="1431" w:type="dxa"/>
                  <w:noWrap w:val="0"/>
                  <w:vAlign w:val="center"/>
                </w:tcPr>
                <w:p>
                  <w:pPr>
                    <w:jc w:val="center"/>
                    <w:rPr>
                      <w:rFonts w:hint="default" w:ascii="Times New Roman" w:hAnsi="Times New Roman" w:cs="Times New Roman"/>
                      <w:color w:val="auto"/>
                      <w:sz w:val="20"/>
                      <w:szCs w:val="20"/>
                      <w:highlight w:val="none"/>
                      <w:lang w:val="en-US" w:eastAsia="zh-CN"/>
                    </w:rPr>
                  </w:pPr>
                  <w:r>
                    <w:rPr>
                      <w:rFonts w:hint="eastAsia" w:cs="Times New Roman"/>
                      <w:color w:val="auto"/>
                      <w:sz w:val="20"/>
                      <w:szCs w:val="20"/>
                      <w:highlight w:val="none"/>
                      <w:lang w:val="en-US" w:eastAsia="zh-CN"/>
                    </w:rPr>
                    <w:t>90</w:t>
                  </w:r>
                </w:p>
              </w:tc>
              <w:tc>
                <w:tcPr>
                  <w:tcW w:w="1470" w:type="dxa"/>
                  <w:noWrap w:val="0"/>
                  <w:vAlign w:val="center"/>
                </w:tcPr>
                <w:p>
                  <w:pPr>
                    <w:jc w:val="center"/>
                    <w:rPr>
                      <w:rFonts w:hint="default" w:ascii="Times New Roman" w:hAnsi="Times New Roman" w:cs="Times New Roman"/>
                      <w:color w:val="auto"/>
                      <w:sz w:val="20"/>
                      <w:szCs w:val="20"/>
                      <w:highlight w:val="none"/>
                      <w:lang w:val="en-US" w:eastAsia="zh-CN"/>
                    </w:rPr>
                  </w:pPr>
                  <w:r>
                    <w:rPr>
                      <w:rFonts w:hint="eastAsia" w:cs="Times New Roman"/>
                      <w:color w:val="auto"/>
                      <w:sz w:val="20"/>
                      <w:szCs w:val="20"/>
                      <w:highlight w:val="none"/>
                      <w:lang w:val="en-US" w:eastAsia="zh-CN"/>
                    </w:rPr>
                    <w:t>25</w:t>
                  </w:r>
                </w:p>
              </w:tc>
              <w:tc>
                <w:tcPr>
                  <w:tcW w:w="1633" w:type="dxa"/>
                  <w:noWrap w:val="0"/>
                  <w:vAlign w:val="center"/>
                </w:tcPr>
                <w:p>
                  <w:pPr>
                    <w:jc w:val="center"/>
                    <w:rPr>
                      <w:rFonts w:hint="default" w:ascii="Times New Roman" w:hAnsi="Times New Roman" w:cs="Times New Roman"/>
                      <w:color w:val="auto"/>
                      <w:sz w:val="20"/>
                      <w:szCs w:val="20"/>
                      <w:highlight w:val="none"/>
                      <w:lang w:val="en-US" w:eastAsia="zh-CN"/>
                    </w:rPr>
                  </w:pPr>
                  <w:r>
                    <w:rPr>
                      <w:rFonts w:hint="eastAsia" w:cs="Times New Roman"/>
                      <w:color w:val="auto"/>
                      <w:sz w:val="20"/>
                      <w:szCs w:val="20"/>
                      <w:highlight w:val="none"/>
                      <w:lang w:val="en-US" w:eastAsia="zh-CN"/>
                    </w:rPr>
                    <w:t>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1805" w:type="dxa"/>
                  <w:noWrap w:val="0"/>
                  <w:vAlign w:val="center"/>
                </w:tcPr>
                <w:p>
                  <w:pPr>
                    <w:widowControl/>
                    <w:spacing w:line="300" w:lineRule="exact"/>
                    <w:ind w:firstLine="35" w:firstLineChars="17"/>
                    <w:jc w:val="center"/>
                    <w:rPr>
                      <w:rFonts w:hint="default" w:ascii="Times New Roman" w:hAnsi="Times New Roman" w:eastAsia="宋体" w:cs="Times New Roman"/>
                      <w:color w:val="auto"/>
                      <w:kern w:val="0"/>
                      <w:sz w:val="20"/>
                      <w:szCs w:val="20"/>
                      <w:highlight w:val="none"/>
                      <w:lang w:val="en-US" w:eastAsia="zh-CN"/>
                    </w:rPr>
                  </w:pPr>
                  <w:r>
                    <w:rPr>
                      <w:rFonts w:hint="eastAsia" w:ascii="Times New Roman" w:hAnsi="Times New Roman" w:eastAsia="宋体" w:cs="Times New Roman"/>
                      <w:color w:val="auto"/>
                      <w:kern w:val="0"/>
                      <w:sz w:val="21"/>
                      <w:szCs w:val="21"/>
                      <w:highlight w:val="none"/>
                      <w:lang w:val="en-US" w:eastAsia="zh-CN"/>
                    </w:rPr>
                    <w:t>双边磨</w:t>
                  </w:r>
                </w:p>
              </w:tc>
              <w:tc>
                <w:tcPr>
                  <w:tcW w:w="1479" w:type="dxa"/>
                  <w:noWrap w:val="0"/>
                  <w:vAlign w:val="center"/>
                </w:tcPr>
                <w:p>
                  <w:pPr>
                    <w:jc w:val="center"/>
                    <w:rPr>
                      <w:rFonts w:hint="default" w:ascii="Times New Roman" w:hAnsi="Times New Roman" w:eastAsia="宋体" w:cs="Times New Roman"/>
                      <w:color w:val="auto"/>
                      <w:sz w:val="20"/>
                      <w:szCs w:val="20"/>
                      <w:highlight w:val="none"/>
                      <w:lang w:val="en-US" w:eastAsia="zh-CN"/>
                    </w:rPr>
                  </w:pPr>
                  <w:r>
                    <w:rPr>
                      <w:rFonts w:hint="eastAsia" w:cs="Times New Roman"/>
                      <w:color w:val="auto"/>
                      <w:sz w:val="20"/>
                      <w:szCs w:val="20"/>
                      <w:highlight w:val="none"/>
                      <w:lang w:val="en-US" w:eastAsia="zh-CN"/>
                    </w:rPr>
                    <w:t>35</w:t>
                  </w:r>
                </w:p>
              </w:tc>
              <w:tc>
                <w:tcPr>
                  <w:tcW w:w="1431" w:type="dxa"/>
                  <w:noWrap w:val="0"/>
                  <w:vAlign w:val="center"/>
                </w:tcPr>
                <w:p>
                  <w:pPr>
                    <w:jc w:val="center"/>
                    <w:rPr>
                      <w:rFonts w:hint="default" w:ascii="Times New Roman" w:hAnsi="Times New Roman" w:cs="Times New Roman"/>
                      <w:color w:val="auto"/>
                      <w:sz w:val="20"/>
                      <w:szCs w:val="20"/>
                      <w:highlight w:val="none"/>
                      <w:lang w:val="en-US" w:eastAsia="zh-CN"/>
                    </w:rPr>
                  </w:pPr>
                  <w:r>
                    <w:rPr>
                      <w:rFonts w:hint="eastAsia" w:cs="Times New Roman"/>
                      <w:color w:val="auto"/>
                      <w:sz w:val="20"/>
                      <w:szCs w:val="20"/>
                      <w:highlight w:val="none"/>
                      <w:lang w:val="en-US" w:eastAsia="zh-CN"/>
                    </w:rPr>
                    <w:t>144</w:t>
                  </w:r>
                </w:p>
              </w:tc>
              <w:tc>
                <w:tcPr>
                  <w:tcW w:w="1470" w:type="dxa"/>
                  <w:noWrap w:val="0"/>
                  <w:vAlign w:val="center"/>
                </w:tcPr>
                <w:p>
                  <w:pPr>
                    <w:jc w:val="center"/>
                    <w:rPr>
                      <w:rFonts w:hint="default" w:ascii="Times New Roman" w:hAnsi="Times New Roman" w:cs="Times New Roman"/>
                      <w:color w:val="auto"/>
                      <w:sz w:val="20"/>
                      <w:szCs w:val="20"/>
                      <w:highlight w:val="none"/>
                      <w:lang w:val="en-US" w:eastAsia="zh-CN"/>
                    </w:rPr>
                  </w:pPr>
                  <w:r>
                    <w:rPr>
                      <w:rFonts w:hint="eastAsia" w:cs="Times New Roman"/>
                      <w:color w:val="auto"/>
                      <w:sz w:val="20"/>
                      <w:szCs w:val="20"/>
                      <w:highlight w:val="none"/>
                      <w:lang w:val="en-US" w:eastAsia="zh-CN"/>
                    </w:rPr>
                    <w:t>27</w:t>
                  </w:r>
                </w:p>
              </w:tc>
              <w:tc>
                <w:tcPr>
                  <w:tcW w:w="1633" w:type="dxa"/>
                  <w:noWrap w:val="0"/>
                  <w:vAlign w:val="center"/>
                </w:tcPr>
                <w:p>
                  <w:pPr>
                    <w:jc w:val="center"/>
                    <w:rPr>
                      <w:rFonts w:hint="default" w:ascii="Times New Roman" w:hAnsi="Times New Roman" w:cs="Times New Roman"/>
                      <w:color w:val="auto"/>
                      <w:sz w:val="20"/>
                      <w:szCs w:val="20"/>
                      <w:highlight w:val="none"/>
                      <w:lang w:val="en-US" w:eastAsia="zh-CN"/>
                    </w:rPr>
                  </w:pPr>
                  <w:r>
                    <w:rPr>
                      <w:rFonts w:hint="eastAsia" w:cs="Times New Roman"/>
                      <w:color w:val="auto"/>
                      <w:sz w:val="20"/>
                      <w:szCs w:val="20"/>
                      <w:highlight w:val="none"/>
                      <w:lang w:val="en-US" w:eastAsia="zh-CN"/>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1805" w:type="dxa"/>
                  <w:noWrap w:val="0"/>
                  <w:vAlign w:val="center"/>
                </w:tcPr>
                <w:p>
                  <w:pPr>
                    <w:widowControl/>
                    <w:spacing w:line="300" w:lineRule="exact"/>
                    <w:ind w:firstLine="35" w:firstLineChars="17"/>
                    <w:jc w:val="center"/>
                    <w:rPr>
                      <w:rFonts w:hint="default" w:ascii="Times New Roman" w:hAnsi="Times New Roman" w:eastAsia="宋体" w:cs="Times New Roman"/>
                      <w:color w:val="auto"/>
                      <w:kern w:val="0"/>
                      <w:sz w:val="20"/>
                      <w:szCs w:val="20"/>
                      <w:highlight w:val="none"/>
                      <w:lang w:val="en-US" w:eastAsia="zh-CN"/>
                    </w:rPr>
                  </w:pPr>
                  <w:r>
                    <w:rPr>
                      <w:rFonts w:hint="eastAsia" w:ascii="Times New Roman" w:hAnsi="Times New Roman" w:eastAsia="宋体" w:cs="Times New Roman"/>
                      <w:color w:val="auto"/>
                      <w:kern w:val="0"/>
                      <w:sz w:val="21"/>
                      <w:szCs w:val="21"/>
                      <w:highlight w:val="none"/>
                      <w:lang w:val="en-US" w:eastAsia="zh-CN"/>
                    </w:rPr>
                    <w:t>直边机</w:t>
                  </w:r>
                </w:p>
              </w:tc>
              <w:tc>
                <w:tcPr>
                  <w:tcW w:w="1479" w:type="dxa"/>
                  <w:noWrap w:val="0"/>
                  <w:vAlign w:val="center"/>
                </w:tcPr>
                <w:p>
                  <w:pPr>
                    <w:jc w:val="center"/>
                    <w:rPr>
                      <w:rFonts w:hint="default" w:ascii="Times New Roman" w:hAnsi="Times New Roman" w:eastAsia="宋体" w:cs="Times New Roman"/>
                      <w:color w:val="auto"/>
                      <w:sz w:val="20"/>
                      <w:szCs w:val="20"/>
                      <w:highlight w:val="none"/>
                      <w:lang w:val="en-US" w:eastAsia="zh-CN"/>
                    </w:rPr>
                  </w:pPr>
                  <w:r>
                    <w:rPr>
                      <w:rFonts w:hint="eastAsia" w:cs="Times New Roman"/>
                      <w:color w:val="auto"/>
                      <w:sz w:val="20"/>
                      <w:szCs w:val="20"/>
                      <w:highlight w:val="none"/>
                      <w:lang w:val="en-US" w:eastAsia="zh-CN"/>
                    </w:rPr>
                    <w:t>49</w:t>
                  </w:r>
                </w:p>
              </w:tc>
              <w:tc>
                <w:tcPr>
                  <w:tcW w:w="1431" w:type="dxa"/>
                  <w:noWrap w:val="0"/>
                  <w:vAlign w:val="center"/>
                </w:tcPr>
                <w:p>
                  <w:pPr>
                    <w:jc w:val="center"/>
                    <w:rPr>
                      <w:rFonts w:hint="default" w:ascii="Times New Roman" w:hAnsi="Times New Roman" w:cs="Times New Roman"/>
                      <w:color w:val="auto"/>
                      <w:sz w:val="20"/>
                      <w:szCs w:val="20"/>
                      <w:highlight w:val="none"/>
                      <w:lang w:val="en-US" w:eastAsia="zh-CN"/>
                    </w:rPr>
                  </w:pPr>
                  <w:r>
                    <w:rPr>
                      <w:rFonts w:hint="eastAsia" w:cs="Times New Roman"/>
                      <w:color w:val="auto"/>
                      <w:sz w:val="20"/>
                      <w:szCs w:val="20"/>
                      <w:highlight w:val="none"/>
                      <w:lang w:val="en-US" w:eastAsia="zh-CN"/>
                    </w:rPr>
                    <w:t>105</w:t>
                  </w:r>
                </w:p>
              </w:tc>
              <w:tc>
                <w:tcPr>
                  <w:tcW w:w="1470" w:type="dxa"/>
                  <w:noWrap w:val="0"/>
                  <w:vAlign w:val="center"/>
                </w:tcPr>
                <w:p>
                  <w:pPr>
                    <w:jc w:val="center"/>
                    <w:rPr>
                      <w:rFonts w:hint="default" w:ascii="Times New Roman" w:hAnsi="Times New Roman" w:cs="Times New Roman"/>
                      <w:color w:val="auto"/>
                      <w:sz w:val="20"/>
                      <w:szCs w:val="20"/>
                      <w:highlight w:val="none"/>
                      <w:lang w:val="en-US" w:eastAsia="zh-CN"/>
                    </w:rPr>
                  </w:pPr>
                  <w:r>
                    <w:rPr>
                      <w:rFonts w:hint="eastAsia" w:cs="Times New Roman"/>
                      <w:color w:val="auto"/>
                      <w:sz w:val="20"/>
                      <w:szCs w:val="20"/>
                      <w:highlight w:val="none"/>
                      <w:lang w:val="en-US" w:eastAsia="zh-CN"/>
                    </w:rPr>
                    <w:t>12</w:t>
                  </w:r>
                </w:p>
              </w:tc>
              <w:tc>
                <w:tcPr>
                  <w:tcW w:w="1633" w:type="dxa"/>
                  <w:noWrap w:val="0"/>
                  <w:vAlign w:val="center"/>
                </w:tcPr>
                <w:p>
                  <w:pPr>
                    <w:jc w:val="center"/>
                    <w:rPr>
                      <w:rFonts w:hint="default" w:ascii="Times New Roman" w:hAnsi="Times New Roman" w:cs="Times New Roman"/>
                      <w:color w:val="auto"/>
                      <w:sz w:val="20"/>
                      <w:szCs w:val="20"/>
                      <w:highlight w:val="none"/>
                      <w:lang w:val="en-US" w:eastAsia="zh-CN"/>
                    </w:rPr>
                  </w:pPr>
                  <w:r>
                    <w:rPr>
                      <w:rFonts w:hint="eastAsia" w:cs="Times New Roman"/>
                      <w:color w:val="auto"/>
                      <w:sz w:val="20"/>
                      <w:szCs w:val="20"/>
                      <w:highlight w:val="none"/>
                      <w:lang w:val="en-US" w:eastAsia="zh-CN"/>
                    </w:rPr>
                    <w:t>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1805" w:type="dxa"/>
                  <w:noWrap w:val="0"/>
                  <w:vAlign w:val="center"/>
                </w:tcPr>
                <w:p>
                  <w:pPr>
                    <w:widowControl/>
                    <w:spacing w:line="300" w:lineRule="exact"/>
                    <w:ind w:firstLine="35" w:firstLineChars="17"/>
                    <w:jc w:val="center"/>
                    <w:rPr>
                      <w:rFonts w:hint="eastAsia" w:ascii="Times New Roman" w:hAnsi="Times New Roman" w:eastAsia="宋体" w:cs="Times New Roman"/>
                      <w:color w:val="auto"/>
                      <w:kern w:val="0"/>
                      <w:sz w:val="20"/>
                      <w:szCs w:val="20"/>
                      <w:highlight w:val="none"/>
                      <w:lang w:val="en-US" w:eastAsia="zh-CN"/>
                    </w:rPr>
                  </w:pPr>
                  <w:r>
                    <w:rPr>
                      <w:rFonts w:hint="eastAsia" w:ascii="Times New Roman" w:hAnsi="Times New Roman" w:eastAsia="宋体" w:cs="Times New Roman"/>
                      <w:color w:val="auto"/>
                      <w:kern w:val="0"/>
                      <w:sz w:val="21"/>
                      <w:szCs w:val="21"/>
                      <w:highlight w:val="none"/>
                      <w:lang w:val="en-US" w:eastAsia="zh-CN"/>
                    </w:rPr>
                    <w:t>斜边机</w:t>
                  </w:r>
                </w:p>
              </w:tc>
              <w:tc>
                <w:tcPr>
                  <w:tcW w:w="1479" w:type="dxa"/>
                  <w:noWrap w:val="0"/>
                  <w:vAlign w:val="center"/>
                </w:tcPr>
                <w:p>
                  <w:pPr>
                    <w:jc w:val="center"/>
                    <w:rPr>
                      <w:rFonts w:hint="eastAsia" w:cs="Times New Roman"/>
                      <w:color w:val="auto"/>
                      <w:sz w:val="20"/>
                      <w:szCs w:val="20"/>
                      <w:highlight w:val="none"/>
                      <w:lang w:val="en-US" w:eastAsia="zh-CN"/>
                    </w:rPr>
                  </w:pPr>
                  <w:r>
                    <w:rPr>
                      <w:rFonts w:hint="eastAsia" w:cs="Times New Roman"/>
                      <w:color w:val="auto"/>
                      <w:sz w:val="20"/>
                      <w:szCs w:val="20"/>
                      <w:highlight w:val="none"/>
                      <w:lang w:val="en-US" w:eastAsia="zh-CN"/>
                    </w:rPr>
                    <w:t>49</w:t>
                  </w:r>
                </w:p>
              </w:tc>
              <w:tc>
                <w:tcPr>
                  <w:tcW w:w="1431" w:type="dxa"/>
                  <w:noWrap w:val="0"/>
                  <w:vAlign w:val="center"/>
                </w:tcPr>
                <w:p>
                  <w:pPr>
                    <w:jc w:val="center"/>
                    <w:rPr>
                      <w:rFonts w:hint="eastAsia" w:cs="Times New Roman"/>
                      <w:color w:val="auto"/>
                      <w:sz w:val="20"/>
                      <w:szCs w:val="20"/>
                      <w:highlight w:val="none"/>
                      <w:lang w:val="en-US" w:eastAsia="zh-CN"/>
                    </w:rPr>
                  </w:pPr>
                  <w:r>
                    <w:rPr>
                      <w:rFonts w:hint="eastAsia" w:cs="Times New Roman"/>
                      <w:color w:val="auto"/>
                      <w:sz w:val="20"/>
                      <w:szCs w:val="20"/>
                      <w:highlight w:val="none"/>
                      <w:lang w:val="en-US" w:eastAsia="zh-CN"/>
                    </w:rPr>
                    <w:t>102</w:t>
                  </w:r>
                </w:p>
              </w:tc>
              <w:tc>
                <w:tcPr>
                  <w:tcW w:w="1470" w:type="dxa"/>
                  <w:noWrap w:val="0"/>
                  <w:vAlign w:val="center"/>
                </w:tcPr>
                <w:p>
                  <w:pPr>
                    <w:jc w:val="center"/>
                    <w:rPr>
                      <w:rFonts w:hint="eastAsia" w:cs="Times New Roman"/>
                      <w:color w:val="auto"/>
                      <w:sz w:val="20"/>
                      <w:szCs w:val="20"/>
                      <w:highlight w:val="none"/>
                      <w:lang w:val="en-US" w:eastAsia="zh-CN"/>
                    </w:rPr>
                  </w:pPr>
                  <w:r>
                    <w:rPr>
                      <w:rFonts w:hint="eastAsia" w:cs="Times New Roman"/>
                      <w:color w:val="auto"/>
                      <w:sz w:val="20"/>
                      <w:szCs w:val="20"/>
                      <w:highlight w:val="none"/>
                      <w:lang w:val="en-US" w:eastAsia="zh-CN"/>
                    </w:rPr>
                    <w:t>12</w:t>
                  </w:r>
                </w:p>
              </w:tc>
              <w:tc>
                <w:tcPr>
                  <w:tcW w:w="1633" w:type="dxa"/>
                  <w:noWrap w:val="0"/>
                  <w:vAlign w:val="center"/>
                </w:tcPr>
                <w:p>
                  <w:pPr>
                    <w:jc w:val="center"/>
                    <w:rPr>
                      <w:rFonts w:hint="eastAsia" w:cs="Times New Roman"/>
                      <w:color w:val="auto"/>
                      <w:sz w:val="20"/>
                      <w:szCs w:val="20"/>
                      <w:highlight w:val="none"/>
                      <w:lang w:val="en-US" w:eastAsia="zh-CN"/>
                    </w:rPr>
                  </w:pPr>
                  <w:r>
                    <w:rPr>
                      <w:rFonts w:hint="eastAsia" w:cs="Times New Roman"/>
                      <w:color w:val="auto"/>
                      <w:sz w:val="20"/>
                      <w:szCs w:val="20"/>
                      <w:highlight w:val="none"/>
                      <w:lang w:val="en-US" w:eastAsia="zh-CN"/>
                    </w:rPr>
                    <w:t>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1805" w:type="dxa"/>
                  <w:noWrap w:val="0"/>
                  <w:vAlign w:val="center"/>
                </w:tcPr>
                <w:p>
                  <w:pPr>
                    <w:widowControl/>
                    <w:spacing w:line="300" w:lineRule="exact"/>
                    <w:ind w:firstLine="35" w:firstLineChars="17"/>
                    <w:jc w:val="center"/>
                    <w:rPr>
                      <w:rFonts w:hint="eastAsia" w:ascii="Times New Roman" w:hAnsi="Times New Roman" w:eastAsia="宋体" w:cs="Times New Roman"/>
                      <w:color w:val="auto"/>
                      <w:kern w:val="0"/>
                      <w:sz w:val="20"/>
                      <w:szCs w:val="20"/>
                      <w:highlight w:val="none"/>
                      <w:lang w:val="en-US" w:eastAsia="zh-CN"/>
                    </w:rPr>
                  </w:pPr>
                  <w:r>
                    <w:rPr>
                      <w:rFonts w:hint="eastAsia" w:ascii="Times New Roman" w:hAnsi="Times New Roman" w:eastAsia="宋体" w:cs="Times New Roman"/>
                      <w:color w:val="auto"/>
                      <w:kern w:val="0"/>
                      <w:sz w:val="21"/>
                      <w:szCs w:val="21"/>
                      <w:highlight w:val="none"/>
                      <w:lang w:val="en-US" w:eastAsia="zh-CN"/>
                    </w:rPr>
                    <w:t>清洗机</w:t>
                  </w:r>
                </w:p>
              </w:tc>
              <w:tc>
                <w:tcPr>
                  <w:tcW w:w="1479" w:type="dxa"/>
                  <w:noWrap w:val="0"/>
                  <w:vAlign w:val="center"/>
                </w:tcPr>
                <w:p>
                  <w:pPr>
                    <w:jc w:val="center"/>
                    <w:rPr>
                      <w:rFonts w:hint="eastAsia" w:cs="Times New Roman"/>
                      <w:color w:val="auto"/>
                      <w:sz w:val="20"/>
                      <w:szCs w:val="20"/>
                      <w:highlight w:val="none"/>
                      <w:lang w:val="en-US" w:eastAsia="zh-CN"/>
                    </w:rPr>
                  </w:pPr>
                  <w:r>
                    <w:rPr>
                      <w:rFonts w:hint="eastAsia" w:cs="Times New Roman"/>
                      <w:color w:val="auto"/>
                      <w:sz w:val="20"/>
                      <w:szCs w:val="20"/>
                      <w:highlight w:val="none"/>
                      <w:lang w:val="en-US" w:eastAsia="zh-CN"/>
                    </w:rPr>
                    <w:t>52</w:t>
                  </w:r>
                </w:p>
              </w:tc>
              <w:tc>
                <w:tcPr>
                  <w:tcW w:w="1431" w:type="dxa"/>
                  <w:noWrap w:val="0"/>
                  <w:vAlign w:val="center"/>
                </w:tcPr>
                <w:p>
                  <w:pPr>
                    <w:jc w:val="center"/>
                    <w:rPr>
                      <w:rFonts w:hint="eastAsia" w:cs="Times New Roman"/>
                      <w:color w:val="auto"/>
                      <w:sz w:val="20"/>
                      <w:szCs w:val="20"/>
                      <w:highlight w:val="none"/>
                      <w:lang w:val="en-US" w:eastAsia="zh-CN"/>
                    </w:rPr>
                  </w:pPr>
                  <w:r>
                    <w:rPr>
                      <w:rFonts w:hint="eastAsia" w:cs="Times New Roman"/>
                      <w:color w:val="auto"/>
                      <w:sz w:val="20"/>
                      <w:szCs w:val="20"/>
                      <w:highlight w:val="none"/>
                      <w:lang w:val="en-US" w:eastAsia="zh-CN"/>
                    </w:rPr>
                    <w:t>135</w:t>
                  </w:r>
                </w:p>
              </w:tc>
              <w:tc>
                <w:tcPr>
                  <w:tcW w:w="1470" w:type="dxa"/>
                  <w:noWrap w:val="0"/>
                  <w:vAlign w:val="center"/>
                </w:tcPr>
                <w:p>
                  <w:pPr>
                    <w:jc w:val="center"/>
                    <w:rPr>
                      <w:rFonts w:hint="eastAsia" w:cs="Times New Roman"/>
                      <w:color w:val="auto"/>
                      <w:sz w:val="20"/>
                      <w:szCs w:val="20"/>
                      <w:highlight w:val="none"/>
                      <w:lang w:val="en-US" w:eastAsia="zh-CN"/>
                    </w:rPr>
                  </w:pPr>
                  <w:r>
                    <w:rPr>
                      <w:rFonts w:hint="eastAsia" w:cs="Times New Roman"/>
                      <w:color w:val="auto"/>
                      <w:sz w:val="20"/>
                      <w:szCs w:val="20"/>
                      <w:highlight w:val="none"/>
                      <w:lang w:val="en-US" w:eastAsia="zh-CN"/>
                    </w:rPr>
                    <w:t>10</w:t>
                  </w:r>
                </w:p>
              </w:tc>
              <w:tc>
                <w:tcPr>
                  <w:tcW w:w="1633" w:type="dxa"/>
                  <w:noWrap w:val="0"/>
                  <w:vAlign w:val="center"/>
                </w:tcPr>
                <w:p>
                  <w:pPr>
                    <w:jc w:val="center"/>
                    <w:rPr>
                      <w:rFonts w:hint="eastAsia" w:cs="Times New Roman"/>
                      <w:color w:val="auto"/>
                      <w:sz w:val="20"/>
                      <w:szCs w:val="20"/>
                      <w:highlight w:val="none"/>
                      <w:lang w:val="en-US" w:eastAsia="zh-CN"/>
                    </w:rPr>
                  </w:pPr>
                  <w:r>
                    <w:rPr>
                      <w:rFonts w:hint="eastAsia" w:cs="Times New Roman"/>
                      <w:color w:val="auto"/>
                      <w:sz w:val="20"/>
                      <w:szCs w:val="20"/>
                      <w:highlight w:val="none"/>
                      <w:lang w:val="en-US" w:eastAsia="zh-CN"/>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1805" w:type="dxa"/>
                  <w:noWrap w:val="0"/>
                  <w:vAlign w:val="center"/>
                </w:tcPr>
                <w:p>
                  <w:pPr>
                    <w:widowControl/>
                    <w:spacing w:line="300" w:lineRule="exact"/>
                    <w:ind w:firstLine="35" w:firstLineChars="17"/>
                    <w:jc w:val="center"/>
                    <w:rPr>
                      <w:rFonts w:hint="eastAsia" w:ascii="Times New Roman" w:hAnsi="Times New Roman" w:eastAsia="宋体" w:cs="Times New Roman"/>
                      <w:color w:val="auto"/>
                      <w:kern w:val="0"/>
                      <w:sz w:val="20"/>
                      <w:szCs w:val="20"/>
                      <w:highlight w:val="none"/>
                      <w:lang w:val="en-US" w:eastAsia="zh-CN"/>
                    </w:rPr>
                  </w:pPr>
                  <w:r>
                    <w:rPr>
                      <w:rFonts w:hint="eastAsia" w:ascii="Times New Roman" w:hAnsi="Times New Roman" w:eastAsia="宋体" w:cs="Times New Roman"/>
                      <w:color w:val="auto"/>
                      <w:kern w:val="0"/>
                      <w:sz w:val="21"/>
                      <w:szCs w:val="21"/>
                      <w:highlight w:val="none"/>
                      <w:lang w:val="en-US" w:eastAsia="zh-CN"/>
                    </w:rPr>
                    <w:t>夹层线</w:t>
                  </w:r>
                </w:p>
              </w:tc>
              <w:tc>
                <w:tcPr>
                  <w:tcW w:w="1479" w:type="dxa"/>
                  <w:noWrap w:val="0"/>
                  <w:vAlign w:val="center"/>
                </w:tcPr>
                <w:p>
                  <w:pPr>
                    <w:jc w:val="center"/>
                    <w:rPr>
                      <w:rFonts w:hint="eastAsia" w:cs="Times New Roman"/>
                      <w:color w:val="auto"/>
                      <w:sz w:val="20"/>
                      <w:szCs w:val="20"/>
                      <w:highlight w:val="none"/>
                      <w:lang w:val="en-US" w:eastAsia="zh-CN"/>
                    </w:rPr>
                  </w:pPr>
                  <w:r>
                    <w:rPr>
                      <w:rFonts w:hint="eastAsia" w:cs="Times New Roman"/>
                      <w:color w:val="auto"/>
                      <w:sz w:val="20"/>
                      <w:szCs w:val="20"/>
                      <w:highlight w:val="none"/>
                      <w:lang w:val="en-US" w:eastAsia="zh-CN"/>
                    </w:rPr>
                    <w:t>33</w:t>
                  </w:r>
                </w:p>
              </w:tc>
              <w:tc>
                <w:tcPr>
                  <w:tcW w:w="1431" w:type="dxa"/>
                  <w:noWrap w:val="0"/>
                  <w:vAlign w:val="center"/>
                </w:tcPr>
                <w:p>
                  <w:pPr>
                    <w:jc w:val="center"/>
                    <w:rPr>
                      <w:rFonts w:hint="eastAsia" w:cs="Times New Roman"/>
                      <w:color w:val="auto"/>
                      <w:sz w:val="20"/>
                      <w:szCs w:val="20"/>
                      <w:highlight w:val="none"/>
                      <w:lang w:val="en-US" w:eastAsia="zh-CN"/>
                    </w:rPr>
                  </w:pPr>
                  <w:r>
                    <w:rPr>
                      <w:rFonts w:hint="eastAsia" w:cs="Times New Roman"/>
                      <w:color w:val="auto"/>
                      <w:sz w:val="20"/>
                      <w:szCs w:val="20"/>
                      <w:highlight w:val="none"/>
                      <w:lang w:val="en-US" w:eastAsia="zh-CN"/>
                    </w:rPr>
                    <w:t>107</w:t>
                  </w:r>
                </w:p>
              </w:tc>
              <w:tc>
                <w:tcPr>
                  <w:tcW w:w="1470" w:type="dxa"/>
                  <w:noWrap w:val="0"/>
                  <w:vAlign w:val="center"/>
                </w:tcPr>
                <w:p>
                  <w:pPr>
                    <w:jc w:val="center"/>
                    <w:rPr>
                      <w:rFonts w:hint="eastAsia" w:cs="Times New Roman"/>
                      <w:color w:val="auto"/>
                      <w:sz w:val="20"/>
                      <w:szCs w:val="20"/>
                      <w:highlight w:val="none"/>
                      <w:lang w:val="en-US" w:eastAsia="zh-CN"/>
                    </w:rPr>
                  </w:pPr>
                  <w:r>
                    <w:rPr>
                      <w:rFonts w:hint="eastAsia" w:cs="Times New Roman"/>
                      <w:color w:val="auto"/>
                      <w:sz w:val="20"/>
                      <w:szCs w:val="20"/>
                      <w:highlight w:val="none"/>
                      <w:lang w:val="en-US" w:eastAsia="zh-CN"/>
                    </w:rPr>
                    <w:t>28</w:t>
                  </w:r>
                </w:p>
              </w:tc>
              <w:tc>
                <w:tcPr>
                  <w:tcW w:w="1633" w:type="dxa"/>
                  <w:noWrap w:val="0"/>
                  <w:vAlign w:val="center"/>
                </w:tcPr>
                <w:p>
                  <w:pPr>
                    <w:jc w:val="center"/>
                    <w:rPr>
                      <w:rFonts w:hint="eastAsia" w:cs="Times New Roman"/>
                      <w:color w:val="auto"/>
                      <w:sz w:val="20"/>
                      <w:szCs w:val="20"/>
                      <w:highlight w:val="none"/>
                      <w:lang w:val="en-US" w:eastAsia="zh-CN"/>
                    </w:rPr>
                  </w:pPr>
                  <w:r>
                    <w:rPr>
                      <w:rFonts w:hint="eastAsia" w:cs="Times New Roman"/>
                      <w:color w:val="auto"/>
                      <w:sz w:val="20"/>
                      <w:szCs w:val="20"/>
                      <w:highlight w:val="none"/>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1805" w:type="dxa"/>
                  <w:noWrap w:val="0"/>
                  <w:vAlign w:val="center"/>
                </w:tcPr>
                <w:p>
                  <w:pPr>
                    <w:widowControl/>
                    <w:spacing w:line="300" w:lineRule="exact"/>
                    <w:ind w:firstLine="35" w:firstLineChars="17"/>
                    <w:jc w:val="center"/>
                    <w:rPr>
                      <w:rFonts w:hint="eastAsia" w:ascii="Times New Roman" w:hAnsi="Times New Roman" w:eastAsia="宋体" w:cs="Times New Roman"/>
                      <w:color w:val="auto"/>
                      <w:kern w:val="0"/>
                      <w:sz w:val="20"/>
                      <w:szCs w:val="20"/>
                      <w:highlight w:val="none"/>
                      <w:lang w:val="en-US" w:eastAsia="zh-CN"/>
                    </w:rPr>
                  </w:pPr>
                  <w:r>
                    <w:rPr>
                      <w:rFonts w:hint="eastAsia" w:ascii="Times New Roman" w:hAnsi="Times New Roman" w:eastAsia="宋体" w:cs="Times New Roman"/>
                      <w:color w:val="auto"/>
                      <w:kern w:val="0"/>
                      <w:sz w:val="21"/>
                      <w:szCs w:val="21"/>
                      <w:highlight w:val="none"/>
                      <w:lang w:val="en-US" w:eastAsia="zh-CN"/>
                    </w:rPr>
                    <w:t>高压釜</w:t>
                  </w:r>
                </w:p>
              </w:tc>
              <w:tc>
                <w:tcPr>
                  <w:tcW w:w="1479" w:type="dxa"/>
                  <w:noWrap w:val="0"/>
                  <w:vAlign w:val="center"/>
                </w:tcPr>
                <w:p>
                  <w:pPr>
                    <w:jc w:val="center"/>
                    <w:rPr>
                      <w:rFonts w:hint="eastAsia" w:cs="Times New Roman"/>
                      <w:color w:val="auto"/>
                      <w:sz w:val="20"/>
                      <w:szCs w:val="20"/>
                      <w:highlight w:val="none"/>
                      <w:lang w:val="en-US" w:eastAsia="zh-CN"/>
                    </w:rPr>
                  </w:pPr>
                  <w:r>
                    <w:rPr>
                      <w:rFonts w:hint="eastAsia" w:cs="Times New Roman"/>
                      <w:color w:val="auto"/>
                      <w:sz w:val="20"/>
                      <w:szCs w:val="20"/>
                      <w:highlight w:val="none"/>
                      <w:lang w:val="en-US" w:eastAsia="zh-CN"/>
                    </w:rPr>
                    <w:t>15</w:t>
                  </w:r>
                </w:p>
              </w:tc>
              <w:tc>
                <w:tcPr>
                  <w:tcW w:w="1431" w:type="dxa"/>
                  <w:noWrap w:val="0"/>
                  <w:vAlign w:val="center"/>
                </w:tcPr>
                <w:p>
                  <w:pPr>
                    <w:jc w:val="center"/>
                    <w:rPr>
                      <w:rFonts w:hint="eastAsia" w:cs="Times New Roman"/>
                      <w:color w:val="auto"/>
                      <w:sz w:val="20"/>
                      <w:szCs w:val="20"/>
                      <w:highlight w:val="none"/>
                      <w:lang w:val="en-US" w:eastAsia="zh-CN"/>
                    </w:rPr>
                  </w:pPr>
                  <w:r>
                    <w:rPr>
                      <w:rFonts w:hint="eastAsia" w:cs="Times New Roman"/>
                      <w:color w:val="auto"/>
                      <w:sz w:val="20"/>
                      <w:szCs w:val="20"/>
                      <w:highlight w:val="none"/>
                      <w:lang w:val="en-US" w:eastAsia="zh-CN"/>
                    </w:rPr>
                    <w:t>128</w:t>
                  </w:r>
                </w:p>
              </w:tc>
              <w:tc>
                <w:tcPr>
                  <w:tcW w:w="1470" w:type="dxa"/>
                  <w:noWrap w:val="0"/>
                  <w:vAlign w:val="center"/>
                </w:tcPr>
                <w:p>
                  <w:pPr>
                    <w:jc w:val="center"/>
                    <w:rPr>
                      <w:rFonts w:hint="eastAsia" w:cs="Times New Roman"/>
                      <w:color w:val="auto"/>
                      <w:sz w:val="20"/>
                      <w:szCs w:val="20"/>
                      <w:highlight w:val="none"/>
                      <w:lang w:val="en-US" w:eastAsia="zh-CN"/>
                    </w:rPr>
                  </w:pPr>
                  <w:r>
                    <w:rPr>
                      <w:rFonts w:hint="eastAsia" w:cs="Times New Roman"/>
                      <w:color w:val="auto"/>
                      <w:sz w:val="20"/>
                      <w:szCs w:val="20"/>
                      <w:highlight w:val="none"/>
                      <w:lang w:val="en-US" w:eastAsia="zh-CN"/>
                    </w:rPr>
                    <w:t>46</w:t>
                  </w:r>
                </w:p>
              </w:tc>
              <w:tc>
                <w:tcPr>
                  <w:tcW w:w="1633" w:type="dxa"/>
                  <w:noWrap w:val="0"/>
                  <w:vAlign w:val="center"/>
                </w:tcPr>
                <w:p>
                  <w:pPr>
                    <w:jc w:val="center"/>
                    <w:rPr>
                      <w:rFonts w:hint="eastAsia" w:cs="Times New Roman"/>
                      <w:color w:val="auto"/>
                      <w:sz w:val="20"/>
                      <w:szCs w:val="20"/>
                      <w:highlight w:val="none"/>
                      <w:lang w:val="en-US" w:eastAsia="zh-CN"/>
                    </w:rPr>
                  </w:pPr>
                  <w:r>
                    <w:rPr>
                      <w:rFonts w:hint="eastAsia" w:cs="Times New Roman"/>
                      <w:color w:val="auto"/>
                      <w:sz w:val="20"/>
                      <w:szCs w:val="20"/>
                      <w:highlight w:val="none"/>
                      <w:lang w:val="en-US" w:eastAsia="zh-CN"/>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1805" w:type="dxa"/>
                  <w:noWrap w:val="0"/>
                  <w:vAlign w:val="center"/>
                </w:tcPr>
                <w:p>
                  <w:pPr>
                    <w:widowControl/>
                    <w:spacing w:line="300" w:lineRule="exact"/>
                    <w:ind w:firstLine="35" w:firstLineChars="17"/>
                    <w:jc w:val="center"/>
                    <w:rPr>
                      <w:rFonts w:hint="eastAsia" w:ascii="Times New Roman" w:hAnsi="Times New Roman" w:eastAsia="宋体" w:cs="Times New Roman"/>
                      <w:color w:val="auto"/>
                      <w:kern w:val="0"/>
                      <w:sz w:val="20"/>
                      <w:szCs w:val="20"/>
                      <w:highlight w:val="none"/>
                      <w:lang w:val="en-US" w:eastAsia="zh-CN"/>
                    </w:rPr>
                  </w:pPr>
                  <w:r>
                    <w:rPr>
                      <w:rFonts w:hint="eastAsia" w:ascii="Times New Roman" w:hAnsi="Times New Roman" w:eastAsia="宋体" w:cs="Times New Roman"/>
                      <w:color w:val="auto"/>
                      <w:kern w:val="0"/>
                      <w:sz w:val="21"/>
                      <w:szCs w:val="21"/>
                      <w:highlight w:val="none"/>
                      <w:lang w:val="en-US" w:eastAsia="zh-CN"/>
                    </w:rPr>
                    <w:t>除湿机</w:t>
                  </w:r>
                </w:p>
              </w:tc>
              <w:tc>
                <w:tcPr>
                  <w:tcW w:w="1479" w:type="dxa"/>
                  <w:noWrap w:val="0"/>
                  <w:vAlign w:val="center"/>
                </w:tcPr>
                <w:p>
                  <w:pPr>
                    <w:jc w:val="center"/>
                    <w:rPr>
                      <w:rFonts w:hint="eastAsia" w:cs="Times New Roman"/>
                      <w:color w:val="auto"/>
                      <w:sz w:val="20"/>
                      <w:szCs w:val="20"/>
                      <w:highlight w:val="none"/>
                      <w:lang w:val="en-US" w:eastAsia="zh-CN"/>
                    </w:rPr>
                  </w:pPr>
                  <w:r>
                    <w:rPr>
                      <w:rFonts w:hint="eastAsia" w:cs="Times New Roman"/>
                      <w:color w:val="auto"/>
                      <w:sz w:val="20"/>
                      <w:szCs w:val="20"/>
                      <w:highlight w:val="none"/>
                      <w:lang w:val="en-US" w:eastAsia="zh-CN"/>
                    </w:rPr>
                    <w:t>40</w:t>
                  </w:r>
                </w:p>
              </w:tc>
              <w:tc>
                <w:tcPr>
                  <w:tcW w:w="1431" w:type="dxa"/>
                  <w:noWrap w:val="0"/>
                  <w:vAlign w:val="center"/>
                </w:tcPr>
                <w:p>
                  <w:pPr>
                    <w:jc w:val="center"/>
                    <w:rPr>
                      <w:rFonts w:hint="eastAsia" w:cs="Times New Roman"/>
                      <w:color w:val="auto"/>
                      <w:sz w:val="20"/>
                      <w:szCs w:val="20"/>
                      <w:highlight w:val="none"/>
                      <w:lang w:val="en-US" w:eastAsia="zh-CN"/>
                    </w:rPr>
                  </w:pPr>
                  <w:r>
                    <w:rPr>
                      <w:rFonts w:hint="eastAsia" w:cs="Times New Roman"/>
                      <w:color w:val="auto"/>
                      <w:sz w:val="20"/>
                      <w:szCs w:val="20"/>
                      <w:highlight w:val="none"/>
                      <w:lang w:val="en-US" w:eastAsia="zh-CN"/>
                    </w:rPr>
                    <w:t>103</w:t>
                  </w:r>
                </w:p>
              </w:tc>
              <w:tc>
                <w:tcPr>
                  <w:tcW w:w="1470" w:type="dxa"/>
                  <w:noWrap w:val="0"/>
                  <w:vAlign w:val="center"/>
                </w:tcPr>
                <w:p>
                  <w:pPr>
                    <w:jc w:val="center"/>
                    <w:rPr>
                      <w:rFonts w:hint="eastAsia" w:cs="Times New Roman"/>
                      <w:color w:val="auto"/>
                      <w:sz w:val="20"/>
                      <w:szCs w:val="20"/>
                      <w:highlight w:val="none"/>
                      <w:lang w:val="en-US" w:eastAsia="zh-CN"/>
                    </w:rPr>
                  </w:pPr>
                  <w:r>
                    <w:rPr>
                      <w:rFonts w:hint="eastAsia" w:cs="Times New Roman"/>
                      <w:color w:val="auto"/>
                      <w:sz w:val="20"/>
                      <w:szCs w:val="20"/>
                      <w:highlight w:val="none"/>
                      <w:lang w:val="en-US" w:eastAsia="zh-CN"/>
                    </w:rPr>
                    <w:t>21</w:t>
                  </w:r>
                </w:p>
              </w:tc>
              <w:tc>
                <w:tcPr>
                  <w:tcW w:w="1633" w:type="dxa"/>
                  <w:noWrap w:val="0"/>
                  <w:vAlign w:val="center"/>
                </w:tcPr>
                <w:p>
                  <w:pPr>
                    <w:jc w:val="center"/>
                    <w:rPr>
                      <w:rFonts w:hint="eastAsia" w:cs="Times New Roman"/>
                      <w:color w:val="auto"/>
                      <w:sz w:val="20"/>
                      <w:szCs w:val="20"/>
                      <w:highlight w:val="none"/>
                      <w:lang w:val="en-US" w:eastAsia="zh-CN"/>
                    </w:rPr>
                  </w:pPr>
                  <w:r>
                    <w:rPr>
                      <w:rFonts w:hint="eastAsia" w:cs="Times New Roman"/>
                      <w:color w:val="auto"/>
                      <w:sz w:val="20"/>
                      <w:szCs w:val="20"/>
                      <w:highlight w:val="none"/>
                      <w:lang w:val="en-US" w:eastAsia="zh-CN"/>
                    </w:rPr>
                    <w:t>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1805" w:type="dxa"/>
                  <w:noWrap w:val="0"/>
                  <w:vAlign w:val="center"/>
                </w:tcPr>
                <w:p>
                  <w:pPr>
                    <w:widowControl/>
                    <w:spacing w:line="300" w:lineRule="exact"/>
                    <w:ind w:firstLine="35" w:firstLineChars="17"/>
                    <w:jc w:val="center"/>
                    <w:rPr>
                      <w:rFonts w:hint="eastAsia" w:ascii="Times New Roman" w:hAnsi="Times New Roman" w:eastAsia="宋体" w:cs="Times New Roman"/>
                      <w:color w:val="auto"/>
                      <w:kern w:val="0"/>
                      <w:sz w:val="20"/>
                      <w:szCs w:val="20"/>
                      <w:highlight w:val="none"/>
                      <w:lang w:val="en-US" w:eastAsia="zh-CN"/>
                    </w:rPr>
                  </w:pPr>
                  <w:r>
                    <w:rPr>
                      <w:rFonts w:hint="eastAsia" w:ascii="Times New Roman" w:hAnsi="Times New Roman" w:eastAsia="宋体" w:cs="Times New Roman"/>
                      <w:color w:val="auto"/>
                      <w:kern w:val="0"/>
                      <w:sz w:val="21"/>
                      <w:szCs w:val="21"/>
                      <w:highlight w:val="none"/>
                      <w:lang w:val="en-US" w:eastAsia="zh-CN"/>
                    </w:rPr>
                    <w:t>贴膜机</w:t>
                  </w:r>
                </w:p>
              </w:tc>
              <w:tc>
                <w:tcPr>
                  <w:tcW w:w="1479" w:type="dxa"/>
                  <w:noWrap w:val="0"/>
                  <w:vAlign w:val="center"/>
                </w:tcPr>
                <w:p>
                  <w:pPr>
                    <w:jc w:val="center"/>
                    <w:rPr>
                      <w:rFonts w:hint="eastAsia" w:cs="Times New Roman"/>
                      <w:color w:val="auto"/>
                      <w:sz w:val="20"/>
                      <w:szCs w:val="20"/>
                      <w:highlight w:val="none"/>
                      <w:lang w:val="en-US" w:eastAsia="zh-CN"/>
                    </w:rPr>
                  </w:pPr>
                  <w:r>
                    <w:rPr>
                      <w:rFonts w:hint="eastAsia" w:cs="Times New Roman"/>
                      <w:color w:val="auto"/>
                      <w:sz w:val="20"/>
                      <w:szCs w:val="20"/>
                      <w:highlight w:val="none"/>
                      <w:lang w:val="en-US" w:eastAsia="zh-CN"/>
                    </w:rPr>
                    <w:t>52</w:t>
                  </w:r>
                </w:p>
              </w:tc>
              <w:tc>
                <w:tcPr>
                  <w:tcW w:w="1431" w:type="dxa"/>
                  <w:noWrap w:val="0"/>
                  <w:vAlign w:val="center"/>
                </w:tcPr>
                <w:p>
                  <w:pPr>
                    <w:jc w:val="center"/>
                    <w:rPr>
                      <w:rFonts w:hint="eastAsia" w:cs="Times New Roman"/>
                      <w:color w:val="auto"/>
                      <w:sz w:val="20"/>
                      <w:szCs w:val="20"/>
                      <w:highlight w:val="none"/>
                      <w:lang w:val="en-US" w:eastAsia="zh-CN"/>
                    </w:rPr>
                  </w:pPr>
                  <w:r>
                    <w:rPr>
                      <w:rFonts w:hint="eastAsia" w:cs="Times New Roman"/>
                      <w:color w:val="auto"/>
                      <w:sz w:val="20"/>
                      <w:szCs w:val="20"/>
                      <w:highlight w:val="none"/>
                      <w:lang w:val="en-US" w:eastAsia="zh-CN"/>
                    </w:rPr>
                    <w:t>127</w:t>
                  </w:r>
                </w:p>
              </w:tc>
              <w:tc>
                <w:tcPr>
                  <w:tcW w:w="1470" w:type="dxa"/>
                  <w:noWrap w:val="0"/>
                  <w:vAlign w:val="center"/>
                </w:tcPr>
                <w:p>
                  <w:pPr>
                    <w:jc w:val="center"/>
                    <w:rPr>
                      <w:rFonts w:hint="eastAsia" w:cs="Times New Roman"/>
                      <w:color w:val="auto"/>
                      <w:sz w:val="20"/>
                      <w:szCs w:val="20"/>
                      <w:highlight w:val="none"/>
                      <w:lang w:val="en-US" w:eastAsia="zh-CN"/>
                    </w:rPr>
                  </w:pPr>
                  <w:r>
                    <w:rPr>
                      <w:rFonts w:hint="eastAsia" w:cs="Times New Roman"/>
                      <w:color w:val="auto"/>
                      <w:sz w:val="20"/>
                      <w:szCs w:val="20"/>
                      <w:highlight w:val="none"/>
                      <w:lang w:val="en-US" w:eastAsia="zh-CN"/>
                    </w:rPr>
                    <w:t>9</w:t>
                  </w:r>
                </w:p>
              </w:tc>
              <w:tc>
                <w:tcPr>
                  <w:tcW w:w="1633" w:type="dxa"/>
                  <w:noWrap w:val="0"/>
                  <w:vAlign w:val="center"/>
                </w:tcPr>
                <w:p>
                  <w:pPr>
                    <w:jc w:val="center"/>
                    <w:rPr>
                      <w:rFonts w:hint="eastAsia" w:cs="Times New Roman"/>
                      <w:color w:val="auto"/>
                      <w:sz w:val="20"/>
                      <w:szCs w:val="20"/>
                      <w:highlight w:val="none"/>
                      <w:lang w:val="en-US" w:eastAsia="zh-CN"/>
                    </w:rPr>
                  </w:pPr>
                  <w:r>
                    <w:rPr>
                      <w:rFonts w:hint="eastAsia" w:cs="Times New Roman"/>
                      <w:color w:val="auto"/>
                      <w:sz w:val="20"/>
                      <w:szCs w:val="20"/>
                      <w:highlight w:val="none"/>
                      <w:lang w:val="en-US" w:eastAsia="zh-CN"/>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1805" w:type="dxa"/>
                  <w:noWrap w:val="0"/>
                  <w:vAlign w:val="center"/>
                </w:tcPr>
                <w:p>
                  <w:pPr>
                    <w:widowControl/>
                    <w:spacing w:line="300" w:lineRule="exact"/>
                    <w:ind w:firstLine="35" w:firstLineChars="17"/>
                    <w:jc w:val="center"/>
                    <w:rPr>
                      <w:rFonts w:hint="eastAsia" w:ascii="Times New Roman" w:hAnsi="Times New Roman" w:eastAsia="宋体" w:cs="Times New Roman"/>
                      <w:color w:val="auto"/>
                      <w:kern w:val="0"/>
                      <w:sz w:val="20"/>
                      <w:szCs w:val="20"/>
                      <w:highlight w:val="none"/>
                      <w:lang w:val="en-US" w:eastAsia="zh-CN"/>
                    </w:rPr>
                  </w:pPr>
                  <w:r>
                    <w:rPr>
                      <w:rFonts w:hint="eastAsia" w:ascii="Times New Roman" w:hAnsi="Times New Roman" w:eastAsia="宋体" w:cs="Times New Roman"/>
                      <w:color w:val="auto"/>
                      <w:kern w:val="0"/>
                      <w:sz w:val="21"/>
                      <w:szCs w:val="21"/>
                      <w:highlight w:val="none"/>
                      <w:lang w:val="en-US" w:eastAsia="zh-CN"/>
                    </w:rPr>
                    <w:t>钻孔机</w:t>
                  </w:r>
                </w:p>
              </w:tc>
              <w:tc>
                <w:tcPr>
                  <w:tcW w:w="1479" w:type="dxa"/>
                  <w:noWrap w:val="0"/>
                  <w:vAlign w:val="center"/>
                </w:tcPr>
                <w:p>
                  <w:pPr>
                    <w:jc w:val="center"/>
                    <w:rPr>
                      <w:rFonts w:hint="eastAsia" w:cs="Times New Roman"/>
                      <w:color w:val="auto"/>
                      <w:sz w:val="20"/>
                      <w:szCs w:val="20"/>
                      <w:highlight w:val="none"/>
                      <w:lang w:val="en-US" w:eastAsia="zh-CN"/>
                    </w:rPr>
                  </w:pPr>
                  <w:r>
                    <w:rPr>
                      <w:rFonts w:hint="eastAsia" w:cs="Times New Roman"/>
                      <w:color w:val="auto"/>
                      <w:sz w:val="20"/>
                      <w:szCs w:val="20"/>
                      <w:highlight w:val="none"/>
                      <w:lang w:val="en-US" w:eastAsia="zh-CN"/>
                    </w:rPr>
                    <w:t>50</w:t>
                  </w:r>
                </w:p>
              </w:tc>
              <w:tc>
                <w:tcPr>
                  <w:tcW w:w="1431" w:type="dxa"/>
                  <w:noWrap w:val="0"/>
                  <w:vAlign w:val="center"/>
                </w:tcPr>
                <w:p>
                  <w:pPr>
                    <w:jc w:val="center"/>
                    <w:rPr>
                      <w:rFonts w:hint="eastAsia" w:cs="Times New Roman"/>
                      <w:color w:val="auto"/>
                      <w:sz w:val="20"/>
                      <w:szCs w:val="20"/>
                      <w:highlight w:val="none"/>
                      <w:lang w:val="en-US" w:eastAsia="zh-CN"/>
                    </w:rPr>
                  </w:pPr>
                  <w:r>
                    <w:rPr>
                      <w:rFonts w:hint="eastAsia" w:cs="Times New Roman"/>
                      <w:color w:val="auto"/>
                      <w:sz w:val="20"/>
                      <w:szCs w:val="20"/>
                      <w:highlight w:val="none"/>
                      <w:lang w:val="en-US" w:eastAsia="zh-CN"/>
                    </w:rPr>
                    <w:t>94</w:t>
                  </w:r>
                </w:p>
              </w:tc>
              <w:tc>
                <w:tcPr>
                  <w:tcW w:w="1470" w:type="dxa"/>
                  <w:noWrap w:val="0"/>
                  <w:vAlign w:val="center"/>
                </w:tcPr>
                <w:p>
                  <w:pPr>
                    <w:jc w:val="center"/>
                    <w:rPr>
                      <w:rFonts w:hint="eastAsia" w:cs="Times New Roman"/>
                      <w:color w:val="auto"/>
                      <w:sz w:val="20"/>
                      <w:szCs w:val="20"/>
                      <w:highlight w:val="none"/>
                      <w:lang w:val="en-US" w:eastAsia="zh-CN"/>
                    </w:rPr>
                  </w:pPr>
                  <w:r>
                    <w:rPr>
                      <w:rFonts w:hint="eastAsia" w:cs="Times New Roman"/>
                      <w:color w:val="auto"/>
                      <w:sz w:val="20"/>
                      <w:szCs w:val="20"/>
                      <w:highlight w:val="none"/>
                      <w:lang w:val="en-US" w:eastAsia="zh-CN"/>
                    </w:rPr>
                    <w:t>10</w:t>
                  </w:r>
                </w:p>
              </w:tc>
              <w:tc>
                <w:tcPr>
                  <w:tcW w:w="1633" w:type="dxa"/>
                  <w:noWrap w:val="0"/>
                  <w:vAlign w:val="center"/>
                </w:tcPr>
                <w:p>
                  <w:pPr>
                    <w:jc w:val="center"/>
                    <w:rPr>
                      <w:rFonts w:hint="eastAsia" w:cs="Times New Roman"/>
                      <w:color w:val="auto"/>
                      <w:sz w:val="20"/>
                      <w:szCs w:val="20"/>
                      <w:highlight w:val="none"/>
                      <w:lang w:val="en-US" w:eastAsia="zh-CN"/>
                    </w:rPr>
                  </w:pPr>
                  <w:r>
                    <w:rPr>
                      <w:rFonts w:hint="eastAsia" w:cs="Times New Roman"/>
                      <w:color w:val="auto"/>
                      <w:sz w:val="20"/>
                      <w:szCs w:val="20"/>
                      <w:highlight w:val="none"/>
                      <w:lang w:val="en-US" w:eastAsia="zh-CN"/>
                    </w:rPr>
                    <w:t>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1805" w:type="dxa"/>
                  <w:noWrap w:val="0"/>
                  <w:vAlign w:val="center"/>
                </w:tcPr>
                <w:p>
                  <w:pPr>
                    <w:widowControl/>
                    <w:spacing w:line="300" w:lineRule="exact"/>
                    <w:ind w:firstLine="35" w:firstLineChars="17"/>
                    <w:jc w:val="center"/>
                    <w:rPr>
                      <w:rFonts w:hint="eastAsia" w:ascii="Times New Roman" w:hAnsi="Times New Roman" w:eastAsia="宋体" w:cs="Times New Roman"/>
                      <w:color w:val="auto"/>
                      <w:kern w:val="0"/>
                      <w:sz w:val="20"/>
                      <w:szCs w:val="20"/>
                      <w:highlight w:val="none"/>
                      <w:lang w:val="en-US" w:eastAsia="zh-CN"/>
                    </w:rPr>
                  </w:pPr>
                  <w:r>
                    <w:rPr>
                      <w:rFonts w:hint="eastAsia" w:ascii="Times New Roman" w:hAnsi="Times New Roman" w:eastAsia="宋体" w:cs="Times New Roman"/>
                      <w:color w:val="auto"/>
                      <w:kern w:val="0"/>
                      <w:sz w:val="21"/>
                      <w:szCs w:val="21"/>
                      <w:highlight w:val="none"/>
                      <w:lang w:val="en-US" w:eastAsia="zh-CN"/>
                    </w:rPr>
                    <w:t>喷漆房</w:t>
                  </w:r>
                </w:p>
              </w:tc>
              <w:tc>
                <w:tcPr>
                  <w:tcW w:w="1479" w:type="dxa"/>
                  <w:noWrap w:val="0"/>
                  <w:vAlign w:val="center"/>
                </w:tcPr>
                <w:p>
                  <w:pPr>
                    <w:jc w:val="center"/>
                    <w:rPr>
                      <w:rFonts w:hint="eastAsia" w:cs="Times New Roman"/>
                      <w:color w:val="auto"/>
                      <w:sz w:val="20"/>
                      <w:szCs w:val="20"/>
                      <w:highlight w:val="none"/>
                      <w:lang w:val="en-US" w:eastAsia="zh-CN"/>
                    </w:rPr>
                  </w:pPr>
                  <w:r>
                    <w:rPr>
                      <w:rFonts w:hint="eastAsia" w:cs="Times New Roman"/>
                      <w:color w:val="auto"/>
                      <w:sz w:val="20"/>
                      <w:szCs w:val="20"/>
                      <w:highlight w:val="none"/>
                      <w:lang w:val="en-US" w:eastAsia="zh-CN"/>
                    </w:rPr>
                    <w:t>50</w:t>
                  </w:r>
                </w:p>
              </w:tc>
              <w:tc>
                <w:tcPr>
                  <w:tcW w:w="1431" w:type="dxa"/>
                  <w:noWrap w:val="0"/>
                  <w:vAlign w:val="center"/>
                </w:tcPr>
                <w:p>
                  <w:pPr>
                    <w:jc w:val="center"/>
                    <w:rPr>
                      <w:rFonts w:hint="eastAsia" w:cs="Times New Roman"/>
                      <w:color w:val="auto"/>
                      <w:sz w:val="20"/>
                      <w:szCs w:val="20"/>
                      <w:highlight w:val="none"/>
                      <w:lang w:val="en-US" w:eastAsia="zh-CN"/>
                    </w:rPr>
                  </w:pPr>
                  <w:r>
                    <w:rPr>
                      <w:rFonts w:hint="eastAsia" w:cs="Times New Roman"/>
                      <w:color w:val="auto"/>
                      <w:sz w:val="20"/>
                      <w:szCs w:val="20"/>
                      <w:highlight w:val="none"/>
                      <w:lang w:val="en-US" w:eastAsia="zh-CN"/>
                    </w:rPr>
                    <w:t>87</w:t>
                  </w:r>
                </w:p>
              </w:tc>
              <w:tc>
                <w:tcPr>
                  <w:tcW w:w="1470" w:type="dxa"/>
                  <w:noWrap w:val="0"/>
                  <w:vAlign w:val="center"/>
                </w:tcPr>
                <w:p>
                  <w:pPr>
                    <w:jc w:val="center"/>
                    <w:rPr>
                      <w:rFonts w:hint="eastAsia" w:cs="Times New Roman"/>
                      <w:color w:val="auto"/>
                      <w:sz w:val="20"/>
                      <w:szCs w:val="20"/>
                      <w:highlight w:val="none"/>
                      <w:lang w:val="en-US" w:eastAsia="zh-CN"/>
                    </w:rPr>
                  </w:pPr>
                  <w:r>
                    <w:rPr>
                      <w:rFonts w:hint="eastAsia" w:cs="Times New Roman"/>
                      <w:color w:val="auto"/>
                      <w:sz w:val="20"/>
                      <w:szCs w:val="20"/>
                      <w:highlight w:val="none"/>
                      <w:lang w:val="en-US" w:eastAsia="zh-CN"/>
                    </w:rPr>
                    <w:t>11</w:t>
                  </w:r>
                </w:p>
              </w:tc>
              <w:tc>
                <w:tcPr>
                  <w:tcW w:w="1633" w:type="dxa"/>
                  <w:noWrap w:val="0"/>
                  <w:vAlign w:val="center"/>
                </w:tcPr>
                <w:p>
                  <w:pPr>
                    <w:jc w:val="center"/>
                    <w:rPr>
                      <w:rFonts w:hint="eastAsia" w:cs="Times New Roman"/>
                      <w:color w:val="auto"/>
                      <w:sz w:val="20"/>
                      <w:szCs w:val="20"/>
                      <w:highlight w:val="none"/>
                      <w:lang w:val="en-US" w:eastAsia="zh-CN"/>
                    </w:rPr>
                  </w:pPr>
                  <w:r>
                    <w:rPr>
                      <w:rFonts w:hint="eastAsia" w:cs="Times New Roman"/>
                      <w:color w:val="auto"/>
                      <w:sz w:val="20"/>
                      <w:szCs w:val="20"/>
                      <w:highlight w:val="none"/>
                      <w:lang w:val="en-US" w:eastAsia="zh-CN"/>
                    </w:rPr>
                    <w:t>79</w:t>
                  </w:r>
                </w:p>
              </w:tc>
            </w:tr>
          </w:tbl>
          <w:p>
            <w:pPr>
              <w:spacing w:line="360" w:lineRule="auto"/>
              <w:ind w:firstLine="465"/>
              <w:rPr>
                <w:color w:val="auto"/>
                <w:sz w:val="22"/>
                <w:szCs w:val="21"/>
                <w:highlight w:val="none"/>
              </w:rPr>
            </w:pPr>
            <w:r>
              <w:rPr>
                <w:color w:val="auto"/>
                <w:sz w:val="22"/>
                <w:szCs w:val="21"/>
                <w:highlight w:val="none"/>
              </w:rPr>
              <w:t>②计算声源作用在预测点时产生的A声级</w:t>
            </w:r>
          </w:p>
          <w:p>
            <w:pPr>
              <w:spacing w:line="360" w:lineRule="auto"/>
              <w:ind w:firstLine="465"/>
              <w:rPr>
                <w:color w:val="auto"/>
                <w:sz w:val="22"/>
                <w:szCs w:val="21"/>
                <w:highlight w:val="none"/>
              </w:rPr>
            </w:pPr>
            <w:r>
              <w:rPr>
                <w:color w:val="auto"/>
                <w:sz w:val="22"/>
                <w:szCs w:val="21"/>
                <w:highlight w:val="none"/>
              </w:rPr>
              <w:t>项目噪声随着距离的衰减可采用以下预测模式计算：</w:t>
            </w:r>
          </w:p>
          <w:p>
            <w:pPr>
              <w:spacing w:line="360" w:lineRule="auto"/>
              <w:ind w:firstLine="465"/>
              <w:jc w:val="center"/>
              <w:rPr>
                <w:color w:val="auto"/>
                <w:sz w:val="22"/>
                <w:szCs w:val="21"/>
                <w:highlight w:val="none"/>
              </w:rPr>
            </w:pPr>
            <w:r>
              <w:rPr>
                <w:color w:val="auto"/>
                <w:sz w:val="22"/>
                <w:szCs w:val="21"/>
                <w:highlight w:val="none"/>
              </w:rPr>
              <w:t>L</w:t>
            </w:r>
            <w:r>
              <w:rPr>
                <w:color w:val="auto"/>
                <w:sz w:val="22"/>
                <w:szCs w:val="21"/>
                <w:highlight w:val="none"/>
                <w:vertAlign w:val="subscript"/>
              </w:rPr>
              <w:t>1</w:t>
            </w:r>
            <w:r>
              <w:rPr>
                <w:color w:val="auto"/>
                <w:sz w:val="22"/>
                <w:szCs w:val="21"/>
                <w:highlight w:val="none"/>
              </w:rPr>
              <w:t>＝L</w:t>
            </w:r>
            <w:r>
              <w:rPr>
                <w:color w:val="auto"/>
                <w:sz w:val="22"/>
                <w:szCs w:val="21"/>
                <w:highlight w:val="none"/>
                <w:vertAlign w:val="subscript"/>
              </w:rPr>
              <w:t>0</w:t>
            </w:r>
            <w:r>
              <w:rPr>
                <w:color w:val="auto"/>
                <w:sz w:val="22"/>
                <w:szCs w:val="21"/>
                <w:highlight w:val="none"/>
              </w:rPr>
              <w:t>－20lg(r</w:t>
            </w:r>
            <w:r>
              <w:rPr>
                <w:color w:val="auto"/>
                <w:sz w:val="22"/>
                <w:szCs w:val="21"/>
                <w:highlight w:val="none"/>
                <w:vertAlign w:val="subscript"/>
              </w:rPr>
              <w:t>1</w:t>
            </w:r>
            <w:r>
              <w:rPr>
                <w:color w:val="auto"/>
                <w:sz w:val="22"/>
                <w:szCs w:val="21"/>
                <w:highlight w:val="none"/>
              </w:rPr>
              <w:t>/r</w:t>
            </w:r>
            <w:r>
              <w:rPr>
                <w:color w:val="auto"/>
                <w:sz w:val="22"/>
                <w:szCs w:val="21"/>
                <w:highlight w:val="none"/>
                <w:vertAlign w:val="subscript"/>
              </w:rPr>
              <w:t>0</w:t>
            </w:r>
            <w:r>
              <w:rPr>
                <w:color w:val="auto"/>
                <w:sz w:val="22"/>
                <w:szCs w:val="21"/>
                <w:highlight w:val="none"/>
              </w:rPr>
              <w:t>)-△L</w:t>
            </w:r>
          </w:p>
          <w:p>
            <w:pPr>
              <w:spacing w:line="360" w:lineRule="auto"/>
              <w:ind w:firstLine="465"/>
              <w:rPr>
                <w:color w:val="auto"/>
                <w:sz w:val="22"/>
                <w:szCs w:val="21"/>
                <w:highlight w:val="none"/>
              </w:rPr>
            </w:pPr>
            <w:r>
              <w:rPr>
                <w:color w:val="auto"/>
                <w:sz w:val="22"/>
                <w:szCs w:val="21"/>
                <w:highlight w:val="none"/>
              </w:rPr>
              <w:t>式中：L</w:t>
            </w:r>
            <w:r>
              <w:rPr>
                <w:color w:val="auto"/>
                <w:sz w:val="22"/>
                <w:szCs w:val="21"/>
                <w:highlight w:val="none"/>
                <w:vertAlign w:val="subscript"/>
              </w:rPr>
              <w:t>1</w:t>
            </w:r>
            <w:r>
              <w:rPr>
                <w:color w:val="auto"/>
                <w:sz w:val="22"/>
                <w:szCs w:val="21"/>
                <w:highlight w:val="none"/>
              </w:rPr>
              <w:t>——距声源r</w:t>
            </w:r>
            <w:r>
              <w:rPr>
                <w:color w:val="auto"/>
                <w:sz w:val="22"/>
                <w:szCs w:val="21"/>
                <w:highlight w:val="none"/>
                <w:vertAlign w:val="subscript"/>
              </w:rPr>
              <w:t>1</w:t>
            </w:r>
            <w:r>
              <w:rPr>
                <w:color w:val="auto"/>
                <w:sz w:val="22"/>
                <w:szCs w:val="21"/>
                <w:highlight w:val="none"/>
              </w:rPr>
              <w:t>处的声级，dB(A)；</w:t>
            </w:r>
          </w:p>
          <w:p>
            <w:pPr>
              <w:spacing w:line="360" w:lineRule="auto"/>
              <w:ind w:firstLine="1100" w:firstLineChars="500"/>
              <w:rPr>
                <w:color w:val="auto"/>
                <w:sz w:val="22"/>
                <w:szCs w:val="21"/>
                <w:highlight w:val="none"/>
              </w:rPr>
            </w:pPr>
            <w:r>
              <w:rPr>
                <w:color w:val="auto"/>
                <w:sz w:val="22"/>
                <w:szCs w:val="21"/>
                <w:highlight w:val="none"/>
              </w:rPr>
              <w:t>L</w:t>
            </w:r>
            <w:r>
              <w:rPr>
                <w:color w:val="auto"/>
                <w:sz w:val="22"/>
                <w:szCs w:val="21"/>
                <w:highlight w:val="none"/>
                <w:vertAlign w:val="subscript"/>
              </w:rPr>
              <w:t>0</w:t>
            </w:r>
            <w:r>
              <w:rPr>
                <w:color w:val="auto"/>
                <w:sz w:val="22"/>
                <w:szCs w:val="21"/>
                <w:highlight w:val="none"/>
              </w:rPr>
              <w:t>——距声源r</w:t>
            </w:r>
            <w:r>
              <w:rPr>
                <w:color w:val="auto"/>
                <w:sz w:val="22"/>
                <w:szCs w:val="21"/>
                <w:highlight w:val="none"/>
                <w:vertAlign w:val="subscript"/>
              </w:rPr>
              <w:t>0</w:t>
            </w:r>
            <w:r>
              <w:rPr>
                <w:color w:val="auto"/>
                <w:sz w:val="22"/>
                <w:szCs w:val="21"/>
                <w:highlight w:val="none"/>
              </w:rPr>
              <w:t>处的声级，dB(A)；</w:t>
            </w:r>
          </w:p>
          <w:p>
            <w:pPr>
              <w:spacing w:line="360" w:lineRule="auto"/>
              <w:ind w:firstLine="1100" w:firstLineChars="500"/>
              <w:rPr>
                <w:color w:val="auto"/>
                <w:sz w:val="22"/>
                <w:szCs w:val="21"/>
                <w:highlight w:val="none"/>
              </w:rPr>
            </w:pPr>
            <w:r>
              <w:rPr>
                <w:color w:val="auto"/>
                <w:sz w:val="22"/>
                <w:szCs w:val="21"/>
                <w:highlight w:val="none"/>
              </w:rPr>
              <w:t>r</w:t>
            </w:r>
            <w:r>
              <w:rPr>
                <w:color w:val="auto"/>
                <w:sz w:val="22"/>
                <w:szCs w:val="21"/>
                <w:highlight w:val="none"/>
                <w:vertAlign w:val="subscript"/>
              </w:rPr>
              <w:t>1</w:t>
            </w:r>
            <w:r>
              <w:rPr>
                <w:color w:val="auto"/>
                <w:sz w:val="22"/>
                <w:szCs w:val="21"/>
                <w:highlight w:val="none"/>
              </w:rPr>
              <w:t>——预测点距噪声源距离，m；</w:t>
            </w:r>
          </w:p>
          <w:p>
            <w:pPr>
              <w:spacing w:line="360" w:lineRule="auto"/>
              <w:ind w:firstLine="1100" w:firstLineChars="500"/>
              <w:rPr>
                <w:color w:val="auto"/>
                <w:sz w:val="22"/>
                <w:szCs w:val="21"/>
                <w:highlight w:val="none"/>
              </w:rPr>
            </w:pPr>
            <w:r>
              <w:rPr>
                <w:color w:val="auto"/>
                <w:sz w:val="22"/>
                <w:szCs w:val="21"/>
                <w:highlight w:val="none"/>
              </w:rPr>
              <w:t>r</w:t>
            </w:r>
            <w:r>
              <w:rPr>
                <w:color w:val="auto"/>
                <w:sz w:val="22"/>
                <w:szCs w:val="21"/>
                <w:highlight w:val="none"/>
                <w:vertAlign w:val="subscript"/>
              </w:rPr>
              <w:t>0</w:t>
            </w:r>
            <w:r>
              <w:rPr>
                <w:color w:val="auto"/>
                <w:sz w:val="22"/>
                <w:szCs w:val="21"/>
                <w:highlight w:val="none"/>
              </w:rPr>
              <w:t>——噪声测量点距噪声源距离，m；</w:t>
            </w:r>
          </w:p>
          <w:p>
            <w:pPr>
              <w:spacing w:line="360" w:lineRule="auto"/>
              <w:ind w:firstLine="1100" w:firstLineChars="500"/>
              <w:rPr>
                <w:rFonts w:hint="eastAsia" w:eastAsia="宋体"/>
                <w:color w:val="auto"/>
                <w:sz w:val="22"/>
                <w:szCs w:val="21"/>
                <w:highlight w:val="none"/>
                <w:lang w:val="en-US" w:eastAsia="zh-CN"/>
              </w:rPr>
            </w:pPr>
            <w:r>
              <w:rPr>
                <w:color w:val="auto"/>
                <w:sz w:val="22"/>
                <w:szCs w:val="21"/>
                <w:highlight w:val="none"/>
              </w:rPr>
              <w:t>△L——各种因素引起的衰减量（包括遮挡物、空气吸收、地面效应引起的衰减量）。一般为8-25dB(A)</w:t>
            </w:r>
            <w:r>
              <w:rPr>
                <w:rFonts w:hint="eastAsia"/>
                <w:color w:val="auto"/>
                <w:sz w:val="22"/>
                <w:szCs w:val="21"/>
                <w:highlight w:val="none"/>
                <w:lang w:eastAsia="zh-CN"/>
              </w:rPr>
              <w:t>，</w:t>
            </w:r>
            <w:r>
              <w:rPr>
                <w:rFonts w:hint="eastAsia"/>
                <w:b/>
                <w:bCs/>
                <w:color w:val="auto"/>
                <w:sz w:val="22"/>
                <w:szCs w:val="21"/>
                <w:highlight w:val="none"/>
                <w:lang w:eastAsia="zh-CN"/>
              </w:rPr>
              <w:t>本次取</w:t>
            </w:r>
            <w:r>
              <w:rPr>
                <w:rFonts w:hint="eastAsia"/>
                <w:b/>
                <w:bCs/>
                <w:color w:val="auto"/>
                <w:sz w:val="22"/>
                <w:szCs w:val="21"/>
                <w:highlight w:val="none"/>
                <w:lang w:val="en-US" w:eastAsia="zh-CN"/>
              </w:rPr>
              <w:t>15</w:t>
            </w:r>
            <w:r>
              <w:rPr>
                <w:b/>
                <w:bCs/>
                <w:color w:val="auto"/>
                <w:sz w:val="22"/>
                <w:szCs w:val="21"/>
                <w:highlight w:val="none"/>
              </w:rPr>
              <w:t>dB(A)</w:t>
            </w:r>
            <w:r>
              <w:rPr>
                <w:rFonts w:hint="eastAsia"/>
                <w:b/>
                <w:bCs/>
                <w:color w:val="auto"/>
                <w:sz w:val="22"/>
                <w:szCs w:val="21"/>
                <w:highlight w:val="none"/>
                <w:lang w:eastAsia="zh-CN"/>
              </w:rPr>
              <w:t>。</w:t>
            </w:r>
          </w:p>
          <w:p>
            <w:pPr>
              <w:adjustRightInd w:val="0"/>
              <w:snapToGrid w:val="0"/>
              <w:spacing w:line="360" w:lineRule="auto"/>
              <w:ind w:firstLine="440" w:firstLineChars="200"/>
              <w:rPr>
                <w:color w:val="auto"/>
                <w:sz w:val="22"/>
                <w:szCs w:val="21"/>
                <w:highlight w:val="none"/>
              </w:rPr>
            </w:pPr>
            <w:r>
              <w:rPr>
                <w:color w:val="auto"/>
                <w:sz w:val="22"/>
                <w:szCs w:val="21"/>
                <w:highlight w:val="none"/>
              </w:rPr>
              <w:t>③计算噪声从各声源传播到预测点的等效声级贡献值，计算公式如下：</w:t>
            </w:r>
          </w:p>
          <w:p>
            <w:pPr>
              <w:adjustRightInd w:val="0"/>
              <w:snapToGrid w:val="0"/>
              <w:spacing w:line="360" w:lineRule="auto"/>
              <w:ind w:firstLine="440" w:firstLineChars="200"/>
              <w:jc w:val="center"/>
              <w:rPr>
                <w:color w:val="auto"/>
                <w:sz w:val="22"/>
                <w:szCs w:val="18"/>
                <w:highlight w:val="none"/>
              </w:rPr>
            </w:pPr>
            <w:r>
              <w:rPr>
                <w:color w:val="auto"/>
                <w:sz w:val="22"/>
                <w:szCs w:val="21"/>
                <w:highlight w:val="none"/>
              </w:rPr>
              <w:drawing>
                <wp:inline distT="0" distB="0" distL="114300" distR="114300">
                  <wp:extent cx="1562100" cy="419735"/>
                  <wp:effectExtent l="0" t="0" r="0" b="18415"/>
                  <wp:docPr id="2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6"/>
                          <pic:cNvPicPr>
                            <a:picLocks noChangeAspect="1"/>
                          </pic:cNvPicPr>
                        </pic:nvPicPr>
                        <pic:blipFill>
                          <a:blip r:embed="rId36"/>
                          <a:stretch>
                            <a:fillRect/>
                          </a:stretch>
                        </pic:blipFill>
                        <pic:spPr>
                          <a:xfrm>
                            <a:off x="0" y="0"/>
                            <a:ext cx="1562100" cy="419735"/>
                          </a:xfrm>
                          <a:prstGeom prst="rect">
                            <a:avLst/>
                          </a:prstGeom>
                          <a:noFill/>
                          <a:ln>
                            <a:noFill/>
                          </a:ln>
                        </pic:spPr>
                      </pic:pic>
                    </a:graphicData>
                  </a:graphic>
                </wp:inline>
              </w:drawing>
            </w:r>
          </w:p>
          <w:p>
            <w:pPr>
              <w:adjustRightInd w:val="0"/>
              <w:snapToGrid w:val="0"/>
              <w:spacing w:line="360" w:lineRule="auto"/>
              <w:ind w:firstLine="440" w:firstLineChars="200"/>
              <w:rPr>
                <w:color w:val="auto"/>
                <w:sz w:val="22"/>
                <w:szCs w:val="18"/>
                <w:highlight w:val="none"/>
              </w:rPr>
            </w:pPr>
            <w:r>
              <w:rPr>
                <w:color w:val="auto"/>
                <w:sz w:val="22"/>
                <w:szCs w:val="18"/>
                <w:highlight w:val="none"/>
              </w:rPr>
              <w:t>式中：</w:t>
            </w:r>
          </w:p>
          <w:p>
            <w:pPr>
              <w:adjustRightInd w:val="0"/>
              <w:snapToGrid w:val="0"/>
              <w:spacing w:line="360" w:lineRule="auto"/>
              <w:ind w:firstLine="880" w:firstLineChars="400"/>
              <w:rPr>
                <w:color w:val="auto"/>
                <w:sz w:val="22"/>
                <w:szCs w:val="18"/>
                <w:highlight w:val="none"/>
              </w:rPr>
            </w:pPr>
            <w:r>
              <w:rPr>
                <w:color w:val="auto"/>
                <w:sz w:val="22"/>
                <w:szCs w:val="18"/>
                <w:highlight w:val="none"/>
              </w:rPr>
              <w:t>L—建设项目声源在预测点的等效声级贡献值，dB（A）；</w:t>
            </w:r>
          </w:p>
          <w:p>
            <w:pPr>
              <w:adjustRightInd w:val="0"/>
              <w:snapToGrid w:val="0"/>
              <w:spacing w:line="360" w:lineRule="auto"/>
              <w:ind w:firstLine="880" w:firstLineChars="400"/>
              <w:rPr>
                <w:color w:val="auto"/>
                <w:sz w:val="22"/>
                <w:szCs w:val="18"/>
                <w:highlight w:val="none"/>
              </w:rPr>
            </w:pPr>
            <w:r>
              <w:rPr>
                <w:color w:val="auto"/>
                <w:sz w:val="22"/>
                <w:szCs w:val="18"/>
                <w:highlight w:val="none"/>
              </w:rPr>
              <w:t>L</w:t>
            </w:r>
            <w:r>
              <w:rPr>
                <w:color w:val="auto"/>
                <w:sz w:val="22"/>
                <w:szCs w:val="18"/>
                <w:highlight w:val="none"/>
                <w:vertAlign w:val="subscript"/>
              </w:rPr>
              <w:t>i</w:t>
            </w:r>
            <w:r>
              <w:rPr>
                <w:color w:val="auto"/>
                <w:sz w:val="22"/>
                <w:szCs w:val="18"/>
                <w:highlight w:val="none"/>
              </w:rPr>
              <w:t>—i声源在预测点产生的A声级，dB（A）；</w:t>
            </w:r>
          </w:p>
          <w:p>
            <w:pPr>
              <w:adjustRightInd w:val="0"/>
              <w:snapToGrid w:val="0"/>
              <w:spacing w:line="360" w:lineRule="auto"/>
              <w:ind w:firstLine="880" w:firstLineChars="400"/>
              <w:rPr>
                <w:color w:val="auto"/>
                <w:sz w:val="22"/>
                <w:szCs w:val="18"/>
                <w:highlight w:val="none"/>
              </w:rPr>
            </w:pPr>
            <w:r>
              <w:rPr>
                <w:color w:val="auto"/>
                <w:sz w:val="22"/>
                <w:szCs w:val="18"/>
                <w:highlight w:val="none"/>
              </w:rPr>
              <w:t>T—预测计算的时间段，s；</w:t>
            </w:r>
          </w:p>
          <w:p>
            <w:pPr>
              <w:adjustRightInd w:val="0"/>
              <w:snapToGrid w:val="0"/>
              <w:spacing w:line="360" w:lineRule="auto"/>
              <w:ind w:firstLine="880" w:firstLineChars="400"/>
              <w:rPr>
                <w:color w:val="auto"/>
                <w:sz w:val="22"/>
                <w:szCs w:val="18"/>
                <w:highlight w:val="none"/>
              </w:rPr>
            </w:pPr>
            <w:r>
              <w:rPr>
                <w:color w:val="auto"/>
                <w:sz w:val="22"/>
                <w:szCs w:val="18"/>
                <w:highlight w:val="none"/>
              </w:rPr>
              <w:t>t</w:t>
            </w:r>
            <w:r>
              <w:rPr>
                <w:color w:val="auto"/>
                <w:sz w:val="22"/>
                <w:szCs w:val="18"/>
                <w:highlight w:val="none"/>
                <w:vertAlign w:val="subscript"/>
              </w:rPr>
              <w:t>i</w:t>
            </w:r>
            <w:r>
              <w:rPr>
                <w:color w:val="auto"/>
                <w:sz w:val="22"/>
                <w:szCs w:val="18"/>
                <w:highlight w:val="none"/>
              </w:rPr>
              <w:t>—i声源在T时段内的运行时间，s；</w:t>
            </w:r>
          </w:p>
          <w:p>
            <w:pPr>
              <w:adjustRightInd w:val="0"/>
              <w:snapToGrid w:val="0"/>
              <w:spacing w:line="360" w:lineRule="auto"/>
              <w:ind w:firstLine="440" w:firstLineChars="200"/>
              <w:rPr>
                <w:color w:val="auto"/>
                <w:sz w:val="22"/>
                <w:szCs w:val="18"/>
                <w:highlight w:val="none"/>
              </w:rPr>
            </w:pPr>
            <w:r>
              <w:rPr>
                <w:color w:val="auto"/>
                <w:sz w:val="22"/>
                <w:szCs w:val="18"/>
                <w:highlight w:val="none"/>
              </w:rPr>
              <w:t>本项目噪声设备为工作时段连续运行，故上述公式可简化为如下公式：</w:t>
            </w:r>
          </w:p>
          <w:p>
            <w:pPr>
              <w:spacing w:line="360" w:lineRule="auto"/>
              <w:ind w:firstLine="440" w:firstLineChars="200"/>
              <w:jc w:val="center"/>
              <w:rPr>
                <w:color w:val="auto"/>
                <w:sz w:val="22"/>
                <w:szCs w:val="18"/>
                <w:highlight w:val="none"/>
              </w:rPr>
            </w:pPr>
            <w:r>
              <w:rPr>
                <w:color w:val="auto"/>
                <w:sz w:val="22"/>
                <w:szCs w:val="18"/>
                <w:highlight w:val="none"/>
              </w:rPr>
              <w:drawing>
                <wp:inline distT="0" distB="0" distL="114300" distR="114300">
                  <wp:extent cx="1221105" cy="264160"/>
                  <wp:effectExtent l="0" t="0" r="0" b="2540"/>
                  <wp:docPr id="2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7"/>
                          <pic:cNvPicPr>
                            <a:picLocks noChangeAspect="1"/>
                          </pic:cNvPicPr>
                        </pic:nvPicPr>
                        <pic:blipFill>
                          <a:blip r:embed="rId37"/>
                          <a:stretch>
                            <a:fillRect/>
                          </a:stretch>
                        </pic:blipFill>
                        <pic:spPr>
                          <a:xfrm>
                            <a:off x="0" y="0"/>
                            <a:ext cx="1221105" cy="264160"/>
                          </a:xfrm>
                          <a:prstGeom prst="rect">
                            <a:avLst/>
                          </a:prstGeom>
                          <a:noFill/>
                          <a:ln>
                            <a:noFill/>
                          </a:ln>
                        </pic:spPr>
                      </pic:pic>
                    </a:graphicData>
                  </a:graphic>
                </wp:inline>
              </w:drawing>
            </w:r>
          </w:p>
          <w:p>
            <w:pPr>
              <w:adjustRightInd w:val="0"/>
              <w:snapToGrid w:val="0"/>
              <w:spacing w:line="360" w:lineRule="auto"/>
              <w:ind w:firstLine="440" w:firstLineChars="200"/>
              <w:rPr>
                <w:color w:val="auto"/>
                <w:sz w:val="22"/>
                <w:szCs w:val="21"/>
                <w:highlight w:val="none"/>
              </w:rPr>
            </w:pPr>
            <w:r>
              <w:rPr>
                <w:color w:val="auto"/>
                <w:sz w:val="22"/>
                <w:szCs w:val="18"/>
                <w:highlight w:val="none"/>
              </w:rPr>
              <w:t>④预测点的预测等效声级的计算，计算公式如下：</w:t>
            </w:r>
          </w:p>
          <w:p>
            <w:pPr>
              <w:tabs>
                <w:tab w:val="left" w:pos="6090"/>
              </w:tabs>
              <w:adjustRightInd w:val="0"/>
              <w:snapToGrid w:val="0"/>
              <w:spacing w:line="360" w:lineRule="auto"/>
              <w:ind w:firstLine="440" w:firstLineChars="200"/>
              <w:jc w:val="center"/>
              <w:rPr>
                <w:color w:val="auto"/>
                <w:sz w:val="22"/>
                <w:szCs w:val="21"/>
                <w:highlight w:val="none"/>
              </w:rPr>
            </w:pPr>
            <w:r>
              <w:rPr>
                <w:color w:val="auto"/>
                <w:sz w:val="22"/>
                <w:szCs w:val="21"/>
                <w:highlight w:val="none"/>
              </w:rPr>
              <w:drawing>
                <wp:inline distT="0" distB="0" distL="114300" distR="114300">
                  <wp:extent cx="1914525" cy="250825"/>
                  <wp:effectExtent l="0" t="0" r="9525" b="15875"/>
                  <wp:docPr id="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8"/>
                          <pic:cNvPicPr>
                            <a:picLocks noChangeAspect="1"/>
                          </pic:cNvPicPr>
                        </pic:nvPicPr>
                        <pic:blipFill>
                          <a:blip r:embed="rId38"/>
                          <a:stretch>
                            <a:fillRect/>
                          </a:stretch>
                        </pic:blipFill>
                        <pic:spPr>
                          <a:xfrm>
                            <a:off x="0" y="0"/>
                            <a:ext cx="1914525" cy="250825"/>
                          </a:xfrm>
                          <a:prstGeom prst="rect">
                            <a:avLst/>
                          </a:prstGeom>
                          <a:noFill/>
                          <a:ln>
                            <a:noFill/>
                          </a:ln>
                        </pic:spPr>
                      </pic:pic>
                    </a:graphicData>
                  </a:graphic>
                </wp:inline>
              </w:drawing>
            </w:r>
          </w:p>
          <w:p>
            <w:pPr>
              <w:tabs>
                <w:tab w:val="left" w:pos="6090"/>
              </w:tabs>
              <w:adjustRightInd w:val="0"/>
              <w:snapToGrid w:val="0"/>
              <w:spacing w:line="360" w:lineRule="auto"/>
              <w:ind w:firstLine="440" w:firstLineChars="200"/>
              <w:rPr>
                <w:color w:val="auto"/>
                <w:sz w:val="22"/>
                <w:szCs w:val="18"/>
                <w:highlight w:val="none"/>
              </w:rPr>
            </w:pPr>
            <w:r>
              <w:rPr>
                <w:color w:val="auto"/>
                <w:sz w:val="22"/>
                <w:szCs w:val="18"/>
                <w:highlight w:val="none"/>
              </w:rPr>
              <w:t>式中：L—预测点的预测等效声级，dB（A）；</w:t>
            </w:r>
          </w:p>
          <w:p>
            <w:pPr>
              <w:tabs>
                <w:tab w:val="left" w:pos="6090"/>
              </w:tabs>
              <w:adjustRightInd w:val="0"/>
              <w:snapToGrid w:val="0"/>
              <w:spacing w:line="360" w:lineRule="auto"/>
              <w:ind w:firstLine="1100" w:firstLineChars="500"/>
              <w:rPr>
                <w:color w:val="auto"/>
                <w:sz w:val="22"/>
                <w:szCs w:val="18"/>
                <w:highlight w:val="none"/>
              </w:rPr>
            </w:pPr>
            <w:r>
              <w:rPr>
                <w:color w:val="auto"/>
                <w:sz w:val="22"/>
                <w:szCs w:val="18"/>
                <w:highlight w:val="none"/>
              </w:rPr>
              <w:t>L</w:t>
            </w:r>
            <w:r>
              <w:rPr>
                <w:color w:val="auto"/>
                <w:sz w:val="22"/>
                <w:szCs w:val="18"/>
                <w:highlight w:val="none"/>
                <w:vertAlign w:val="subscript"/>
              </w:rPr>
              <w:t>贡献值</w:t>
            </w:r>
            <w:r>
              <w:rPr>
                <w:color w:val="auto"/>
                <w:sz w:val="22"/>
                <w:szCs w:val="18"/>
                <w:highlight w:val="none"/>
              </w:rPr>
              <w:sym w:font="Symbol" w:char="F0BE"/>
            </w:r>
            <w:r>
              <w:rPr>
                <w:color w:val="auto"/>
                <w:sz w:val="22"/>
                <w:szCs w:val="18"/>
                <w:highlight w:val="none"/>
              </w:rPr>
              <w:t>建设项目声源在预测点的等效声级贡献值，dB（A）；</w:t>
            </w:r>
          </w:p>
          <w:p>
            <w:pPr>
              <w:spacing w:line="360" w:lineRule="auto"/>
              <w:ind w:firstLine="1100" w:firstLineChars="500"/>
              <w:rPr>
                <w:color w:val="auto"/>
                <w:sz w:val="22"/>
                <w:szCs w:val="21"/>
                <w:highlight w:val="none"/>
              </w:rPr>
            </w:pPr>
            <w:r>
              <w:rPr>
                <w:color w:val="auto"/>
                <w:sz w:val="22"/>
                <w:szCs w:val="18"/>
                <w:highlight w:val="none"/>
              </w:rPr>
              <w:t>L</w:t>
            </w:r>
            <w:r>
              <w:rPr>
                <w:color w:val="auto"/>
                <w:sz w:val="22"/>
                <w:szCs w:val="18"/>
                <w:highlight w:val="none"/>
                <w:vertAlign w:val="subscript"/>
              </w:rPr>
              <w:t>背景值</w:t>
            </w:r>
            <w:r>
              <w:rPr>
                <w:color w:val="auto"/>
                <w:sz w:val="22"/>
                <w:szCs w:val="18"/>
                <w:highlight w:val="none"/>
              </w:rPr>
              <w:sym w:font="Symbol" w:char="F0BE"/>
            </w:r>
            <w:r>
              <w:rPr>
                <w:color w:val="auto"/>
                <w:sz w:val="22"/>
                <w:szCs w:val="18"/>
                <w:highlight w:val="none"/>
              </w:rPr>
              <w:t>预测点的背景值值，dB（A）。</w:t>
            </w:r>
          </w:p>
          <w:p>
            <w:pPr>
              <w:spacing w:line="360" w:lineRule="auto"/>
              <w:ind w:firstLine="465"/>
              <w:rPr>
                <w:b/>
                <w:bCs/>
                <w:color w:val="auto"/>
                <w:sz w:val="22"/>
                <w:szCs w:val="21"/>
                <w:highlight w:val="none"/>
              </w:rPr>
            </w:pPr>
            <w:bookmarkStart w:id="170" w:name="_Toc28656"/>
            <w:r>
              <w:rPr>
                <w:b/>
                <w:bCs/>
                <w:color w:val="auto"/>
                <w:sz w:val="22"/>
                <w:szCs w:val="21"/>
                <w:highlight w:val="none"/>
              </w:rPr>
              <w:t>（3）厂界噪声预测结果及影响分析</w:t>
            </w:r>
            <w:bookmarkEnd w:id="170"/>
          </w:p>
          <w:p>
            <w:pPr>
              <w:adjustRightInd w:val="0"/>
              <w:jc w:val="center"/>
              <w:textAlignment w:val="baseline"/>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表4-</w:t>
            </w:r>
            <w:r>
              <w:rPr>
                <w:rFonts w:hint="eastAsia" w:ascii="Times New Roman" w:hAnsi="Times New Roman" w:cs="Times New Roman"/>
                <w:b/>
                <w:color w:val="auto"/>
                <w:szCs w:val="21"/>
                <w:highlight w:val="none"/>
                <w:lang w:val="en-US" w:eastAsia="zh-CN"/>
              </w:rPr>
              <w:t>10</w:t>
            </w:r>
            <w:r>
              <w:rPr>
                <w:rFonts w:hint="default" w:ascii="Times New Roman" w:hAnsi="Times New Roman" w:cs="Times New Roman"/>
                <w:b/>
                <w:color w:val="auto"/>
                <w:szCs w:val="21"/>
                <w:highlight w:val="none"/>
              </w:rPr>
              <w:t xml:space="preserve"> </w:t>
            </w:r>
            <w:r>
              <w:rPr>
                <w:rFonts w:hint="default" w:ascii="Times New Roman" w:hAnsi="Times New Roman" w:cs="Times New Roman"/>
                <w:b/>
                <w:color w:val="auto"/>
                <w:szCs w:val="21"/>
                <w:highlight w:val="none"/>
                <w:lang w:eastAsia="zh-CN"/>
              </w:rPr>
              <w:t>昼间</w:t>
            </w:r>
            <w:r>
              <w:rPr>
                <w:rFonts w:hint="default" w:ascii="Times New Roman" w:hAnsi="Times New Roman" w:cs="Times New Roman"/>
                <w:b/>
                <w:color w:val="auto"/>
                <w:szCs w:val="21"/>
                <w:highlight w:val="none"/>
              </w:rPr>
              <w:t>噪声</w:t>
            </w:r>
            <w:r>
              <w:rPr>
                <w:rFonts w:hint="default" w:ascii="Times New Roman" w:hAnsi="Times New Roman" w:cs="Times New Roman"/>
                <w:b/>
                <w:color w:val="auto"/>
                <w:szCs w:val="21"/>
                <w:highlight w:val="none"/>
                <w:lang w:eastAsia="zh-CN"/>
              </w:rPr>
              <w:t>贡献值及</w:t>
            </w:r>
            <w:r>
              <w:rPr>
                <w:rFonts w:hint="default" w:ascii="Times New Roman" w:hAnsi="Times New Roman" w:cs="Times New Roman"/>
                <w:b/>
                <w:color w:val="auto"/>
                <w:szCs w:val="21"/>
                <w:highlight w:val="none"/>
              </w:rPr>
              <w:t>预测值  单位：dB（A）</w:t>
            </w:r>
          </w:p>
          <w:tbl>
            <w:tblPr>
              <w:tblStyle w:val="42"/>
              <w:tblW w:w="79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51"/>
              <w:gridCol w:w="1314"/>
              <w:gridCol w:w="1404"/>
              <w:gridCol w:w="1196"/>
              <w:gridCol w:w="13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51" w:type="dxa"/>
                  <w:noWrap w:val="0"/>
                  <w:vAlign w:val="center"/>
                </w:tcPr>
                <w:p>
                  <w:pPr>
                    <w:ind w:firstLine="1054" w:firstLineChars="500"/>
                    <w:jc w:val="right"/>
                    <w:rPr>
                      <w:rFonts w:hint="default" w:ascii="Times New Roman" w:hAnsi="Times New Roman" w:cs="Times New Roman"/>
                      <w:b/>
                      <w:bCs/>
                      <w:color w:val="auto"/>
                      <w:szCs w:val="22"/>
                      <w:highlight w:val="none"/>
                      <w:lang w:eastAsia="zh-CN"/>
                    </w:rPr>
                  </w:pPr>
                  <w:r>
                    <w:rPr>
                      <w:rFonts w:hint="default" w:ascii="Times New Roman" w:hAnsi="Times New Roman" w:cs="Times New Roman"/>
                      <w:b/>
                      <w:bCs/>
                      <w:color w:val="auto"/>
                      <w:sz w:val="21"/>
                    </w:rPr>
                    <mc:AlternateContent>
                      <mc:Choice Requires="wps">
                        <w:drawing>
                          <wp:anchor distT="0" distB="0" distL="114300" distR="114300" simplePos="0" relativeHeight="251660288" behindDoc="0" locked="0" layoutInCell="1" allowOverlap="1">
                            <wp:simplePos x="0" y="0"/>
                            <wp:positionH relativeFrom="column">
                              <wp:posOffset>833755</wp:posOffset>
                            </wp:positionH>
                            <wp:positionV relativeFrom="paragraph">
                              <wp:posOffset>7620</wp:posOffset>
                            </wp:positionV>
                            <wp:extent cx="777240" cy="523240"/>
                            <wp:effectExtent l="2540" t="3810" r="20320" b="6350"/>
                            <wp:wrapNone/>
                            <wp:docPr id="17" name="直接连接符 17"/>
                            <wp:cNvGraphicFramePr/>
                            <a:graphic xmlns:a="http://schemas.openxmlformats.org/drawingml/2006/main">
                              <a:graphicData uri="http://schemas.microsoft.com/office/word/2010/wordprocessingShape">
                                <wps:wsp>
                                  <wps:cNvCnPr/>
                                  <wps:spPr>
                                    <a:xfrm>
                                      <a:off x="0" y="0"/>
                                      <a:ext cx="777240" cy="52324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65.65pt;margin-top:0.6pt;height:41.2pt;width:61.2pt;z-index:251660288;mso-width-relative:page;mso-height-relative:page;" filled="f" stroked="t" coordsize="21600,21600" o:gfxdata="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4RbcidYAAAAIAQAADwAAAAAAAAABACAAAAAiAAAAZHJzL2Rvd25yZXYueG1sUEsB&#10;AhQAFAAAAAgAh07iQCTX8Wn3AQAA6gMAAA4AAAAAAAAAAQAgAAAAJQEAAGRycy9lMm9Eb2MueG1s&#10;UEsFBgAAAAAGAAYAWQEAAI4FAAAAAA==&#10;">
                            <v:fill on="f" focussize="0,0"/>
                            <v:stroke color="#000000" joinstyle="round"/>
                            <v:imagedata o:title=""/>
                            <o:lock v:ext="edit" aspectratio="f"/>
                          </v:line>
                        </w:pict>
                      </mc:Fallback>
                    </mc:AlternateContent>
                  </w:r>
                  <w:r>
                    <w:rPr>
                      <w:rFonts w:hint="default" w:ascii="Times New Roman" w:hAnsi="Times New Roman" w:cs="Times New Roman"/>
                      <w:b/>
                      <w:bCs/>
                      <w:color w:val="auto"/>
                      <w:szCs w:val="22"/>
                      <w:highlight w:val="none"/>
                      <w:lang w:eastAsia="zh-CN"/>
                    </w:rPr>
                    <w:t>位置</w:t>
                  </w:r>
                </w:p>
                <w:p>
                  <w:pPr>
                    <w:ind w:firstLine="422" w:firstLineChars="200"/>
                    <w:jc w:val="center"/>
                    <w:rPr>
                      <w:rFonts w:hint="default" w:ascii="Times New Roman" w:hAnsi="Times New Roman" w:cs="Times New Roman"/>
                      <w:b/>
                      <w:bCs/>
                      <w:color w:val="auto"/>
                      <w:szCs w:val="22"/>
                      <w:highlight w:val="none"/>
                      <w:lang w:eastAsia="zh-CN"/>
                    </w:rPr>
                  </w:pPr>
                  <w:r>
                    <w:rPr>
                      <w:rFonts w:hint="default" w:ascii="Times New Roman" w:hAnsi="Times New Roman" w:cs="Times New Roman"/>
                      <w:b/>
                      <w:bCs/>
                      <w:color w:val="auto"/>
                      <w:sz w:val="21"/>
                    </w:rPr>
                    <mc:AlternateContent>
                      <mc:Choice Requires="wps">
                        <w:drawing>
                          <wp:anchor distT="0" distB="0" distL="114300" distR="114300" simplePos="0" relativeHeight="251659264" behindDoc="0" locked="0" layoutInCell="1" allowOverlap="1">
                            <wp:simplePos x="0" y="0"/>
                            <wp:positionH relativeFrom="column">
                              <wp:posOffset>-54610</wp:posOffset>
                            </wp:positionH>
                            <wp:positionV relativeFrom="paragraph">
                              <wp:posOffset>43180</wp:posOffset>
                            </wp:positionV>
                            <wp:extent cx="1635125" cy="309245"/>
                            <wp:effectExtent l="635" t="4445" r="2540" b="10160"/>
                            <wp:wrapNone/>
                            <wp:docPr id="16" name="直接连接符 16"/>
                            <wp:cNvGraphicFramePr/>
                            <a:graphic xmlns:a="http://schemas.openxmlformats.org/drawingml/2006/main">
                              <a:graphicData uri="http://schemas.microsoft.com/office/word/2010/wordprocessingShape">
                                <wps:wsp>
                                  <wps:cNvCnPr/>
                                  <wps:spPr>
                                    <a:xfrm>
                                      <a:off x="0" y="0"/>
                                      <a:ext cx="1635125" cy="30924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4.3pt;margin-top:3.4pt;height:24.35pt;width:128.75pt;z-index:251659264;mso-width-relative:page;mso-height-relative:page;" filled="f" stroked="t" coordsize="21600,21600" o:gfxdata="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Cu3VH1gAAAAcBAAAPAAAAAAAAAAEAIAAAACIAAABkcnMvZG93bnJldi54bWxQ&#10;SwECFAAUAAAACACHTuJAS+WsePkBAADrAwAADgAAAAAAAAABACAAAAAlAQAAZHJzL2Uyb0RvYy54&#10;bWxQSwUGAAAAAAYABgBZAQAAkAUAAAAA&#10;">
                            <v:fill on="f" focussize="0,0"/>
                            <v:stroke color="#000000" joinstyle="round"/>
                            <v:imagedata o:title=""/>
                            <o:lock v:ext="edit" aspectratio="f"/>
                          </v:line>
                        </w:pict>
                      </mc:Fallback>
                    </mc:AlternateContent>
                  </w:r>
                  <w:r>
                    <w:rPr>
                      <w:rFonts w:hint="default" w:ascii="Times New Roman" w:hAnsi="Times New Roman" w:cs="Times New Roman"/>
                      <w:b/>
                      <w:bCs/>
                      <w:color w:val="auto"/>
                      <w:szCs w:val="22"/>
                      <w:highlight w:val="none"/>
                      <w:lang w:eastAsia="zh-CN"/>
                    </w:rPr>
                    <w:t>贡献值</w:t>
                  </w:r>
                </w:p>
                <w:p>
                  <w:pPr>
                    <w:jc w:val="left"/>
                    <w:rPr>
                      <w:rFonts w:hint="default" w:ascii="Times New Roman" w:hAnsi="Times New Roman" w:cs="Times New Roman"/>
                      <w:b/>
                      <w:bCs/>
                      <w:color w:val="auto"/>
                      <w:szCs w:val="22"/>
                      <w:highlight w:val="none"/>
                    </w:rPr>
                  </w:pPr>
                  <w:r>
                    <w:rPr>
                      <w:rFonts w:hint="default" w:ascii="Times New Roman" w:hAnsi="Times New Roman" w:cs="Times New Roman"/>
                      <w:b/>
                      <w:bCs/>
                      <w:color w:val="auto"/>
                      <w:szCs w:val="22"/>
                      <w:highlight w:val="none"/>
                      <w:lang w:eastAsia="zh-CN"/>
                    </w:rPr>
                    <w:t>噪声源</w:t>
                  </w:r>
                </w:p>
              </w:tc>
              <w:tc>
                <w:tcPr>
                  <w:tcW w:w="1314" w:type="dxa"/>
                  <w:noWrap w:val="0"/>
                  <w:vAlign w:val="center"/>
                </w:tcPr>
                <w:p>
                  <w:pPr>
                    <w:jc w:val="center"/>
                    <w:rPr>
                      <w:rFonts w:hint="default" w:ascii="Times New Roman" w:hAnsi="Times New Roman" w:cs="Times New Roman"/>
                      <w:b/>
                      <w:bCs/>
                      <w:color w:val="auto"/>
                      <w:szCs w:val="22"/>
                      <w:highlight w:val="none"/>
                    </w:rPr>
                  </w:pPr>
                  <w:r>
                    <w:rPr>
                      <w:rFonts w:hint="default" w:ascii="Times New Roman" w:hAnsi="Times New Roman" w:cs="Times New Roman"/>
                      <w:b/>
                      <w:bCs/>
                      <w:color w:val="auto"/>
                      <w:sz w:val="21"/>
                      <w:szCs w:val="21"/>
                      <w:highlight w:val="none"/>
                      <w:vertAlign w:val="baseline"/>
                      <w:lang w:eastAsia="zh-CN"/>
                    </w:rPr>
                    <w:t>东厂界</w:t>
                  </w:r>
                </w:p>
              </w:tc>
              <w:tc>
                <w:tcPr>
                  <w:tcW w:w="1404" w:type="dxa"/>
                  <w:noWrap w:val="0"/>
                  <w:vAlign w:val="center"/>
                </w:tcPr>
                <w:p>
                  <w:pPr>
                    <w:jc w:val="center"/>
                    <w:rPr>
                      <w:rFonts w:hint="default" w:ascii="Times New Roman" w:hAnsi="Times New Roman" w:cs="Times New Roman"/>
                      <w:b/>
                      <w:bCs/>
                      <w:color w:val="auto"/>
                      <w:szCs w:val="22"/>
                      <w:highlight w:val="none"/>
                    </w:rPr>
                  </w:pPr>
                  <w:r>
                    <w:rPr>
                      <w:rFonts w:hint="default" w:ascii="Times New Roman" w:hAnsi="Times New Roman" w:cs="Times New Roman"/>
                      <w:b/>
                      <w:bCs/>
                      <w:color w:val="auto"/>
                      <w:sz w:val="21"/>
                      <w:szCs w:val="21"/>
                      <w:highlight w:val="none"/>
                      <w:vertAlign w:val="baseline"/>
                      <w:lang w:eastAsia="zh-CN"/>
                    </w:rPr>
                    <w:t>南厂界</w:t>
                  </w:r>
                </w:p>
              </w:tc>
              <w:tc>
                <w:tcPr>
                  <w:tcW w:w="1196" w:type="dxa"/>
                  <w:noWrap w:val="0"/>
                  <w:vAlign w:val="center"/>
                </w:tcPr>
                <w:p>
                  <w:pPr>
                    <w:jc w:val="center"/>
                    <w:rPr>
                      <w:rFonts w:hint="default" w:ascii="Times New Roman" w:hAnsi="Times New Roman" w:cs="Times New Roman"/>
                      <w:b/>
                      <w:bCs/>
                      <w:color w:val="auto"/>
                      <w:szCs w:val="22"/>
                      <w:highlight w:val="none"/>
                    </w:rPr>
                  </w:pPr>
                  <w:r>
                    <w:rPr>
                      <w:rFonts w:hint="default" w:ascii="Times New Roman" w:hAnsi="Times New Roman" w:cs="Times New Roman"/>
                      <w:b/>
                      <w:bCs/>
                      <w:color w:val="auto"/>
                      <w:sz w:val="21"/>
                      <w:szCs w:val="21"/>
                      <w:highlight w:val="none"/>
                      <w:vertAlign w:val="baseline"/>
                      <w:lang w:eastAsia="zh-CN"/>
                    </w:rPr>
                    <w:t>西厂界</w:t>
                  </w:r>
                </w:p>
              </w:tc>
              <w:tc>
                <w:tcPr>
                  <w:tcW w:w="1353" w:type="dxa"/>
                  <w:noWrap w:val="0"/>
                  <w:vAlign w:val="center"/>
                </w:tcPr>
                <w:p>
                  <w:pPr>
                    <w:jc w:val="center"/>
                    <w:rPr>
                      <w:rFonts w:hint="default" w:ascii="Times New Roman" w:hAnsi="Times New Roman" w:cs="Times New Roman"/>
                      <w:b/>
                      <w:bCs/>
                      <w:color w:val="auto"/>
                      <w:szCs w:val="22"/>
                      <w:highlight w:val="none"/>
                    </w:rPr>
                  </w:pPr>
                  <w:r>
                    <w:rPr>
                      <w:rFonts w:hint="default" w:ascii="Times New Roman" w:hAnsi="Times New Roman" w:cs="Times New Roman"/>
                      <w:b/>
                      <w:bCs/>
                      <w:color w:val="auto"/>
                      <w:sz w:val="21"/>
                      <w:szCs w:val="21"/>
                      <w:highlight w:val="none"/>
                      <w:vertAlign w:val="baseline"/>
                      <w:lang w:eastAsia="zh-CN"/>
                    </w:rPr>
                    <w:t>北厂界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jc w:val="center"/>
              </w:trPr>
              <w:tc>
                <w:tcPr>
                  <w:tcW w:w="2651" w:type="dxa"/>
                  <w:noWrap w:val="0"/>
                  <w:vAlign w:val="center"/>
                </w:tcPr>
                <w:p>
                  <w:pPr>
                    <w:widowControl/>
                    <w:spacing w:line="300" w:lineRule="exact"/>
                    <w:ind w:firstLine="35" w:firstLineChars="17"/>
                    <w:jc w:val="center"/>
                    <w:rPr>
                      <w:rFonts w:hint="default" w:ascii="Times New Roman" w:hAnsi="Times New Roman" w:cs="Times New Roman"/>
                      <w:color w:val="auto"/>
                      <w:szCs w:val="22"/>
                      <w:highlight w:val="none"/>
                    </w:rPr>
                  </w:pPr>
                  <w:r>
                    <w:rPr>
                      <w:rFonts w:hint="eastAsia" w:ascii="Times New Roman" w:hAnsi="Times New Roman" w:eastAsia="宋体" w:cs="Times New Roman"/>
                      <w:color w:val="auto"/>
                      <w:kern w:val="0"/>
                      <w:sz w:val="21"/>
                      <w:szCs w:val="21"/>
                      <w:highlight w:val="none"/>
                      <w:lang w:val="en-US" w:eastAsia="zh-CN"/>
                    </w:rPr>
                    <w:t>切割机</w:t>
                  </w:r>
                </w:p>
              </w:tc>
              <w:tc>
                <w:tcPr>
                  <w:tcW w:w="1314" w:type="dxa"/>
                  <w:noWrap w:val="0"/>
                  <w:vAlign w:val="center"/>
                </w:tcPr>
                <w:p>
                  <w:pPr>
                    <w:jc w:val="center"/>
                    <w:rPr>
                      <w:rFonts w:hint="default" w:ascii="Times New Roman" w:hAnsi="Times New Roman" w:eastAsia="宋体" w:cs="Times New Roman"/>
                      <w:color w:val="auto"/>
                      <w:szCs w:val="22"/>
                      <w:highlight w:val="none"/>
                      <w:lang w:val="en-US" w:eastAsia="zh-CN"/>
                    </w:rPr>
                  </w:pPr>
                  <w:r>
                    <w:rPr>
                      <w:rFonts w:hint="eastAsia" w:cs="Times New Roman"/>
                      <w:color w:val="auto"/>
                      <w:szCs w:val="22"/>
                      <w:highlight w:val="none"/>
                      <w:lang w:val="en-US" w:eastAsia="zh-CN"/>
                    </w:rPr>
                    <w:t>39.1</w:t>
                  </w:r>
                </w:p>
              </w:tc>
              <w:tc>
                <w:tcPr>
                  <w:tcW w:w="1404" w:type="dxa"/>
                  <w:noWrap w:val="0"/>
                  <w:vAlign w:val="center"/>
                </w:tcPr>
                <w:p>
                  <w:pPr>
                    <w:jc w:val="center"/>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30.9</w:t>
                  </w:r>
                </w:p>
              </w:tc>
              <w:tc>
                <w:tcPr>
                  <w:tcW w:w="1196" w:type="dxa"/>
                  <w:noWrap w:val="0"/>
                  <w:vAlign w:val="center"/>
                </w:tcPr>
                <w:p>
                  <w:pPr>
                    <w:jc w:val="center"/>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42.0</w:t>
                  </w:r>
                </w:p>
              </w:tc>
              <w:tc>
                <w:tcPr>
                  <w:tcW w:w="1353" w:type="dxa"/>
                  <w:noWrap w:val="0"/>
                  <w:vAlign w:val="center"/>
                </w:tcPr>
                <w:p>
                  <w:pPr>
                    <w:jc w:val="center"/>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32.3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jc w:val="center"/>
              </w:trPr>
              <w:tc>
                <w:tcPr>
                  <w:tcW w:w="2651" w:type="dxa"/>
                  <w:noWrap w:val="0"/>
                  <w:vAlign w:val="center"/>
                </w:tcPr>
                <w:p>
                  <w:pPr>
                    <w:widowControl/>
                    <w:spacing w:line="300" w:lineRule="exact"/>
                    <w:ind w:firstLine="35" w:firstLineChars="17"/>
                    <w:jc w:val="center"/>
                    <w:rPr>
                      <w:rFonts w:hint="default" w:ascii="Times New Roman" w:hAnsi="Times New Roman" w:cs="Times New Roman"/>
                      <w:color w:val="auto"/>
                      <w:szCs w:val="22"/>
                      <w:highlight w:val="none"/>
                    </w:rPr>
                  </w:pPr>
                  <w:r>
                    <w:rPr>
                      <w:rFonts w:hint="eastAsia" w:ascii="Times New Roman" w:hAnsi="Times New Roman" w:eastAsia="宋体" w:cs="Times New Roman"/>
                      <w:color w:val="auto"/>
                      <w:kern w:val="0"/>
                      <w:sz w:val="21"/>
                      <w:szCs w:val="21"/>
                      <w:highlight w:val="none"/>
                      <w:lang w:val="en-US" w:eastAsia="zh-CN"/>
                    </w:rPr>
                    <w:t>双边磨</w:t>
                  </w:r>
                </w:p>
              </w:tc>
              <w:tc>
                <w:tcPr>
                  <w:tcW w:w="1314" w:type="dxa"/>
                  <w:noWrap w:val="0"/>
                  <w:vAlign w:val="center"/>
                </w:tcPr>
                <w:p>
                  <w:pPr>
                    <w:jc w:val="center"/>
                    <w:rPr>
                      <w:rFonts w:hint="default" w:ascii="Times New Roman" w:hAnsi="Times New Roman" w:eastAsia="宋体" w:cs="Times New Roman"/>
                      <w:color w:val="auto"/>
                      <w:szCs w:val="22"/>
                      <w:highlight w:val="none"/>
                      <w:lang w:val="en-US" w:eastAsia="zh-CN"/>
                    </w:rPr>
                  </w:pPr>
                  <w:r>
                    <w:rPr>
                      <w:rFonts w:hint="eastAsia" w:cs="Times New Roman"/>
                      <w:color w:val="auto"/>
                      <w:szCs w:val="22"/>
                      <w:highlight w:val="none"/>
                      <w:lang w:val="en-US" w:eastAsia="zh-CN"/>
                    </w:rPr>
                    <w:t>34.1</w:t>
                  </w:r>
                </w:p>
              </w:tc>
              <w:tc>
                <w:tcPr>
                  <w:tcW w:w="1404" w:type="dxa"/>
                  <w:noWrap w:val="0"/>
                  <w:vAlign w:val="center"/>
                </w:tcPr>
                <w:p>
                  <w:pPr>
                    <w:jc w:val="center"/>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21.8</w:t>
                  </w:r>
                </w:p>
              </w:tc>
              <w:tc>
                <w:tcPr>
                  <w:tcW w:w="1196" w:type="dxa"/>
                  <w:noWrap w:val="0"/>
                  <w:vAlign w:val="center"/>
                </w:tcPr>
                <w:p>
                  <w:pPr>
                    <w:jc w:val="center"/>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36.4</w:t>
                  </w:r>
                </w:p>
              </w:tc>
              <w:tc>
                <w:tcPr>
                  <w:tcW w:w="1353" w:type="dxa"/>
                  <w:noWrap w:val="0"/>
                  <w:vAlign w:val="center"/>
                </w:tcPr>
                <w:p>
                  <w:pPr>
                    <w:jc w:val="center"/>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38.2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jc w:val="center"/>
              </w:trPr>
              <w:tc>
                <w:tcPr>
                  <w:tcW w:w="2651" w:type="dxa"/>
                  <w:noWrap w:val="0"/>
                  <w:vAlign w:val="center"/>
                </w:tcPr>
                <w:p>
                  <w:pPr>
                    <w:widowControl/>
                    <w:spacing w:line="300" w:lineRule="exact"/>
                    <w:ind w:firstLine="35" w:firstLineChars="17"/>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直边机</w:t>
                  </w:r>
                </w:p>
              </w:tc>
              <w:tc>
                <w:tcPr>
                  <w:tcW w:w="1314" w:type="dxa"/>
                  <w:noWrap w:val="0"/>
                  <w:vAlign w:val="center"/>
                </w:tcPr>
                <w:p>
                  <w:pPr>
                    <w:jc w:val="center"/>
                    <w:rPr>
                      <w:rFonts w:hint="default" w:ascii="Times New Roman" w:hAnsi="Times New Roman" w:eastAsia="宋体" w:cs="Times New Roman"/>
                      <w:color w:val="auto"/>
                      <w:szCs w:val="22"/>
                      <w:highlight w:val="none"/>
                      <w:lang w:val="en-US" w:eastAsia="zh-CN"/>
                    </w:rPr>
                  </w:pPr>
                  <w:r>
                    <w:rPr>
                      <w:rFonts w:hint="eastAsia" w:cs="Times New Roman"/>
                      <w:color w:val="auto"/>
                      <w:szCs w:val="22"/>
                      <w:highlight w:val="none"/>
                      <w:lang w:val="en-US" w:eastAsia="zh-CN"/>
                    </w:rPr>
                    <w:t>31.2</w:t>
                  </w:r>
                </w:p>
              </w:tc>
              <w:tc>
                <w:tcPr>
                  <w:tcW w:w="1404" w:type="dxa"/>
                  <w:noWrap w:val="0"/>
                  <w:vAlign w:val="center"/>
                </w:tcPr>
                <w:p>
                  <w:pPr>
                    <w:jc w:val="center"/>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24.6</w:t>
                  </w:r>
                </w:p>
              </w:tc>
              <w:tc>
                <w:tcPr>
                  <w:tcW w:w="1196" w:type="dxa"/>
                  <w:noWrap w:val="0"/>
                  <w:vAlign w:val="center"/>
                </w:tcPr>
                <w:p>
                  <w:pPr>
                    <w:jc w:val="center"/>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43.4</w:t>
                  </w:r>
                </w:p>
              </w:tc>
              <w:tc>
                <w:tcPr>
                  <w:tcW w:w="1353" w:type="dxa"/>
                  <w:noWrap w:val="0"/>
                  <w:vAlign w:val="center"/>
                </w:tcPr>
                <w:p>
                  <w:pPr>
                    <w:jc w:val="center"/>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29.3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jc w:val="center"/>
              </w:trPr>
              <w:tc>
                <w:tcPr>
                  <w:tcW w:w="2651" w:type="dxa"/>
                  <w:noWrap w:val="0"/>
                  <w:vAlign w:val="center"/>
                </w:tcPr>
                <w:p>
                  <w:pPr>
                    <w:widowControl/>
                    <w:spacing w:line="300" w:lineRule="exact"/>
                    <w:ind w:firstLine="35" w:firstLineChars="17"/>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斜边机</w:t>
                  </w:r>
                </w:p>
              </w:tc>
              <w:tc>
                <w:tcPr>
                  <w:tcW w:w="1314" w:type="dxa"/>
                  <w:noWrap w:val="0"/>
                  <w:vAlign w:val="center"/>
                </w:tcPr>
                <w:p>
                  <w:pPr>
                    <w:jc w:val="center"/>
                    <w:rPr>
                      <w:rFonts w:hint="default" w:ascii="Times New Roman" w:hAnsi="Times New Roman" w:eastAsia="宋体" w:cs="Times New Roman"/>
                      <w:color w:val="auto"/>
                      <w:szCs w:val="22"/>
                      <w:highlight w:val="none"/>
                      <w:lang w:val="en-US" w:eastAsia="zh-CN"/>
                    </w:rPr>
                  </w:pPr>
                  <w:r>
                    <w:rPr>
                      <w:rFonts w:hint="eastAsia" w:cs="Times New Roman"/>
                      <w:color w:val="auto"/>
                      <w:szCs w:val="22"/>
                      <w:highlight w:val="none"/>
                      <w:lang w:val="en-US" w:eastAsia="zh-CN"/>
                    </w:rPr>
                    <w:t>31.2</w:t>
                  </w:r>
                </w:p>
              </w:tc>
              <w:tc>
                <w:tcPr>
                  <w:tcW w:w="1404" w:type="dxa"/>
                  <w:noWrap w:val="0"/>
                  <w:vAlign w:val="center"/>
                </w:tcPr>
                <w:p>
                  <w:pPr>
                    <w:jc w:val="center"/>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24.8</w:t>
                  </w:r>
                </w:p>
              </w:tc>
              <w:tc>
                <w:tcPr>
                  <w:tcW w:w="1196" w:type="dxa"/>
                  <w:noWrap w:val="0"/>
                  <w:vAlign w:val="center"/>
                </w:tcPr>
                <w:p>
                  <w:pPr>
                    <w:jc w:val="center"/>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43.4</w:t>
                  </w:r>
                </w:p>
              </w:tc>
              <w:tc>
                <w:tcPr>
                  <w:tcW w:w="1353" w:type="dxa"/>
                  <w:noWrap w:val="0"/>
                  <w:vAlign w:val="center"/>
                </w:tcPr>
                <w:p>
                  <w:pPr>
                    <w:jc w:val="center"/>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28.9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jc w:val="center"/>
              </w:trPr>
              <w:tc>
                <w:tcPr>
                  <w:tcW w:w="2651" w:type="dxa"/>
                  <w:noWrap w:val="0"/>
                  <w:vAlign w:val="center"/>
                </w:tcPr>
                <w:p>
                  <w:pPr>
                    <w:widowControl/>
                    <w:spacing w:line="300" w:lineRule="exact"/>
                    <w:ind w:firstLine="35" w:firstLineChars="17"/>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清洗机</w:t>
                  </w:r>
                </w:p>
              </w:tc>
              <w:tc>
                <w:tcPr>
                  <w:tcW w:w="1314" w:type="dxa"/>
                  <w:noWrap w:val="0"/>
                  <w:vAlign w:val="center"/>
                </w:tcPr>
                <w:p>
                  <w:pPr>
                    <w:jc w:val="center"/>
                    <w:rPr>
                      <w:rFonts w:hint="default" w:ascii="Times New Roman" w:hAnsi="Times New Roman" w:eastAsia="宋体" w:cs="Times New Roman"/>
                      <w:color w:val="auto"/>
                      <w:szCs w:val="22"/>
                      <w:highlight w:val="none"/>
                      <w:lang w:val="en-US" w:eastAsia="zh-CN"/>
                    </w:rPr>
                  </w:pPr>
                  <w:r>
                    <w:rPr>
                      <w:rFonts w:hint="eastAsia" w:cs="Times New Roman"/>
                      <w:color w:val="auto"/>
                      <w:szCs w:val="22"/>
                      <w:highlight w:val="none"/>
                      <w:lang w:val="en-US" w:eastAsia="zh-CN"/>
                    </w:rPr>
                    <w:t>30.7</w:t>
                  </w:r>
                </w:p>
              </w:tc>
              <w:tc>
                <w:tcPr>
                  <w:tcW w:w="1404" w:type="dxa"/>
                  <w:noWrap w:val="0"/>
                  <w:vAlign w:val="center"/>
                </w:tcPr>
                <w:p>
                  <w:pPr>
                    <w:jc w:val="center"/>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22.4</w:t>
                  </w:r>
                </w:p>
              </w:tc>
              <w:tc>
                <w:tcPr>
                  <w:tcW w:w="1196" w:type="dxa"/>
                  <w:noWrap w:val="0"/>
                  <w:vAlign w:val="center"/>
                </w:tcPr>
                <w:p>
                  <w:pPr>
                    <w:jc w:val="center"/>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45.0</w:t>
                  </w:r>
                </w:p>
              </w:tc>
              <w:tc>
                <w:tcPr>
                  <w:tcW w:w="1353" w:type="dxa"/>
                  <w:noWrap w:val="0"/>
                  <w:vAlign w:val="center"/>
                </w:tcPr>
                <w:p>
                  <w:pPr>
                    <w:jc w:val="center"/>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34.9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jc w:val="center"/>
              </w:trPr>
              <w:tc>
                <w:tcPr>
                  <w:tcW w:w="2651" w:type="dxa"/>
                  <w:noWrap w:val="0"/>
                  <w:vAlign w:val="center"/>
                </w:tcPr>
                <w:p>
                  <w:pPr>
                    <w:widowControl/>
                    <w:spacing w:line="300" w:lineRule="exact"/>
                    <w:ind w:firstLine="35" w:firstLineChars="17"/>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夹层线</w:t>
                  </w:r>
                </w:p>
              </w:tc>
              <w:tc>
                <w:tcPr>
                  <w:tcW w:w="1314" w:type="dxa"/>
                  <w:noWrap w:val="0"/>
                  <w:vAlign w:val="center"/>
                </w:tcPr>
                <w:p>
                  <w:pPr>
                    <w:jc w:val="center"/>
                    <w:rPr>
                      <w:rFonts w:hint="default" w:ascii="Times New Roman" w:hAnsi="Times New Roman" w:eastAsia="宋体" w:cs="Times New Roman"/>
                      <w:color w:val="auto"/>
                      <w:szCs w:val="22"/>
                      <w:highlight w:val="none"/>
                      <w:lang w:val="en-US" w:eastAsia="zh-CN"/>
                    </w:rPr>
                  </w:pPr>
                  <w:r>
                    <w:rPr>
                      <w:rFonts w:hint="eastAsia" w:cs="Times New Roman"/>
                      <w:color w:val="auto"/>
                      <w:szCs w:val="22"/>
                      <w:highlight w:val="none"/>
                      <w:lang w:val="en-US" w:eastAsia="zh-CN"/>
                    </w:rPr>
                    <w:t>34.6</w:t>
                  </w:r>
                </w:p>
              </w:tc>
              <w:tc>
                <w:tcPr>
                  <w:tcW w:w="1404" w:type="dxa"/>
                  <w:noWrap w:val="0"/>
                  <w:vAlign w:val="center"/>
                </w:tcPr>
                <w:p>
                  <w:pPr>
                    <w:jc w:val="center"/>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24.4</w:t>
                  </w:r>
                </w:p>
              </w:tc>
              <w:tc>
                <w:tcPr>
                  <w:tcW w:w="1196" w:type="dxa"/>
                  <w:noWrap w:val="0"/>
                  <w:vAlign w:val="center"/>
                </w:tcPr>
                <w:p>
                  <w:pPr>
                    <w:jc w:val="center"/>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36.1</w:t>
                  </w:r>
                </w:p>
              </w:tc>
              <w:tc>
                <w:tcPr>
                  <w:tcW w:w="1353" w:type="dxa"/>
                  <w:noWrap w:val="0"/>
                  <w:vAlign w:val="center"/>
                </w:tcPr>
                <w:p>
                  <w:pPr>
                    <w:jc w:val="center"/>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29.4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jc w:val="center"/>
              </w:trPr>
              <w:tc>
                <w:tcPr>
                  <w:tcW w:w="2651" w:type="dxa"/>
                  <w:noWrap w:val="0"/>
                  <w:vAlign w:val="center"/>
                </w:tcPr>
                <w:p>
                  <w:pPr>
                    <w:widowControl/>
                    <w:spacing w:line="300" w:lineRule="exact"/>
                    <w:ind w:firstLine="35" w:firstLineChars="17"/>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高压釜</w:t>
                  </w:r>
                </w:p>
              </w:tc>
              <w:tc>
                <w:tcPr>
                  <w:tcW w:w="1314" w:type="dxa"/>
                  <w:noWrap w:val="0"/>
                  <w:vAlign w:val="center"/>
                </w:tcPr>
                <w:p>
                  <w:pPr>
                    <w:jc w:val="center"/>
                    <w:rPr>
                      <w:rFonts w:hint="default" w:ascii="Times New Roman" w:hAnsi="Times New Roman" w:eastAsia="宋体" w:cs="Times New Roman"/>
                      <w:color w:val="auto"/>
                      <w:szCs w:val="22"/>
                      <w:highlight w:val="none"/>
                      <w:lang w:val="en-US" w:eastAsia="zh-CN"/>
                    </w:rPr>
                  </w:pPr>
                  <w:r>
                    <w:rPr>
                      <w:rFonts w:hint="eastAsia" w:cs="Times New Roman"/>
                      <w:color w:val="auto"/>
                      <w:szCs w:val="22"/>
                      <w:highlight w:val="none"/>
                      <w:lang w:val="en-US" w:eastAsia="zh-CN"/>
                    </w:rPr>
                    <w:t>41.5</w:t>
                  </w:r>
                </w:p>
              </w:tc>
              <w:tc>
                <w:tcPr>
                  <w:tcW w:w="1404" w:type="dxa"/>
                  <w:noWrap w:val="0"/>
                  <w:vAlign w:val="center"/>
                </w:tcPr>
                <w:p>
                  <w:pPr>
                    <w:jc w:val="center"/>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22.9</w:t>
                  </w:r>
                </w:p>
              </w:tc>
              <w:tc>
                <w:tcPr>
                  <w:tcW w:w="1196" w:type="dxa"/>
                  <w:noWrap w:val="0"/>
                  <w:vAlign w:val="center"/>
                </w:tcPr>
                <w:p>
                  <w:pPr>
                    <w:jc w:val="center"/>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31.7</w:t>
                  </w:r>
                </w:p>
              </w:tc>
              <w:tc>
                <w:tcPr>
                  <w:tcW w:w="1353" w:type="dxa"/>
                  <w:noWrap w:val="0"/>
                  <w:vAlign w:val="center"/>
                </w:tcPr>
                <w:p>
                  <w:pPr>
                    <w:jc w:val="center"/>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33.2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jc w:val="center"/>
              </w:trPr>
              <w:tc>
                <w:tcPr>
                  <w:tcW w:w="2651" w:type="dxa"/>
                  <w:noWrap w:val="0"/>
                  <w:vAlign w:val="center"/>
                </w:tcPr>
                <w:p>
                  <w:pPr>
                    <w:widowControl/>
                    <w:spacing w:line="300" w:lineRule="exact"/>
                    <w:ind w:firstLine="35" w:firstLineChars="17"/>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除湿机</w:t>
                  </w:r>
                </w:p>
              </w:tc>
              <w:tc>
                <w:tcPr>
                  <w:tcW w:w="1314" w:type="dxa"/>
                  <w:noWrap w:val="0"/>
                  <w:vAlign w:val="center"/>
                </w:tcPr>
                <w:p>
                  <w:pPr>
                    <w:jc w:val="center"/>
                    <w:rPr>
                      <w:rFonts w:hint="default" w:ascii="Times New Roman" w:hAnsi="Times New Roman" w:eastAsia="宋体" w:cs="Times New Roman"/>
                      <w:color w:val="auto"/>
                      <w:szCs w:val="22"/>
                      <w:highlight w:val="none"/>
                      <w:lang w:val="en-US" w:eastAsia="zh-CN"/>
                    </w:rPr>
                  </w:pPr>
                  <w:r>
                    <w:rPr>
                      <w:rFonts w:hint="eastAsia" w:cs="Times New Roman"/>
                      <w:color w:val="auto"/>
                      <w:szCs w:val="22"/>
                      <w:highlight w:val="none"/>
                      <w:lang w:val="en-US" w:eastAsia="zh-CN"/>
                    </w:rPr>
                    <w:t>28.0</w:t>
                  </w:r>
                </w:p>
              </w:tc>
              <w:tc>
                <w:tcPr>
                  <w:tcW w:w="1404" w:type="dxa"/>
                  <w:noWrap w:val="0"/>
                  <w:vAlign w:val="center"/>
                </w:tcPr>
                <w:p>
                  <w:pPr>
                    <w:jc w:val="center"/>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19.7</w:t>
                  </w:r>
                </w:p>
              </w:tc>
              <w:tc>
                <w:tcPr>
                  <w:tcW w:w="1196" w:type="dxa"/>
                  <w:noWrap w:val="0"/>
                  <w:vAlign w:val="center"/>
                </w:tcPr>
                <w:p>
                  <w:pPr>
                    <w:jc w:val="center"/>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33.6</w:t>
                  </w:r>
                </w:p>
              </w:tc>
              <w:tc>
                <w:tcPr>
                  <w:tcW w:w="1353" w:type="dxa"/>
                  <w:noWrap w:val="0"/>
                  <w:vAlign w:val="center"/>
                </w:tcPr>
                <w:p>
                  <w:pPr>
                    <w:jc w:val="center"/>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24.2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jc w:val="center"/>
              </w:trPr>
              <w:tc>
                <w:tcPr>
                  <w:tcW w:w="2651" w:type="dxa"/>
                  <w:noWrap w:val="0"/>
                  <w:vAlign w:val="center"/>
                </w:tcPr>
                <w:p>
                  <w:pPr>
                    <w:widowControl/>
                    <w:spacing w:line="300" w:lineRule="exact"/>
                    <w:ind w:firstLine="35" w:firstLineChars="17"/>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贴膜机</w:t>
                  </w:r>
                </w:p>
              </w:tc>
              <w:tc>
                <w:tcPr>
                  <w:tcW w:w="1314" w:type="dxa"/>
                  <w:noWrap w:val="0"/>
                  <w:vAlign w:val="center"/>
                </w:tcPr>
                <w:p>
                  <w:pPr>
                    <w:jc w:val="center"/>
                    <w:rPr>
                      <w:rFonts w:hint="default" w:ascii="Times New Roman" w:hAnsi="Times New Roman" w:eastAsia="宋体" w:cs="Times New Roman"/>
                      <w:color w:val="auto"/>
                      <w:szCs w:val="22"/>
                      <w:highlight w:val="none"/>
                      <w:lang w:val="en-US" w:eastAsia="zh-CN"/>
                    </w:rPr>
                  </w:pPr>
                  <w:r>
                    <w:rPr>
                      <w:rFonts w:hint="eastAsia" w:cs="Times New Roman"/>
                      <w:color w:val="auto"/>
                      <w:szCs w:val="22"/>
                      <w:highlight w:val="none"/>
                      <w:lang w:val="en-US" w:eastAsia="zh-CN"/>
                    </w:rPr>
                    <w:t>25.7</w:t>
                  </w:r>
                </w:p>
              </w:tc>
              <w:tc>
                <w:tcPr>
                  <w:tcW w:w="1404" w:type="dxa"/>
                  <w:noWrap w:val="0"/>
                  <w:vAlign w:val="center"/>
                </w:tcPr>
                <w:p>
                  <w:pPr>
                    <w:jc w:val="center"/>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17.9</w:t>
                  </w:r>
                </w:p>
              </w:tc>
              <w:tc>
                <w:tcPr>
                  <w:tcW w:w="1196" w:type="dxa"/>
                  <w:noWrap w:val="0"/>
                  <w:vAlign w:val="center"/>
                </w:tcPr>
                <w:p>
                  <w:pPr>
                    <w:jc w:val="center"/>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40.9</w:t>
                  </w:r>
                </w:p>
              </w:tc>
              <w:tc>
                <w:tcPr>
                  <w:tcW w:w="1353" w:type="dxa"/>
                  <w:noWrap w:val="0"/>
                  <w:vAlign w:val="center"/>
                </w:tcPr>
                <w:p>
                  <w:pPr>
                    <w:jc w:val="center"/>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28.6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jc w:val="center"/>
              </w:trPr>
              <w:tc>
                <w:tcPr>
                  <w:tcW w:w="2651" w:type="dxa"/>
                  <w:noWrap w:val="0"/>
                  <w:vAlign w:val="center"/>
                </w:tcPr>
                <w:p>
                  <w:pPr>
                    <w:widowControl/>
                    <w:spacing w:line="300" w:lineRule="exact"/>
                    <w:ind w:firstLine="35" w:firstLineChars="17"/>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钻孔机</w:t>
                  </w:r>
                </w:p>
              </w:tc>
              <w:tc>
                <w:tcPr>
                  <w:tcW w:w="1314" w:type="dxa"/>
                  <w:noWrap w:val="0"/>
                  <w:vAlign w:val="center"/>
                </w:tcPr>
                <w:p>
                  <w:pPr>
                    <w:jc w:val="center"/>
                    <w:rPr>
                      <w:rFonts w:hint="default" w:ascii="Times New Roman" w:hAnsi="Times New Roman" w:eastAsia="宋体" w:cs="Times New Roman"/>
                      <w:color w:val="auto"/>
                      <w:szCs w:val="22"/>
                      <w:highlight w:val="none"/>
                      <w:lang w:val="en-US" w:eastAsia="zh-CN"/>
                    </w:rPr>
                  </w:pPr>
                  <w:r>
                    <w:rPr>
                      <w:rFonts w:hint="eastAsia" w:cs="Times New Roman"/>
                      <w:color w:val="auto"/>
                      <w:szCs w:val="22"/>
                      <w:highlight w:val="none"/>
                      <w:lang w:val="en-US" w:eastAsia="zh-CN"/>
                    </w:rPr>
                    <w:t>36.0</w:t>
                  </w:r>
                </w:p>
              </w:tc>
              <w:tc>
                <w:tcPr>
                  <w:tcW w:w="1404" w:type="dxa"/>
                  <w:noWrap w:val="0"/>
                  <w:vAlign w:val="center"/>
                </w:tcPr>
                <w:p>
                  <w:pPr>
                    <w:jc w:val="center"/>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30.5</w:t>
                  </w:r>
                </w:p>
              </w:tc>
              <w:tc>
                <w:tcPr>
                  <w:tcW w:w="1196" w:type="dxa"/>
                  <w:noWrap w:val="0"/>
                  <w:vAlign w:val="center"/>
                </w:tcPr>
                <w:p>
                  <w:pPr>
                    <w:jc w:val="center"/>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50</w:t>
                  </w:r>
                </w:p>
              </w:tc>
              <w:tc>
                <w:tcPr>
                  <w:tcW w:w="1353" w:type="dxa"/>
                  <w:noWrap w:val="0"/>
                  <w:vAlign w:val="center"/>
                </w:tcPr>
                <w:p>
                  <w:pPr>
                    <w:jc w:val="center"/>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33.0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jc w:val="center"/>
              </w:trPr>
              <w:tc>
                <w:tcPr>
                  <w:tcW w:w="2651" w:type="dxa"/>
                  <w:noWrap w:val="0"/>
                  <w:vAlign w:val="center"/>
                </w:tcPr>
                <w:p>
                  <w:pPr>
                    <w:widowControl/>
                    <w:spacing w:line="300" w:lineRule="exact"/>
                    <w:ind w:firstLine="35" w:firstLineChars="17"/>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喷漆房</w:t>
                  </w:r>
                </w:p>
              </w:tc>
              <w:tc>
                <w:tcPr>
                  <w:tcW w:w="1314" w:type="dxa"/>
                  <w:noWrap w:val="0"/>
                  <w:vAlign w:val="center"/>
                </w:tcPr>
                <w:p>
                  <w:pPr>
                    <w:jc w:val="center"/>
                    <w:rPr>
                      <w:rFonts w:hint="default" w:ascii="Times New Roman" w:hAnsi="Times New Roman" w:eastAsia="宋体" w:cs="Times New Roman"/>
                      <w:color w:val="auto"/>
                      <w:szCs w:val="22"/>
                      <w:highlight w:val="none"/>
                      <w:lang w:val="en-US" w:eastAsia="zh-CN"/>
                    </w:rPr>
                  </w:pPr>
                  <w:r>
                    <w:rPr>
                      <w:rFonts w:hint="eastAsia" w:cs="Times New Roman"/>
                      <w:color w:val="auto"/>
                      <w:szCs w:val="22"/>
                      <w:highlight w:val="none"/>
                      <w:lang w:val="en-US" w:eastAsia="zh-CN"/>
                    </w:rPr>
                    <w:t>31.0</w:t>
                  </w:r>
                </w:p>
              </w:tc>
              <w:tc>
                <w:tcPr>
                  <w:tcW w:w="1404" w:type="dxa"/>
                  <w:noWrap w:val="0"/>
                  <w:vAlign w:val="center"/>
                </w:tcPr>
                <w:p>
                  <w:pPr>
                    <w:jc w:val="center"/>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26.2</w:t>
                  </w:r>
                </w:p>
              </w:tc>
              <w:tc>
                <w:tcPr>
                  <w:tcW w:w="1196" w:type="dxa"/>
                  <w:noWrap w:val="0"/>
                  <w:vAlign w:val="center"/>
                </w:tcPr>
                <w:p>
                  <w:pPr>
                    <w:jc w:val="center"/>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44.2</w:t>
                  </w:r>
                </w:p>
              </w:tc>
              <w:tc>
                <w:tcPr>
                  <w:tcW w:w="1353" w:type="dxa"/>
                  <w:noWrap w:val="0"/>
                  <w:vAlign w:val="center"/>
                </w:tcPr>
                <w:p>
                  <w:pPr>
                    <w:jc w:val="center"/>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jc w:val="center"/>
              </w:trPr>
              <w:tc>
                <w:tcPr>
                  <w:tcW w:w="2651" w:type="dxa"/>
                  <w:noWrap w:val="0"/>
                  <w:vAlign w:val="center"/>
                </w:tcPr>
                <w:p>
                  <w:pPr>
                    <w:widowControl/>
                    <w:spacing w:line="300" w:lineRule="exact"/>
                    <w:ind w:firstLine="36" w:firstLineChars="17"/>
                    <w:jc w:val="center"/>
                    <w:rPr>
                      <w:rFonts w:hint="default" w:ascii="Times New Roman" w:hAnsi="Times New Roman" w:cs="Times New Roman"/>
                      <w:b/>
                      <w:bCs/>
                      <w:color w:val="auto"/>
                      <w:kern w:val="0"/>
                      <w:sz w:val="21"/>
                      <w:szCs w:val="21"/>
                      <w:highlight w:val="none"/>
                      <w:lang w:eastAsia="zh-CN"/>
                    </w:rPr>
                  </w:pPr>
                  <w:r>
                    <w:rPr>
                      <w:rFonts w:hint="default" w:ascii="Times New Roman" w:hAnsi="Times New Roman" w:cs="Times New Roman"/>
                      <w:b/>
                      <w:bCs/>
                      <w:color w:val="auto"/>
                      <w:kern w:val="0"/>
                      <w:sz w:val="21"/>
                      <w:szCs w:val="21"/>
                      <w:highlight w:val="none"/>
                      <w:lang w:eastAsia="zh-CN"/>
                    </w:rPr>
                    <w:t>贡献值叠加</w:t>
                  </w:r>
                </w:p>
              </w:tc>
              <w:tc>
                <w:tcPr>
                  <w:tcW w:w="1314" w:type="dxa"/>
                  <w:noWrap w:val="0"/>
                  <w:vAlign w:val="center"/>
                </w:tcPr>
                <w:p>
                  <w:pPr>
                    <w:jc w:val="center"/>
                    <w:rPr>
                      <w:rFonts w:hint="default" w:ascii="Times New Roman" w:hAnsi="Times New Roman" w:cs="Times New Roman"/>
                      <w:b/>
                      <w:bCs/>
                      <w:color w:val="auto"/>
                      <w:szCs w:val="21"/>
                      <w:highlight w:val="none"/>
                      <w:lang w:val="en-US" w:eastAsia="zh-CN"/>
                    </w:rPr>
                  </w:pPr>
                  <w:r>
                    <w:rPr>
                      <w:rFonts w:hint="eastAsia" w:cs="Times New Roman"/>
                      <w:b/>
                      <w:bCs/>
                      <w:color w:val="auto"/>
                      <w:szCs w:val="21"/>
                      <w:highlight w:val="none"/>
                      <w:lang w:val="en-US" w:eastAsia="zh-CN"/>
                    </w:rPr>
                    <w:t>45.8</w:t>
                  </w:r>
                </w:p>
              </w:tc>
              <w:tc>
                <w:tcPr>
                  <w:tcW w:w="1404" w:type="dxa"/>
                  <w:noWrap w:val="0"/>
                  <w:vAlign w:val="center"/>
                </w:tcPr>
                <w:p>
                  <w:pPr>
                    <w:jc w:val="center"/>
                    <w:rPr>
                      <w:rFonts w:hint="default" w:ascii="Times New Roman" w:hAnsi="Times New Roman" w:cs="Times New Roman"/>
                      <w:b/>
                      <w:bCs/>
                      <w:color w:val="auto"/>
                      <w:szCs w:val="21"/>
                      <w:highlight w:val="none"/>
                      <w:lang w:val="en-US" w:eastAsia="zh-CN"/>
                    </w:rPr>
                  </w:pPr>
                  <w:r>
                    <w:rPr>
                      <w:rFonts w:hint="eastAsia" w:cs="Times New Roman"/>
                      <w:b/>
                      <w:bCs/>
                      <w:color w:val="auto"/>
                      <w:szCs w:val="21"/>
                      <w:highlight w:val="none"/>
                      <w:lang w:val="en-US" w:eastAsia="zh-CN"/>
                    </w:rPr>
                    <w:t>36.3</w:t>
                  </w:r>
                </w:p>
              </w:tc>
              <w:tc>
                <w:tcPr>
                  <w:tcW w:w="1196" w:type="dxa"/>
                  <w:noWrap w:val="0"/>
                  <w:vAlign w:val="center"/>
                </w:tcPr>
                <w:p>
                  <w:pPr>
                    <w:jc w:val="center"/>
                    <w:rPr>
                      <w:rFonts w:hint="default" w:ascii="Times New Roman" w:hAnsi="Times New Roman" w:cs="Times New Roman"/>
                      <w:b/>
                      <w:bCs/>
                      <w:color w:val="auto"/>
                      <w:szCs w:val="21"/>
                      <w:highlight w:val="none"/>
                      <w:lang w:val="en-US" w:eastAsia="zh-CN"/>
                    </w:rPr>
                  </w:pPr>
                  <w:r>
                    <w:rPr>
                      <w:rFonts w:hint="eastAsia" w:cs="Times New Roman"/>
                      <w:b/>
                      <w:bCs/>
                      <w:color w:val="auto"/>
                      <w:szCs w:val="21"/>
                      <w:highlight w:val="none"/>
                      <w:lang w:val="en-US" w:eastAsia="zh-CN"/>
                    </w:rPr>
                    <w:t>53.8</w:t>
                  </w:r>
                </w:p>
              </w:tc>
              <w:tc>
                <w:tcPr>
                  <w:tcW w:w="1353" w:type="dxa"/>
                  <w:noWrap w:val="0"/>
                  <w:vAlign w:val="center"/>
                </w:tcPr>
                <w:p>
                  <w:pPr>
                    <w:jc w:val="center"/>
                    <w:rPr>
                      <w:rFonts w:hint="default" w:ascii="Times New Roman" w:hAnsi="Times New Roman" w:cs="Times New Roman"/>
                      <w:b/>
                      <w:bCs/>
                      <w:color w:val="auto"/>
                      <w:szCs w:val="21"/>
                      <w:highlight w:val="none"/>
                      <w:lang w:val="en-US" w:eastAsia="zh-CN"/>
                    </w:rPr>
                  </w:pPr>
                  <w:r>
                    <w:rPr>
                      <w:rFonts w:hint="eastAsia" w:cs="Times New Roman"/>
                      <w:b/>
                      <w:bCs/>
                      <w:color w:val="auto"/>
                      <w:szCs w:val="21"/>
                      <w:highlight w:val="none"/>
                      <w:lang w:val="en-US" w:eastAsia="zh-CN"/>
                    </w:rPr>
                    <w:t>42.9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jc w:val="center"/>
              </w:trPr>
              <w:tc>
                <w:tcPr>
                  <w:tcW w:w="2651" w:type="dxa"/>
                  <w:noWrap w:val="0"/>
                  <w:vAlign w:val="center"/>
                </w:tcPr>
                <w:p>
                  <w:pPr>
                    <w:widowControl/>
                    <w:spacing w:line="300" w:lineRule="exact"/>
                    <w:ind w:firstLine="36" w:firstLineChars="17"/>
                    <w:jc w:val="center"/>
                    <w:rPr>
                      <w:rFonts w:hint="default" w:ascii="Times New Roman" w:hAnsi="Times New Roman" w:cs="Times New Roman"/>
                      <w:b/>
                      <w:bCs/>
                      <w:color w:val="auto"/>
                      <w:kern w:val="0"/>
                      <w:sz w:val="21"/>
                      <w:szCs w:val="21"/>
                      <w:highlight w:val="none"/>
                      <w:lang w:eastAsia="zh-CN"/>
                    </w:rPr>
                  </w:pPr>
                  <w:r>
                    <w:rPr>
                      <w:rFonts w:hint="default" w:ascii="Times New Roman" w:hAnsi="Times New Roman" w:cs="Times New Roman"/>
                      <w:b/>
                      <w:bCs/>
                      <w:color w:val="auto"/>
                      <w:kern w:val="0"/>
                      <w:sz w:val="21"/>
                      <w:szCs w:val="21"/>
                      <w:highlight w:val="none"/>
                      <w:lang w:eastAsia="zh-CN"/>
                    </w:rPr>
                    <w:t>标准值</w:t>
                  </w:r>
                </w:p>
              </w:tc>
              <w:tc>
                <w:tcPr>
                  <w:tcW w:w="1314" w:type="dxa"/>
                  <w:noWrap w:val="0"/>
                  <w:vAlign w:val="center"/>
                </w:tcPr>
                <w:p>
                  <w:pPr>
                    <w:jc w:val="center"/>
                    <w:rPr>
                      <w:rFonts w:hint="default" w:ascii="Times New Roman" w:hAnsi="Times New Roman" w:cs="Times New Roman"/>
                      <w:b/>
                      <w:bCs/>
                      <w:color w:val="auto"/>
                      <w:szCs w:val="21"/>
                      <w:highlight w:val="none"/>
                      <w:lang w:val="en-US" w:eastAsia="zh-CN"/>
                    </w:rPr>
                  </w:pPr>
                  <w:r>
                    <w:rPr>
                      <w:rFonts w:hint="default" w:ascii="Times New Roman" w:hAnsi="Times New Roman" w:cs="Times New Roman"/>
                      <w:b/>
                      <w:bCs/>
                      <w:color w:val="auto"/>
                      <w:szCs w:val="21"/>
                      <w:highlight w:val="none"/>
                      <w:lang w:val="en-US" w:eastAsia="zh-CN"/>
                    </w:rPr>
                    <w:t>65</w:t>
                  </w:r>
                </w:p>
              </w:tc>
              <w:tc>
                <w:tcPr>
                  <w:tcW w:w="1404" w:type="dxa"/>
                  <w:noWrap w:val="0"/>
                  <w:vAlign w:val="center"/>
                </w:tcPr>
                <w:p>
                  <w:pPr>
                    <w:jc w:val="center"/>
                    <w:rPr>
                      <w:rFonts w:hint="default" w:ascii="Times New Roman" w:hAnsi="Times New Roman" w:cs="Times New Roman"/>
                      <w:b/>
                      <w:bCs/>
                      <w:color w:val="auto"/>
                      <w:szCs w:val="21"/>
                      <w:highlight w:val="none"/>
                      <w:lang w:val="en-US" w:eastAsia="zh-CN"/>
                    </w:rPr>
                  </w:pPr>
                  <w:r>
                    <w:rPr>
                      <w:rFonts w:hint="default" w:ascii="Times New Roman" w:hAnsi="Times New Roman" w:cs="Times New Roman"/>
                      <w:b/>
                      <w:bCs/>
                      <w:color w:val="auto"/>
                      <w:szCs w:val="21"/>
                      <w:highlight w:val="none"/>
                      <w:lang w:val="en-US" w:eastAsia="zh-CN"/>
                    </w:rPr>
                    <w:t>65</w:t>
                  </w:r>
                </w:p>
              </w:tc>
              <w:tc>
                <w:tcPr>
                  <w:tcW w:w="1196" w:type="dxa"/>
                  <w:noWrap w:val="0"/>
                  <w:vAlign w:val="center"/>
                </w:tcPr>
                <w:p>
                  <w:pPr>
                    <w:jc w:val="center"/>
                    <w:rPr>
                      <w:rFonts w:hint="default" w:ascii="Times New Roman" w:hAnsi="Times New Roman" w:cs="Times New Roman"/>
                      <w:b/>
                      <w:bCs/>
                      <w:color w:val="auto"/>
                      <w:szCs w:val="21"/>
                      <w:highlight w:val="none"/>
                      <w:lang w:val="en-US" w:eastAsia="zh-CN"/>
                    </w:rPr>
                  </w:pPr>
                  <w:r>
                    <w:rPr>
                      <w:rFonts w:hint="default" w:ascii="Times New Roman" w:hAnsi="Times New Roman" w:cs="Times New Roman"/>
                      <w:b/>
                      <w:bCs/>
                      <w:color w:val="auto"/>
                      <w:szCs w:val="21"/>
                      <w:highlight w:val="none"/>
                      <w:lang w:val="en-US" w:eastAsia="zh-CN"/>
                    </w:rPr>
                    <w:t>65</w:t>
                  </w:r>
                </w:p>
              </w:tc>
              <w:tc>
                <w:tcPr>
                  <w:tcW w:w="1353" w:type="dxa"/>
                  <w:noWrap w:val="0"/>
                  <w:vAlign w:val="center"/>
                </w:tcPr>
                <w:p>
                  <w:pPr>
                    <w:jc w:val="center"/>
                    <w:rPr>
                      <w:rFonts w:hint="default" w:ascii="Times New Roman" w:hAnsi="Times New Roman" w:cs="Times New Roman"/>
                      <w:b/>
                      <w:bCs/>
                      <w:color w:val="auto"/>
                      <w:szCs w:val="21"/>
                      <w:highlight w:val="none"/>
                      <w:lang w:val="en-US" w:eastAsia="zh-CN"/>
                    </w:rPr>
                  </w:pPr>
                  <w:r>
                    <w:rPr>
                      <w:rFonts w:hint="default" w:ascii="Times New Roman" w:hAnsi="Times New Roman" w:cs="Times New Roman"/>
                      <w:b/>
                      <w:bCs/>
                      <w:color w:val="auto"/>
                      <w:szCs w:val="21"/>
                      <w:highlight w:val="none"/>
                      <w:lang w:val="en-US" w:eastAsia="zh-CN"/>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2651" w:type="dxa"/>
                  <w:noWrap w:val="0"/>
                  <w:vAlign w:val="center"/>
                </w:tcPr>
                <w:p>
                  <w:pPr>
                    <w:widowControl/>
                    <w:spacing w:line="300" w:lineRule="exact"/>
                    <w:ind w:firstLine="36" w:firstLineChars="17"/>
                    <w:jc w:val="center"/>
                    <w:rPr>
                      <w:rFonts w:hint="default" w:ascii="Times New Roman" w:hAnsi="Times New Roman" w:cs="Times New Roman"/>
                      <w:b/>
                      <w:bCs/>
                      <w:color w:val="auto"/>
                      <w:kern w:val="0"/>
                      <w:sz w:val="21"/>
                      <w:szCs w:val="21"/>
                      <w:highlight w:val="none"/>
                      <w:lang w:eastAsia="zh-CN"/>
                    </w:rPr>
                  </w:pPr>
                  <w:r>
                    <w:rPr>
                      <w:rFonts w:hint="default" w:ascii="Times New Roman" w:hAnsi="Times New Roman" w:cs="Times New Roman"/>
                      <w:b/>
                      <w:bCs/>
                      <w:color w:val="auto"/>
                      <w:kern w:val="0"/>
                      <w:sz w:val="21"/>
                      <w:szCs w:val="21"/>
                      <w:highlight w:val="none"/>
                      <w:lang w:eastAsia="zh-CN"/>
                    </w:rPr>
                    <w:t>达标情况</w:t>
                  </w:r>
                </w:p>
              </w:tc>
              <w:tc>
                <w:tcPr>
                  <w:tcW w:w="1314" w:type="dxa"/>
                  <w:noWrap w:val="0"/>
                  <w:vAlign w:val="center"/>
                </w:tcPr>
                <w:p>
                  <w:pPr>
                    <w:jc w:val="center"/>
                    <w:rPr>
                      <w:rFonts w:hint="default" w:ascii="Times New Roman" w:hAnsi="Times New Roman" w:cs="Times New Roman"/>
                      <w:b/>
                      <w:bCs/>
                      <w:color w:val="auto"/>
                      <w:szCs w:val="21"/>
                      <w:highlight w:val="none"/>
                      <w:lang w:val="en-US" w:eastAsia="zh-CN"/>
                    </w:rPr>
                  </w:pPr>
                  <w:r>
                    <w:rPr>
                      <w:rFonts w:hint="default" w:ascii="Times New Roman" w:hAnsi="Times New Roman" w:cs="Times New Roman"/>
                      <w:b/>
                      <w:bCs/>
                      <w:color w:val="auto"/>
                      <w:szCs w:val="21"/>
                      <w:highlight w:val="none"/>
                      <w:lang w:val="en-US" w:eastAsia="zh-CN"/>
                    </w:rPr>
                    <w:t>达标</w:t>
                  </w:r>
                </w:p>
              </w:tc>
              <w:tc>
                <w:tcPr>
                  <w:tcW w:w="1404" w:type="dxa"/>
                  <w:noWrap w:val="0"/>
                  <w:vAlign w:val="center"/>
                </w:tcPr>
                <w:p>
                  <w:pPr>
                    <w:jc w:val="center"/>
                    <w:rPr>
                      <w:rFonts w:hint="default" w:ascii="Times New Roman" w:hAnsi="Times New Roman" w:cs="Times New Roman"/>
                      <w:b/>
                      <w:bCs/>
                      <w:color w:val="auto"/>
                      <w:szCs w:val="21"/>
                      <w:highlight w:val="none"/>
                      <w:lang w:val="en-US" w:eastAsia="zh-CN"/>
                    </w:rPr>
                  </w:pPr>
                  <w:r>
                    <w:rPr>
                      <w:rFonts w:hint="default" w:ascii="Times New Roman" w:hAnsi="Times New Roman" w:cs="Times New Roman"/>
                      <w:b/>
                      <w:bCs/>
                      <w:color w:val="auto"/>
                      <w:szCs w:val="21"/>
                      <w:highlight w:val="none"/>
                      <w:lang w:val="en-US" w:eastAsia="zh-CN"/>
                    </w:rPr>
                    <w:t>达标</w:t>
                  </w:r>
                </w:p>
              </w:tc>
              <w:tc>
                <w:tcPr>
                  <w:tcW w:w="1196" w:type="dxa"/>
                  <w:noWrap w:val="0"/>
                  <w:vAlign w:val="center"/>
                </w:tcPr>
                <w:p>
                  <w:pPr>
                    <w:jc w:val="center"/>
                    <w:rPr>
                      <w:rFonts w:hint="default" w:ascii="Times New Roman" w:hAnsi="Times New Roman" w:cs="Times New Roman"/>
                      <w:b/>
                      <w:bCs/>
                      <w:color w:val="auto"/>
                      <w:szCs w:val="21"/>
                      <w:highlight w:val="none"/>
                      <w:lang w:val="en-US" w:eastAsia="zh-CN"/>
                    </w:rPr>
                  </w:pPr>
                  <w:r>
                    <w:rPr>
                      <w:rFonts w:hint="default" w:ascii="Times New Roman" w:hAnsi="Times New Roman" w:cs="Times New Roman"/>
                      <w:b/>
                      <w:bCs/>
                      <w:color w:val="auto"/>
                      <w:szCs w:val="21"/>
                      <w:highlight w:val="none"/>
                      <w:lang w:val="en-US" w:eastAsia="zh-CN"/>
                    </w:rPr>
                    <w:t>达标</w:t>
                  </w:r>
                </w:p>
              </w:tc>
              <w:tc>
                <w:tcPr>
                  <w:tcW w:w="1353" w:type="dxa"/>
                  <w:noWrap w:val="0"/>
                  <w:vAlign w:val="center"/>
                </w:tcPr>
                <w:p>
                  <w:pPr>
                    <w:jc w:val="center"/>
                    <w:rPr>
                      <w:rFonts w:hint="default" w:ascii="Times New Roman" w:hAnsi="Times New Roman" w:cs="Times New Roman"/>
                      <w:b/>
                      <w:bCs/>
                      <w:color w:val="auto"/>
                      <w:szCs w:val="21"/>
                      <w:highlight w:val="none"/>
                      <w:lang w:val="en-US" w:eastAsia="zh-CN"/>
                    </w:rPr>
                  </w:pPr>
                  <w:r>
                    <w:rPr>
                      <w:rFonts w:hint="default" w:ascii="Times New Roman" w:hAnsi="Times New Roman" w:cs="Times New Roman"/>
                      <w:b/>
                      <w:bCs/>
                      <w:color w:val="auto"/>
                      <w:szCs w:val="21"/>
                      <w:highlight w:val="none"/>
                      <w:lang w:val="en-US" w:eastAsia="zh-CN"/>
                    </w:rPr>
                    <w:t>达标</w:t>
                  </w:r>
                </w:p>
              </w:tc>
            </w:tr>
          </w:tbl>
          <w:p>
            <w:pPr>
              <w:spacing w:line="360" w:lineRule="auto"/>
              <w:ind w:firstLine="440" w:firstLineChars="200"/>
              <w:rPr>
                <w:rFonts w:hint="eastAsia" w:eastAsia="宋体"/>
                <w:color w:val="auto"/>
                <w:sz w:val="22"/>
                <w:szCs w:val="22"/>
                <w:highlight w:val="yellow"/>
                <w:lang w:eastAsia="zh-CN"/>
              </w:rPr>
            </w:pPr>
            <w:r>
              <w:rPr>
                <w:rFonts w:hint="default" w:ascii="Times New Roman" w:hAnsi="Times New Roman" w:cs="Times New Roman"/>
                <w:color w:val="auto"/>
                <w:sz w:val="22"/>
                <w:szCs w:val="21"/>
                <w:highlight w:val="none"/>
                <w:lang w:val="en-US" w:eastAsia="zh-CN"/>
              </w:rPr>
              <w:t>根据《环境影响评价技术导则 声环境》（HJ2.4—2021），要求预测厂界贡献值。</w:t>
            </w:r>
            <w:r>
              <w:rPr>
                <w:rFonts w:hint="default" w:ascii="Times New Roman" w:hAnsi="Times New Roman" w:cs="Times New Roman"/>
                <w:color w:val="auto"/>
                <w:sz w:val="22"/>
                <w:szCs w:val="21"/>
                <w:highlight w:val="none"/>
              </w:rPr>
              <w:t>本项目</w:t>
            </w:r>
            <w:r>
              <w:rPr>
                <w:rFonts w:hint="default" w:ascii="Times New Roman" w:hAnsi="Times New Roman" w:cs="Times New Roman"/>
                <w:color w:val="auto"/>
                <w:sz w:val="22"/>
                <w:szCs w:val="21"/>
                <w:highlight w:val="none"/>
                <w:lang w:eastAsia="zh-CN"/>
              </w:rPr>
              <w:t>为</w:t>
            </w:r>
            <w:r>
              <w:rPr>
                <w:rFonts w:hint="eastAsia" w:ascii="Times New Roman" w:hAnsi="Times New Roman" w:cs="Times New Roman"/>
                <w:color w:val="auto"/>
                <w:sz w:val="22"/>
                <w:szCs w:val="21"/>
                <w:highlight w:val="none"/>
                <w:lang w:val="en-US" w:eastAsia="zh-CN"/>
              </w:rPr>
              <w:t>新建</w:t>
            </w:r>
            <w:r>
              <w:rPr>
                <w:rFonts w:hint="default" w:ascii="Times New Roman" w:hAnsi="Times New Roman" w:cs="Times New Roman"/>
                <w:color w:val="auto"/>
                <w:sz w:val="22"/>
                <w:szCs w:val="21"/>
                <w:highlight w:val="none"/>
                <w:lang w:eastAsia="zh-CN"/>
              </w:rPr>
              <w:t>项目，</w:t>
            </w:r>
            <w:r>
              <w:rPr>
                <w:rFonts w:hint="default" w:ascii="Times New Roman" w:hAnsi="Times New Roman" w:cs="Times New Roman"/>
                <w:color w:val="auto"/>
                <w:sz w:val="22"/>
                <w:szCs w:val="21"/>
                <w:highlight w:val="none"/>
              </w:rPr>
              <w:t>夜间不生产，预测结果表明，通过合理布局噪声源，并设置噪声治理措施，厂界</w:t>
            </w:r>
            <w:r>
              <w:rPr>
                <w:rFonts w:hint="default" w:ascii="Times New Roman" w:hAnsi="Times New Roman" w:cs="Times New Roman"/>
                <w:color w:val="auto"/>
                <w:sz w:val="22"/>
                <w:szCs w:val="21"/>
                <w:highlight w:val="none"/>
                <w:lang w:eastAsia="zh-CN"/>
              </w:rPr>
              <w:t>和敏感点</w:t>
            </w:r>
            <w:r>
              <w:rPr>
                <w:rFonts w:hint="default" w:ascii="Times New Roman" w:hAnsi="Times New Roman" w:cs="Times New Roman"/>
                <w:color w:val="auto"/>
                <w:sz w:val="22"/>
                <w:szCs w:val="21"/>
                <w:highlight w:val="none"/>
              </w:rPr>
              <w:t>的噪声值</w:t>
            </w:r>
            <w:r>
              <w:rPr>
                <w:rFonts w:hint="default" w:ascii="Times New Roman" w:hAnsi="Times New Roman" w:cs="Times New Roman"/>
                <w:color w:val="auto"/>
                <w:sz w:val="22"/>
                <w:szCs w:val="21"/>
                <w:highlight w:val="none"/>
                <w:lang w:eastAsia="zh-CN"/>
              </w:rPr>
              <w:t>均</w:t>
            </w:r>
            <w:r>
              <w:rPr>
                <w:rFonts w:hint="default" w:ascii="Times New Roman" w:hAnsi="Times New Roman" w:cs="Times New Roman"/>
                <w:color w:val="auto"/>
                <w:sz w:val="22"/>
                <w:szCs w:val="21"/>
                <w:highlight w:val="none"/>
              </w:rPr>
              <w:t>能满足《工业企业厂界环境噪声排放标准》（GB12348-2008）中</w:t>
            </w:r>
            <w:r>
              <w:rPr>
                <w:rFonts w:hint="default" w:ascii="Times New Roman" w:hAnsi="Times New Roman" w:cs="Times New Roman"/>
                <w:color w:val="auto"/>
                <w:sz w:val="22"/>
                <w:szCs w:val="21"/>
                <w:highlight w:val="none"/>
                <w:lang w:val="en-US" w:eastAsia="zh-CN"/>
              </w:rPr>
              <w:t>3</w:t>
            </w:r>
            <w:r>
              <w:rPr>
                <w:rFonts w:hint="default" w:ascii="Times New Roman" w:hAnsi="Times New Roman" w:cs="Times New Roman"/>
                <w:color w:val="auto"/>
                <w:sz w:val="22"/>
                <w:szCs w:val="21"/>
                <w:highlight w:val="none"/>
              </w:rPr>
              <w:t>类标准值</w:t>
            </w:r>
            <w:r>
              <w:rPr>
                <w:rFonts w:hint="default" w:ascii="Times New Roman" w:hAnsi="Times New Roman" w:eastAsia="宋体" w:cs="Times New Roman"/>
                <w:color w:val="auto"/>
                <w:sz w:val="22"/>
                <w:szCs w:val="21"/>
                <w:highlight w:val="none"/>
              </w:rPr>
              <w:t>。项目选址位于工业区内，周边50米范围没有噪声敏感点，营运噪声对周围声环境影响较小。</w:t>
            </w:r>
          </w:p>
          <w:p>
            <w:pPr>
              <w:spacing w:line="360" w:lineRule="auto"/>
              <w:ind w:firstLine="442" w:firstLineChars="200"/>
              <w:rPr>
                <w:b/>
                <w:bCs/>
                <w:color w:val="auto"/>
                <w:sz w:val="22"/>
                <w:szCs w:val="21"/>
                <w:highlight w:val="none"/>
              </w:rPr>
            </w:pPr>
            <w:r>
              <w:rPr>
                <w:b/>
                <w:bCs/>
                <w:color w:val="auto"/>
                <w:sz w:val="22"/>
                <w:szCs w:val="21"/>
                <w:highlight w:val="none"/>
              </w:rPr>
              <w:t xml:space="preserve">3.4 监测要求 </w:t>
            </w:r>
          </w:p>
          <w:p>
            <w:pPr>
              <w:spacing w:line="360" w:lineRule="auto"/>
              <w:ind w:firstLine="465"/>
              <w:jc w:val="left"/>
              <w:rPr>
                <w:b/>
                <w:color w:val="auto"/>
                <w:szCs w:val="21"/>
                <w:highlight w:val="none"/>
              </w:rPr>
            </w:pPr>
            <w:r>
              <w:rPr>
                <w:rFonts w:hint="eastAsia" w:ascii="Times New Roman" w:hAnsi="Times New Roman" w:cs="Times New Roman"/>
                <w:bCs/>
                <w:color w:val="auto"/>
                <w:sz w:val="22"/>
                <w:szCs w:val="22"/>
                <w:highlight w:val="none"/>
                <w:lang w:eastAsia="zh-CN"/>
              </w:rPr>
              <w:t>本次参照</w:t>
            </w:r>
            <w:r>
              <w:rPr>
                <w:rFonts w:hint="default" w:ascii="Times New Roman" w:hAnsi="Times New Roman" w:cs="Times New Roman"/>
                <w:bCs/>
                <w:color w:val="auto"/>
                <w:sz w:val="22"/>
                <w:szCs w:val="22"/>
                <w:highlight w:val="none"/>
              </w:rPr>
              <w:t>《排污单位自行监测技术指南 总则》（HJ819-2017）提出项目生产运行阶段</w:t>
            </w:r>
            <w:r>
              <w:rPr>
                <w:rFonts w:hint="eastAsia" w:ascii="Times New Roman" w:hAnsi="Times New Roman" w:cs="Times New Roman"/>
                <w:bCs/>
                <w:color w:val="auto"/>
                <w:sz w:val="22"/>
                <w:szCs w:val="22"/>
                <w:highlight w:val="none"/>
                <w:lang w:eastAsia="zh-CN"/>
              </w:rPr>
              <w:t>噪声</w:t>
            </w:r>
            <w:r>
              <w:rPr>
                <w:rFonts w:hint="default" w:ascii="Times New Roman" w:hAnsi="Times New Roman" w:cs="Times New Roman"/>
                <w:bCs/>
                <w:color w:val="auto"/>
                <w:sz w:val="22"/>
                <w:szCs w:val="22"/>
                <w:highlight w:val="none"/>
              </w:rPr>
              <w:t>监测</w:t>
            </w:r>
            <w:r>
              <w:rPr>
                <w:rFonts w:hint="default" w:ascii="Times New Roman" w:hAnsi="Times New Roman" w:cs="Times New Roman"/>
                <w:color w:val="auto"/>
                <w:sz w:val="22"/>
                <w:szCs w:val="22"/>
                <w:highlight w:val="none"/>
              </w:rPr>
              <w:t>计划</w:t>
            </w:r>
            <w:r>
              <w:rPr>
                <w:rFonts w:hint="default" w:ascii="Times New Roman" w:hAnsi="Times New Roman" w:cs="Times New Roman"/>
                <w:bCs/>
                <w:color w:val="auto"/>
                <w:sz w:val="22"/>
                <w:szCs w:val="22"/>
                <w:highlight w:val="none"/>
              </w:rPr>
              <w:t>：</w:t>
            </w:r>
          </w:p>
          <w:p>
            <w:pPr>
              <w:adjustRightInd w:val="0"/>
              <w:jc w:val="center"/>
              <w:textAlignment w:val="baseline"/>
              <w:rPr>
                <w:b/>
                <w:color w:val="auto"/>
                <w:szCs w:val="21"/>
                <w:highlight w:val="none"/>
                <w:lang w:val="zh-CN"/>
              </w:rPr>
            </w:pPr>
            <w:r>
              <w:rPr>
                <w:b/>
                <w:color w:val="auto"/>
                <w:szCs w:val="21"/>
                <w:highlight w:val="none"/>
              </w:rPr>
              <w:t>4-1</w:t>
            </w:r>
            <w:r>
              <w:rPr>
                <w:rFonts w:hint="eastAsia"/>
                <w:b/>
                <w:color w:val="auto"/>
                <w:szCs w:val="21"/>
                <w:highlight w:val="none"/>
                <w:lang w:val="en-US" w:eastAsia="zh-CN"/>
              </w:rPr>
              <w:t xml:space="preserve">1 </w:t>
            </w:r>
            <w:r>
              <w:rPr>
                <w:b/>
                <w:color w:val="auto"/>
                <w:szCs w:val="21"/>
                <w:highlight w:val="none"/>
                <w:lang w:val="zh-CN"/>
              </w:rPr>
              <w:t>环境监测计划</w:t>
            </w:r>
          </w:p>
          <w:tbl>
            <w:tblPr>
              <w:tblStyle w:val="42"/>
              <w:tblW w:w="8100"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070"/>
              <w:gridCol w:w="2542"/>
              <w:gridCol w:w="2619"/>
              <w:gridCol w:w="1869"/>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69" w:hRule="atLeast"/>
                <w:jc w:val="center"/>
              </w:trPr>
              <w:tc>
                <w:tcPr>
                  <w:tcW w:w="1070"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color w:val="auto"/>
                      <w:szCs w:val="21"/>
                      <w:highlight w:val="none"/>
                    </w:rPr>
                  </w:pPr>
                  <w:r>
                    <w:rPr>
                      <w:color w:val="auto"/>
                      <w:szCs w:val="21"/>
                      <w:highlight w:val="none"/>
                    </w:rPr>
                    <w:t>监测项目</w:t>
                  </w:r>
                </w:p>
              </w:tc>
              <w:tc>
                <w:tcPr>
                  <w:tcW w:w="2542"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color w:val="auto"/>
                      <w:szCs w:val="21"/>
                      <w:highlight w:val="none"/>
                    </w:rPr>
                  </w:pPr>
                  <w:r>
                    <w:rPr>
                      <w:color w:val="auto"/>
                      <w:szCs w:val="21"/>
                      <w:highlight w:val="none"/>
                    </w:rPr>
                    <w:t>监测点位</w:t>
                  </w:r>
                </w:p>
              </w:tc>
              <w:tc>
                <w:tcPr>
                  <w:tcW w:w="2619"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color w:val="auto"/>
                      <w:szCs w:val="21"/>
                      <w:highlight w:val="none"/>
                    </w:rPr>
                  </w:pPr>
                  <w:r>
                    <w:rPr>
                      <w:color w:val="auto"/>
                      <w:szCs w:val="21"/>
                      <w:highlight w:val="none"/>
                    </w:rPr>
                    <w:t>监测因子</w:t>
                  </w:r>
                </w:p>
              </w:tc>
              <w:tc>
                <w:tcPr>
                  <w:tcW w:w="1869"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color w:val="auto"/>
                      <w:szCs w:val="21"/>
                      <w:highlight w:val="none"/>
                    </w:rPr>
                  </w:pPr>
                  <w:r>
                    <w:rPr>
                      <w:color w:val="auto"/>
                      <w:szCs w:val="21"/>
                      <w:highlight w:val="none"/>
                    </w:rPr>
                    <w:t>监测频率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19" w:hRule="atLeast"/>
                <w:jc w:val="center"/>
              </w:trPr>
              <w:tc>
                <w:tcPr>
                  <w:tcW w:w="1070" w:type="dxa"/>
                  <w:tcBorders>
                    <w:top w:val="single" w:color="auto" w:sz="4" w:space="0"/>
                    <w:left w:val="single" w:color="auto" w:sz="4" w:space="0"/>
                    <w:right w:val="single" w:color="auto" w:sz="4" w:space="0"/>
                  </w:tcBorders>
                  <w:noWrap w:val="0"/>
                  <w:vAlign w:val="center"/>
                </w:tcPr>
                <w:p>
                  <w:pPr>
                    <w:adjustRightInd w:val="0"/>
                    <w:snapToGrid w:val="0"/>
                    <w:jc w:val="center"/>
                    <w:rPr>
                      <w:color w:val="auto"/>
                      <w:szCs w:val="21"/>
                      <w:highlight w:val="none"/>
                    </w:rPr>
                  </w:pPr>
                  <w:r>
                    <w:rPr>
                      <w:rFonts w:hint="eastAsia"/>
                      <w:color w:val="auto"/>
                      <w:szCs w:val="21"/>
                      <w:highlight w:val="none"/>
                      <w:lang w:eastAsia="zh-CN"/>
                    </w:rPr>
                    <w:t>噪声</w:t>
                  </w:r>
                </w:p>
              </w:tc>
              <w:tc>
                <w:tcPr>
                  <w:tcW w:w="2542"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spacing w:line="240" w:lineRule="auto"/>
                    <w:ind w:left="0" w:leftChars="0" w:firstLine="0" w:firstLineChars="0"/>
                    <w:jc w:val="center"/>
                    <w:rPr>
                      <w:color w:val="auto"/>
                      <w:szCs w:val="21"/>
                      <w:highlight w:val="none"/>
                    </w:rPr>
                  </w:pPr>
                  <w:r>
                    <w:rPr>
                      <w:rFonts w:hint="eastAsia" w:cs="Times New Roman"/>
                      <w:kern w:val="2"/>
                      <w:sz w:val="21"/>
                      <w:szCs w:val="21"/>
                      <w:highlight w:val="none"/>
                      <w:vertAlign w:val="baseline"/>
                      <w:lang w:val="en-US" w:eastAsia="zh-CN" w:bidi="ar-SA"/>
                    </w:rPr>
                    <w:t>项目厂界四周</w:t>
                  </w:r>
                </w:p>
              </w:tc>
              <w:tc>
                <w:tcPr>
                  <w:tcW w:w="2619" w:type="dxa"/>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eastAsia="宋体"/>
                      <w:color w:val="auto"/>
                      <w:szCs w:val="21"/>
                      <w:highlight w:val="none"/>
                      <w:lang w:val="en-US" w:eastAsia="zh-CN"/>
                    </w:rPr>
                  </w:pPr>
                  <w:r>
                    <w:rPr>
                      <w:color w:val="auto"/>
                      <w:szCs w:val="21"/>
                      <w:highlight w:val="none"/>
                    </w:rPr>
                    <w:t>等效连续A声级</w:t>
                  </w:r>
                </w:p>
              </w:tc>
              <w:tc>
                <w:tcPr>
                  <w:tcW w:w="1869" w:type="dxa"/>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eastAsia="宋体"/>
                      <w:color w:val="auto"/>
                      <w:szCs w:val="21"/>
                      <w:highlight w:val="none"/>
                      <w:lang w:val="en-US" w:eastAsia="zh-CN"/>
                    </w:rPr>
                  </w:pPr>
                  <w:r>
                    <w:rPr>
                      <w:rFonts w:hint="eastAsia"/>
                      <w:b w:val="0"/>
                      <w:bCs w:val="0"/>
                      <w:color w:val="auto"/>
                      <w:sz w:val="21"/>
                      <w:szCs w:val="24"/>
                      <w:highlight w:val="none"/>
                      <w:vertAlign w:val="baseline"/>
                      <w:lang w:val="en-US" w:eastAsia="zh-CN"/>
                    </w:rPr>
                    <w:t>1次/季度</w:t>
                  </w:r>
                </w:p>
              </w:tc>
            </w:tr>
          </w:tbl>
          <w:p>
            <w:pPr>
              <w:spacing w:line="360" w:lineRule="auto"/>
              <w:ind w:firstLine="442" w:firstLineChars="200"/>
              <w:rPr>
                <w:rFonts w:hint="default" w:ascii="Times New Roman" w:hAnsi="Times New Roman" w:cs="Times New Roman"/>
                <w:b/>
                <w:bCs/>
                <w:color w:val="auto"/>
                <w:sz w:val="22"/>
                <w:szCs w:val="21"/>
                <w:highlight w:val="none"/>
              </w:rPr>
            </w:pPr>
            <w:r>
              <w:rPr>
                <w:rFonts w:hint="default" w:ascii="Times New Roman" w:hAnsi="Times New Roman" w:cs="Times New Roman"/>
                <w:b/>
                <w:bCs/>
                <w:color w:val="auto"/>
                <w:sz w:val="22"/>
                <w:szCs w:val="21"/>
                <w:highlight w:val="none"/>
              </w:rPr>
              <w:t>4、固体废物</w:t>
            </w:r>
          </w:p>
          <w:p>
            <w:pPr>
              <w:spacing w:line="360" w:lineRule="auto"/>
              <w:ind w:firstLine="442" w:firstLineChars="200"/>
              <w:rPr>
                <w:rFonts w:hint="default" w:ascii="Times New Roman" w:hAnsi="Times New Roman" w:cs="Times New Roman"/>
                <w:b/>
                <w:bCs/>
                <w:color w:val="auto"/>
                <w:sz w:val="22"/>
                <w:szCs w:val="21"/>
                <w:highlight w:val="none"/>
              </w:rPr>
            </w:pPr>
            <w:r>
              <w:rPr>
                <w:rFonts w:hint="default" w:ascii="Times New Roman" w:hAnsi="Times New Roman" w:cs="Times New Roman"/>
                <w:b/>
                <w:bCs/>
                <w:color w:val="auto"/>
                <w:sz w:val="22"/>
                <w:szCs w:val="21"/>
                <w:highlight w:val="none"/>
              </w:rPr>
              <w:t>4.1 固体废物产排情况</w:t>
            </w:r>
          </w:p>
          <w:p>
            <w:pPr>
              <w:spacing w:line="360" w:lineRule="auto"/>
              <w:ind w:firstLine="440" w:firstLineChars="200"/>
              <w:rPr>
                <w:rFonts w:hint="eastAsia" w:ascii="Times New Roman" w:hAnsi="Times New Roman" w:eastAsia="宋体" w:cs="Times New Roman"/>
                <w:bCs/>
                <w:color w:val="auto"/>
                <w:sz w:val="22"/>
                <w:szCs w:val="22"/>
                <w:highlight w:val="yellow"/>
                <w:lang w:eastAsia="zh-CN"/>
              </w:rPr>
            </w:pPr>
            <w:r>
              <w:rPr>
                <w:rFonts w:hint="default" w:ascii="Times New Roman" w:hAnsi="Times New Roman" w:cs="Times New Roman"/>
                <w:bCs/>
                <w:color w:val="auto"/>
                <w:sz w:val="22"/>
                <w:szCs w:val="22"/>
                <w:highlight w:val="none"/>
              </w:rPr>
              <w:t>项目生产过程中产生的固体废物主要为员工生活垃圾、</w:t>
            </w:r>
            <w:r>
              <w:rPr>
                <w:rFonts w:hint="eastAsia" w:ascii="Times New Roman" w:hAnsi="Times New Roman" w:cs="Times New Roman"/>
                <w:bCs/>
                <w:color w:val="auto"/>
                <w:sz w:val="22"/>
                <w:szCs w:val="22"/>
                <w:highlight w:val="none"/>
                <w:lang w:eastAsia="zh-CN"/>
              </w:rPr>
              <w:t>边角料（包括玻璃、</w:t>
            </w:r>
            <w:r>
              <w:rPr>
                <w:rFonts w:hint="eastAsia" w:ascii="Times New Roman" w:hAnsi="Times New Roman" w:cs="Times New Roman"/>
                <w:bCs/>
                <w:color w:val="auto"/>
                <w:sz w:val="22"/>
                <w:szCs w:val="22"/>
                <w:highlight w:val="none"/>
                <w:lang w:val="en-US" w:eastAsia="zh-CN"/>
              </w:rPr>
              <w:t>PVB</w:t>
            </w:r>
            <w:r>
              <w:rPr>
                <w:rFonts w:hint="eastAsia" w:ascii="Times New Roman" w:hAnsi="Times New Roman" w:cs="Times New Roman"/>
                <w:bCs/>
                <w:color w:val="auto"/>
                <w:sz w:val="22"/>
                <w:szCs w:val="22"/>
                <w:highlight w:val="none"/>
                <w:lang w:eastAsia="zh-CN"/>
              </w:rPr>
              <w:t>胶片）</w:t>
            </w:r>
            <w:r>
              <w:rPr>
                <w:rFonts w:hint="eastAsia" w:ascii="Times New Roman" w:hAnsi="Times New Roman" w:cs="Times New Roman"/>
                <w:color w:val="auto"/>
                <w:kern w:val="2"/>
                <w:sz w:val="22"/>
                <w:szCs w:val="21"/>
                <w:highlight w:val="none"/>
                <w:lang w:val="en-US" w:eastAsia="zh-CN" w:bidi="ar-SA"/>
              </w:rPr>
              <w:t>和不合格产品</w:t>
            </w:r>
            <w:r>
              <w:rPr>
                <w:rFonts w:hint="eastAsia" w:ascii="Times New Roman" w:hAnsi="Times New Roman" w:cs="Times New Roman"/>
                <w:bCs/>
                <w:color w:val="auto"/>
                <w:sz w:val="22"/>
                <w:szCs w:val="22"/>
                <w:highlight w:val="none"/>
                <w:lang w:eastAsia="zh-CN"/>
              </w:rPr>
              <w:t>、水池沉渣、原料外包装、废漆料桶（油漆、稀释剂、固化剂）、废活性炭、废滤料、漆渣、设备检修维护产生的废机油</w:t>
            </w:r>
            <w:r>
              <w:rPr>
                <w:rFonts w:hint="default" w:ascii="Times New Roman" w:hAnsi="Times New Roman" w:cs="Times New Roman"/>
                <w:bCs/>
                <w:color w:val="auto"/>
                <w:sz w:val="22"/>
                <w:szCs w:val="22"/>
                <w:highlight w:val="none"/>
                <w:lang w:val="en-US" w:eastAsia="zh-CN"/>
              </w:rPr>
              <w:t>及含油棉纱手套</w:t>
            </w:r>
            <w:r>
              <w:rPr>
                <w:rFonts w:hint="default" w:ascii="Times New Roman" w:hAnsi="Times New Roman" w:cs="Times New Roman"/>
                <w:bCs/>
                <w:color w:val="auto"/>
                <w:sz w:val="22"/>
                <w:szCs w:val="22"/>
                <w:highlight w:val="none"/>
              </w:rPr>
              <w:t>。</w:t>
            </w:r>
            <w:r>
              <w:rPr>
                <w:rFonts w:hint="eastAsia" w:ascii="Times New Roman" w:hAnsi="Times New Roman" w:cs="Times New Roman"/>
                <w:bCs/>
                <w:color w:val="auto"/>
                <w:sz w:val="22"/>
                <w:szCs w:val="22"/>
                <w:highlight w:val="none"/>
                <w:lang w:eastAsia="zh-CN"/>
              </w:rPr>
              <w:t>项目在</w:t>
            </w:r>
            <w:r>
              <w:rPr>
                <w:rFonts w:hint="eastAsia" w:ascii="Times New Roman" w:hAnsi="Times New Roman" w:cs="Times New Roman"/>
                <w:bCs/>
                <w:color w:val="auto"/>
                <w:sz w:val="22"/>
                <w:szCs w:val="22"/>
                <w:highlight w:val="none"/>
                <w:lang w:val="en-US" w:eastAsia="zh-CN"/>
              </w:rPr>
              <w:t>生产车间内</w:t>
            </w:r>
            <w:r>
              <w:rPr>
                <w:rFonts w:hint="eastAsia" w:ascii="Times New Roman" w:hAnsi="Times New Roman" w:cs="Times New Roman"/>
                <w:bCs/>
                <w:color w:val="auto"/>
                <w:sz w:val="22"/>
                <w:szCs w:val="22"/>
                <w:highlight w:val="none"/>
                <w:lang w:eastAsia="zh-CN"/>
              </w:rPr>
              <w:t>设置1个约</w:t>
            </w:r>
            <w:r>
              <w:rPr>
                <w:rFonts w:hint="eastAsia" w:ascii="Times New Roman" w:hAnsi="Times New Roman" w:cs="Times New Roman"/>
                <w:bCs/>
                <w:color w:val="auto"/>
                <w:sz w:val="22"/>
                <w:szCs w:val="22"/>
                <w:highlight w:val="none"/>
                <w:lang w:val="en-US" w:eastAsia="zh-CN"/>
              </w:rPr>
              <w:t>5m</w:t>
            </w:r>
            <w:r>
              <w:rPr>
                <w:rFonts w:hint="eastAsia" w:ascii="Times New Roman" w:hAnsi="Times New Roman" w:cs="Times New Roman"/>
                <w:bCs/>
                <w:color w:val="auto"/>
                <w:sz w:val="22"/>
                <w:szCs w:val="22"/>
                <w:highlight w:val="none"/>
                <w:vertAlign w:val="superscript"/>
                <w:lang w:val="en-US" w:eastAsia="zh-CN"/>
              </w:rPr>
              <w:t>2</w:t>
            </w:r>
            <w:r>
              <w:rPr>
                <w:rFonts w:hint="eastAsia" w:ascii="Times New Roman" w:hAnsi="Times New Roman" w:cs="Times New Roman"/>
                <w:bCs/>
                <w:color w:val="auto"/>
                <w:sz w:val="22"/>
                <w:szCs w:val="22"/>
                <w:highlight w:val="none"/>
                <w:lang w:val="en-US" w:eastAsia="zh-CN"/>
              </w:rPr>
              <w:t>的</w:t>
            </w:r>
            <w:r>
              <w:rPr>
                <w:rFonts w:hint="eastAsia" w:ascii="Times New Roman" w:hAnsi="Times New Roman" w:cs="Times New Roman"/>
                <w:bCs/>
                <w:color w:val="auto"/>
                <w:sz w:val="22"/>
                <w:szCs w:val="22"/>
                <w:highlight w:val="none"/>
                <w:lang w:eastAsia="zh-CN"/>
              </w:rPr>
              <w:t>危废暂存间。</w:t>
            </w:r>
          </w:p>
          <w:p>
            <w:pPr>
              <w:spacing w:line="360" w:lineRule="auto"/>
              <w:ind w:firstLine="440" w:firstLineChars="200"/>
              <w:rPr>
                <w:rFonts w:hint="default" w:ascii="Times New Roman" w:hAnsi="Times New Roman" w:cs="Times New Roman"/>
                <w:bCs/>
                <w:color w:val="auto"/>
                <w:sz w:val="22"/>
                <w:szCs w:val="22"/>
                <w:highlight w:val="none"/>
              </w:rPr>
            </w:pPr>
            <w:r>
              <w:rPr>
                <w:rFonts w:hint="default" w:ascii="Times New Roman" w:hAnsi="Times New Roman" w:cs="Times New Roman"/>
                <w:bCs/>
                <w:color w:val="auto"/>
                <w:sz w:val="22"/>
                <w:szCs w:val="22"/>
                <w:highlight w:val="none"/>
              </w:rPr>
              <w:t>（1）生活垃圾</w:t>
            </w:r>
          </w:p>
          <w:p>
            <w:pPr>
              <w:spacing w:line="360" w:lineRule="auto"/>
              <w:ind w:firstLine="465"/>
              <w:jc w:val="left"/>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项目定员</w:t>
            </w:r>
            <w:r>
              <w:rPr>
                <w:rFonts w:hint="eastAsia" w:ascii="Times New Roman" w:hAnsi="Times New Roman" w:cs="Times New Roman"/>
                <w:color w:val="auto"/>
                <w:sz w:val="22"/>
                <w:szCs w:val="22"/>
                <w:highlight w:val="none"/>
                <w:lang w:val="en-US" w:eastAsia="zh-CN"/>
              </w:rPr>
              <w:t>30</w:t>
            </w:r>
            <w:r>
              <w:rPr>
                <w:rFonts w:hint="default" w:ascii="Times New Roman" w:hAnsi="Times New Roman" w:cs="Times New Roman"/>
                <w:color w:val="auto"/>
                <w:sz w:val="22"/>
                <w:szCs w:val="22"/>
                <w:highlight w:val="none"/>
              </w:rPr>
              <w:t>人，办公生活垃圾产生量按0.5kg/人.d计算，则办公生活垃圾产生量为</w:t>
            </w:r>
            <w:r>
              <w:rPr>
                <w:rFonts w:hint="eastAsia" w:ascii="Times New Roman" w:hAnsi="Times New Roman" w:cs="Times New Roman"/>
                <w:color w:val="auto"/>
                <w:sz w:val="22"/>
                <w:szCs w:val="22"/>
                <w:highlight w:val="none"/>
                <w:lang w:val="en-US" w:eastAsia="zh-CN"/>
              </w:rPr>
              <w:t>4.5</w:t>
            </w:r>
            <w:r>
              <w:rPr>
                <w:rFonts w:hint="default" w:ascii="Times New Roman" w:hAnsi="Times New Roman" w:cs="Times New Roman"/>
                <w:color w:val="auto"/>
                <w:sz w:val="22"/>
                <w:szCs w:val="22"/>
                <w:highlight w:val="none"/>
              </w:rPr>
              <w:t>t/a，</w:t>
            </w:r>
            <w:r>
              <w:rPr>
                <w:rFonts w:hint="default" w:ascii="Times New Roman" w:hAnsi="Times New Roman" w:cs="Times New Roman"/>
                <w:color w:val="auto"/>
                <w:sz w:val="22"/>
                <w:szCs w:val="22"/>
                <w:highlight w:val="none"/>
                <w:lang w:eastAsia="zh-CN"/>
              </w:rPr>
              <w:t>交由</w:t>
            </w:r>
            <w:r>
              <w:rPr>
                <w:rFonts w:hint="default" w:ascii="Times New Roman" w:hAnsi="Times New Roman" w:cs="Times New Roman"/>
                <w:color w:val="auto"/>
                <w:sz w:val="22"/>
                <w:szCs w:val="22"/>
                <w:highlight w:val="none"/>
              </w:rPr>
              <w:t>环卫部门</w:t>
            </w:r>
            <w:r>
              <w:rPr>
                <w:rFonts w:hint="default" w:ascii="Times New Roman" w:hAnsi="Times New Roman" w:cs="Times New Roman"/>
                <w:color w:val="auto"/>
                <w:sz w:val="22"/>
                <w:szCs w:val="22"/>
                <w:highlight w:val="none"/>
                <w:lang w:eastAsia="zh-CN"/>
              </w:rPr>
              <w:t>统一</w:t>
            </w:r>
            <w:r>
              <w:rPr>
                <w:rFonts w:hint="default" w:ascii="Times New Roman" w:hAnsi="Times New Roman" w:cs="Times New Roman"/>
                <w:color w:val="auto"/>
                <w:sz w:val="22"/>
                <w:szCs w:val="22"/>
                <w:highlight w:val="none"/>
              </w:rPr>
              <w:t>清运</w:t>
            </w:r>
            <w:r>
              <w:rPr>
                <w:rFonts w:hint="default" w:ascii="Times New Roman" w:hAnsi="Times New Roman" w:cs="Times New Roman"/>
                <w:color w:val="auto"/>
                <w:sz w:val="22"/>
                <w:szCs w:val="22"/>
                <w:highlight w:val="none"/>
                <w:lang w:eastAsia="zh-CN"/>
              </w:rPr>
              <w:t>处置</w:t>
            </w:r>
            <w:r>
              <w:rPr>
                <w:rFonts w:hint="default" w:ascii="Times New Roman" w:hAnsi="Times New Roman" w:cs="Times New Roman"/>
                <w:color w:val="auto"/>
                <w:sz w:val="22"/>
                <w:szCs w:val="22"/>
                <w:highlight w:val="none"/>
              </w:rPr>
              <w:t>。</w:t>
            </w:r>
          </w:p>
          <w:p>
            <w:pPr>
              <w:spacing w:line="360" w:lineRule="auto"/>
              <w:ind w:firstLine="440" w:firstLineChars="200"/>
              <w:rPr>
                <w:rFonts w:hint="default" w:ascii="Times New Roman" w:hAnsi="Times New Roman" w:cs="Times New Roman"/>
                <w:bCs/>
                <w:color w:val="auto"/>
                <w:sz w:val="22"/>
                <w:szCs w:val="22"/>
                <w:highlight w:val="none"/>
              </w:rPr>
            </w:pPr>
            <w:r>
              <w:rPr>
                <w:rFonts w:hint="default" w:ascii="Times New Roman" w:hAnsi="Times New Roman" w:cs="Times New Roman"/>
                <w:bCs/>
                <w:color w:val="auto"/>
                <w:sz w:val="22"/>
                <w:szCs w:val="22"/>
                <w:highlight w:val="none"/>
              </w:rPr>
              <w:t>（2）</w:t>
            </w:r>
            <w:r>
              <w:rPr>
                <w:rFonts w:hint="eastAsia" w:ascii="Times New Roman" w:hAnsi="Times New Roman" w:cs="Times New Roman"/>
                <w:bCs/>
                <w:color w:val="auto"/>
                <w:sz w:val="22"/>
                <w:szCs w:val="22"/>
                <w:highlight w:val="none"/>
                <w:lang w:eastAsia="zh-CN"/>
              </w:rPr>
              <w:t>边角料</w:t>
            </w:r>
            <w:r>
              <w:rPr>
                <w:rFonts w:hint="eastAsia" w:ascii="Times New Roman" w:hAnsi="Times New Roman" w:cs="Times New Roman"/>
                <w:color w:val="auto"/>
                <w:kern w:val="2"/>
                <w:sz w:val="22"/>
                <w:szCs w:val="21"/>
                <w:highlight w:val="none"/>
                <w:lang w:val="en-US" w:eastAsia="zh-CN" w:bidi="ar-SA"/>
              </w:rPr>
              <w:t>和不合格产品</w:t>
            </w:r>
          </w:p>
          <w:p>
            <w:pPr>
              <w:spacing w:line="360" w:lineRule="auto"/>
              <w:ind w:firstLine="440" w:firstLineChars="200"/>
              <w:rPr>
                <w:rFonts w:hint="default" w:ascii="Times New Roman" w:hAnsi="Times New Roman" w:cs="Times New Roman"/>
                <w:bCs/>
                <w:color w:val="auto"/>
                <w:sz w:val="22"/>
                <w:szCs w:val="22"/>
                <w:highlight w:val="none"/>
                <w:lang w:val="en-US" w:eastAsia="zh-CN"/>
              </w:rPr>
            </w:pPr>
            <w:r>
              <w:rPr>
                <w:rFonts w:hint="default" w:ascii="Times New Roman" w:hAnsi="Times New Roman" w:cs="Times New Roman"/>
                <w:bCs/>
                <w:color w:val="auto"/>
                <w:sz w:val="22"/>
                <w:szCs w:val="22"/>
                <w:highlight w:val="none"/>
                <w:lang w:eastAsia="zh-CN"/>
              </w:rPr>
              <w:t>根据生态环境部关于发布《排放源统计调查产排污核算方法和系数手册》的公告（公告2021年第24号）中“</w:t>
            </w:r>
            <w:r>
              <w:rPr>
                <w:rFonts w:hint="eastAsia" w:ascii="Times New Roman" w:hAnsi="Times New Roman" w:cs="Times New Roman"/>
                <w:bCs/>
                <w:color w:val="auto"/>
                <w:sz w:val="22"/>
                <w:szCs w:val="22"/>
                <w:highlight w:val="none"/>
                <w:lang w:val="en-US" w:eastAsia="zh-CN"/>
              </w:rPr>
              <w:t>304玻璃制造</w:t>
            </w:r>
            <w:r>
              <w:rPr>
                <w:rFonts w:hint="default" w:ascii="Times New Roman" w:hAnsi="Times New Roman" w:cs="Times New Roman"/>
                <w:bCs/>
                <w:color w:val="auto"/>
                <w:sz w:val="22"/>
                <w:szCs w:val="22"/>
                <w:highlight w:val="none"/>
                <w:lang w:eastAsia="zh-CN"/>
              </w:rPr>
              <w:t>行业系数手册”，</w:t>
            </w:r>
            <w:r>
              <w:rPr>
                <w:rFonts w:hint="eastAsia" w:ascii="Times New Roman" w:hAnsi="Times New Roman" w:cs="Times New Roman"/>
                <w:bCs/>
                <w:color w:val="auto"/>
                <w:sz w:val="22"/>
                <w:szCs w:val="22"/>
                <w:highlight w:val="none"/>
                <w:lang w:val="en-US" w:eastAsia="zh-CN"/>
              </w:rPr>
              <w:t>3042</w:t>
            </w:r>
            <w:r>
              <w:rPr>
                <w:rFonts w:hint="eastAsia" w:ascii="Times New Roman" w:hAnsi="Times New Roman" w:cs="Times New Roman"/>
                <w:bCs/>
                <w:color w:val="auto"/>
                <w:sz w:val="22"/>
                <w:szCs w:val="22"/>
                <w:highlight w:val="none"/>
                <w:lang w:eastAsia="zh-CN"/>
              </w:rPr>
              <w:t>特种玻璃制造行业中夹层玻璃</w:t>
            </w:r>
            <w:r>
              <w:rPr>
                <w:rFonts w:hint="default" w:ascii="Times New Roman" w:hAnsi="Times New Roman" w:cs="Times New Roman"/>
                <w:bCs/>
                <w:color w:val="auto"/>
                <w:sz w:val="22"/>
                <w:szCs w:val="22"/>
                <w:highlight w:val="none"/>
                <w:lang w:eastAsia="zh-CN"/>
              </w:rPr>
              <w:t>一般固废产污系数为</w:t>
            </w:r>
            <w:r>
              <w:rPr>
                <w:rFonts w:hint="eastAsia" w:ascii="Times New Roman" w:hAnsi="Times New Roman" w:cs="Times New Roman"/>
                <w:bCs/>
                <w:color w:val="auto"/>
                <w:sz w:val="22"/>
                <w:szCs w:val="22"/>
                <w:highlight w:val="none"/>
                <w:lang w:val="en-US" w:eastAsia="zh-CN"/>
              </w:rPr>
              <w:t>0.00063</w:t>
            </w:r>
            <w:r>
              <w:rPr>
                <w:rFonts w:hint="eastAsia" w:ascii="Times New Roman" w:hAnsi="Times New Roman" w:cs="Times New Roman"/>
                <w:bCs/>
                <w:color w:val="auto"/>
                <w:sz w:val="22"/>
                <w:szCs w:val="22"/>
                <w:highlight w:val="none"/>
                <w:lang w:eastAsia="zh-CN"/>
              </w:rPr>
              <w:t>吨</w:t>
            </w:r>
            <w:r>
              <w:rPr>
                <w:rFonts w:hint="default" w:ascii="Times New Roman" w:hAnsi="Times New Roman" w:cs="Times New Roman"/>
                <w:bCs/>
                <w:color w:val="auto"/>
                <w:sz w:val="22"/>
                <w:szCs w:val="22"/>
                <w:highlight w:val="none"/>
                <w:lang w:eastAsia="zh-CN"/>
              </w:rPr>
              <w:t>/</w:t>
            </w:r>
            <w:r>
              <w:rPr>
                <w:rFonts w:hint="eastAsia" w:ascii="Times New Roman" w:hAnsi="Times New Roman" w:cs="Times New Roman"/>
                <w:bCs/>
                <w:color w:val="auto"/>
                <w:sz w:val="22"/>
                <w:szCs w:val="22"/>
                <w:highlight w:val="none"/>
                <w:lang w:eastAsia="zh-CN"/>
              </w:rPr>
              <w:t>平方米</w:t>
            </w:r>
            <w:r>
              <w:rPr>
                <w:rFonts w:hint="default" w:ascii="Times New Roman" w:hAnsi="Times New Roman" w:cs="Times New Roman"/>
                <w:bCs/>
                <w:color w:val="auto"/>
                <w:sz w:val="22"/>
                <w:szCs w:val="22"/>
                <w:highlight w:val="none"/>
                <w:lang w:eastAsia="zh-CN"/>
              </w:rPr>
              <w:t>-产品</w:t>
            </w:r>
            <w:r>
              <w:rPr>
                <w:rFonts w:hint="eastAsia" w:ascii="Times New Roman" w:hAnsi="Times New Roman" w:cs="Times New Roman"/>
                <w:bCs/>
                <w:color w:val="auto"/>
                <w:sz w:val="22"/>
                <w:szCs w:val="22"/>
                <w:highlight w:val="none"/>
                <w:lang w:eastAsia="zh-CN"/>
              </w:rPr>
              <w:t>，本项目年产</w:t>
            </w:r>
            <w:r>
              <w:rPr>
                <w:rFonts w:hint="eastAsia" w:ascii="Times New Roman" w:hAnsi="Times New Roman" w:cs="Times New Roman"/>
                <w:bCs/>
                <w:color w:val="auto"/>
                <w:sz w:val="22"/>
                <w:szCs w:val="22"/>
                <w:highlight w:val="none"/>
                <w:lang w:val="en-US" w:eastAsia="zh-CN"/>
              </w:rPr>
              <w:t>夹层玻璃8万平方米，则项目一般固废（边角料和不合格产品）产生量为50.4t/a，统一收集后外售或厂家回收。</w:t>
            </w:r>
          </w:p>
          <w:p>
            <w:pPr>
              <w:spacing w:line="360" w:lineRule="auto"/>
              <w:ind w:firstLine="440" w:firstLineChars="200"/>
              <w:rPr>
                <w:rFonts w:hint="eastAsia" w:ascii="Times New Roman" w:hAnsi="Times New Roman" w:cs="Times New Roman"/>
                <w:bCs/>
                <w:color w:val="auto"/>
                <w:sz w:val="22"/>
                <w:szCs w:val="22"/>
                <w:highlight w:val="none"/>
                <w:lang w:eastAsia="zh-CN"/>
              </w:rPr>
            </w:pPr>
            <w:r>
              <w:rPr>
                <w:rFonts w:hint="default" w:ascii="Times New Roman" w:hAnsi="Times New Roman" w:cs="Times New Roman"/>
                <w:bCs/>
                <w:color w:val="auto"/>
                <w:sz w:val="22"/>
                <w:szCs w:val="22"/>
                <w:highlight w:val="none"/>
              </w:rPr>
              <w:t>（</w:t>
            </w:r>
            <w:r>
              <w:rPr>
                <w:rFonts w:hint="eastAsia" w:ascii="Times New Roman" w:hAnsi="Times New Roman" w:cs="Times New Roman"/>
                <w:bCs/>
                <w:color w:val="auto"/>
                <w:sz w:val="22"/>
                <w:szCs w:val="22"/>
                <w:highlight w:val="none"/>
                <w:lang w:val="en-US" w:eastAsia="zh-CN"/>
              </w:rPr>
              <w:t>3</w:t>
            </w:r>
            <w:r>
              <w:rPr>
                <w:rFonts w:hint="default" w:ascii="Times New Roman" w:hAnsi="Times New Roman" w:cs="Times New Roman"/>
                <w:bCs/>
                <w:color w:val="auto"/>
                <w:sz w:val="22"/>
                <w:szCs w:val="22"/>
                <w:highlight w:val="none"/>
              </w:rPr>
              <w:t>）</w:t>
            </w:r>
            <w:r>
              <w:rPr>
                <w:rFonts w:hint="eastAsia" w:ascii="Times New Roman" w:hAnsi="Times New Roman" w:cs="Times New Roman"/>
                <w:bCs/>
                <w:color w:val="auto"/>
                <w:sz w:val="22"/>
                <w:szCs w:val="22"/>
                <w:highlight w:val="none"/>
                <w:lang w:eastAsia="zh-CN"/>
              </w:rPr>
              <w:t>水池沉渣</w:t>
            </w:r>
          </w:p>
          <w:p>
            <w:pPr>
              <w:spacing w:line="360" w:lineRule="auto"/>
              <w:ind w:firstLine="440" w:firstLineChars="200"/>
              <w:rPr>
                <w:rFonts w:hint="eastAsia" w:ascii="Times New Roman" w:hAnsi="Times New Roman" w:cs="Times New Roman"/>
                <w:bCs/>
                <w:color w:val="auto"/>
                <w:sz w:val="22"/>
                <w:szCs w:val="22"/>
                <w:highlight w:val="none"/>
                <w:lang w:val="en-US" w:eastAsia="zh-CN"/>
              </w:rPr>
            </w:pPr>
            <w:r>
              <w:rPr>
                <w:rFonts w:hint="eastAsia" w:ascii="Times New Roman" w:hAnsi="Times New Roman" w:cs="Times New Roman"/>
                <w:bCs/>
                <w:color w:val="auto"/>
                <w:sz w:val="22"/>
                <w:szCs w:val="22"/>
                <w:highlight w:val="none"/>
                <w:lang w:eastAsia="zh-CN"/>
              </w:rPr>
              <w:t>根据同类行业类比分析，沉渣产生量约为</w:t>
            </w:r>
            <w:r>
              <w:rPr>
                <w:rFonts w:hint="eastAsia" w:ascii="Times New Roman" w:hAnsi="Times New Roman" w:cs="Times New Roman"/>
                <w:bCs/>
                <w:color w:val="auto"/>
                <w:sz w:val="22"/>
                <w:szCs w:val="22"/>
                <w:highlight w:val="none"/>
                <w:lang w:val="en-US" w:eastAsia="zh-CN"/>
              </w:rPr>
              <w:t>4.6t/a，主要为玻璃粉末，交由当地环卫部门</w:t>
            </w:r>
            <w:r>
              <w:rPr>
                <w:rFonts w:hint="default" w:ascii="Times New Roman" w:hAnsi="Times New Roman" w:cs="Times New Roman"/>
                <w:color w:val="auto"/>
                <w:sz w:val="22"/>
                <w:szCs w:val="22"/>
                <w:highlight w:val="none"/>
                <w:lang w:eastAsia="zh-CN"/>
              </w:rPr>
              <w:t>统一</w:t>
            </w:r>
            <w:r>
              <w:rPr>
                <w:rFonts w:hint="default" w:ascii="Times New Roman" w:hAnsi="Times New Roman" w:cs="Times New Roman"/>
                <w:color w:val="auto"/>
                <w:sz w:val="22"/>
                <w:szCs w:val="22"/>
                <w:highlight w:val="none"/>
              </w:rPr>
              <w:t>清运</w:t>
            </w:r>
            <w:r>
              <w:rPr>
                <w:rFonts w:hint="default" w:ascii="Times New Roman" w:hAnsi="Times New Roman" w:cs="Times New Roman"/>
                <w:color w:val="auto"/>
                <w:sz w:val="22"/>
                <w:szCs w:val="22"/>
                <w:highlight w:val="none"/>
                <w:lang w:eastAsia="zh-CN"/>
              </w:rPr>
              <w:t>处置</w:t>
            </w:r>
            <w:r>
              <w:rPr>
                <w:rFonts w:hint="default" w:ascii="Times New Roman" w:hAnsi="Times New Roman" w:cs="Times New Roman"/>
                <w:color w:val="auto"/>
                <w:sz w:val="22"/>
                <w:szCs w:val="22"/>
                <w:highlight w:val="none"/>
              </w:rPr>
              <w:t>。</w:t>
            </w:r>
          </w:p>
          <w:p>
            <w:pPr>
              <w:spacing w:line="360" w:lineRule="auto"/>
              <w:ind w:firstLine="440" w:firstLineChars="200"/>
              <w:rPr>
                <w:rFonts w:hint="default" w:ascii="Times New Roman" w:hAnsi="Times New Roman" w:cs="Times New Roman"/>
                <w:bCs/>
                <w:color w:val="auto"/>
                <w:sz w:val="22"/>
                <w:szCs w:val="22"/>
                <w:highlight w:val="none"/>
                <w:lang w:val="en-US" w:eastAsia="zh-CN"/>
              </w:rPr>
            </w:pPr>
            <w:r>
              <w:rPr>
                <w:rFonts w:hint="eastAsia" w:ascii="Times New Roman" w:hAnsi="Times New Roman" w:cs="Times New Roman"/>
                <w:bCs/>
                <w:color w:val="auto"/>
                <w:sz w:val="22"/>
                <w:szCs w:val="22"/>
                <w:highlight w:val="none"/>
                <w:lang w:eastAsia="zh-CN"/>
              </w:rPr>
              <w:t>（</w:t>
            </w:r>
            <w:r>
              <w:rPr>
                <w:rFonts w:hint="eastAsia" w:ascii="Times New Roman" w:hAnsi="Times New Roman" w:cs="Times New Roman"/>
                <w:bCs/>
                <w:color w:val="auto"/>
                <w:sz w:val="22"/>
                <w:szCs w:val="22"/>
                <w:highlight w:val="none"/>
                <w:lang w:val="en-US" w:eastAsia="zh-CN"/>
              </w:rPr>
              <w:t>4</w:t>
            </w:r>
            <w:r>
              <w:rPr>
                <w:rFonts w:hint="eastAsia" w:ascii="Times New Roman" w:hAnsi="Times New Roman" w:cs="Times New Roman"/>
                <w:bCs/>
                <w:color w:val="auto"/>
                <w:sz w:val="22"/>
                <w:szCs w:val="22"/>
                <w:highlight w:val="none"/>
                <w:lang w:eastAsia="zh-CN"/>
              </w:rPr>
              <w:t>）</w:t>
            </w:r>
            <w:r>
              <w:rPr>
                <w:rFonts w:hint="eastAsia" w:ascii="Times New Roman" w:hAnsi="Times New Roman" w:cs="Times New Roman"/>
                <w:bCs/>
                <w:color w:val="auto"/>
                <w:sz w:val="22"/>
                <w:szCs w:val="22"/>
                <w:highlight w:val="none"/>
                <w:lang w:val="en-US" w:eastAsia="zh-CN"/>
              </w:rPr>
              <w:t>包装材料</w:t>
            </w:r>
          </w:p>
          <w:p>
            <w:pPr>
              <w:spacing w:line="360" w:lineRule="auto"/>
              <w:ind w:firstLine="440" w:firstLineChars="200"/>
              <w:rPr>
                <w:rFonts w:hint="default" w:ascii="Times New Roman" w:hAnsi="Times New Roman" w:cs="Times New Roman"/>
                <w:bCs/>
                <w:color w:val="auto"/>
                <w:sz w:val="22"/>
                <w:szCs w:val="22"/>
                <w:highlight w:val="none"/>
                <w:lang w:eastAsia="zh-CN"/>
              </w:rPr>
            </w:pPr>
            <w:r>
              <w:rPr>
                <w:rFonts w:hint="eastAsia" w:ascii="Times New Roman" w:hAnsi="Times New Roman" w:cs="Times New Roman"/>
                <w:bCs/>
                <w:color w:val="auto"/>
                <w:sz w:val="22"/>
                <w:szCs w:val="22"/>
                <w:highlight w:val="none"/>
                <w:lang w:val="en-US" w:eastAsia="zh-CN"/>
              </w:rPr>
              <w:t>PVB</w:t>
            </w:r>
            <w:r>
              <w:rPr>
                <w:rFonts w:hint="default" w:ascii="Times New Roman" w:hAnsi="Times New Roman" w:cs="Times New Roman"/>
                <w:bCs/>
                <w:color w:val="auto"/>
                <w:sz w:val="22"/>
                <w:szCs w:val="22"/>
                <w:highlight w:val="none"/>
                <w:lang w:eastAsia="zh-CN"/>
              </w:rPr>
              <w:t>胶片等原料产生的外包装材料，产生量约</w:t>
            </w:r>
            <w:r>
              <w:rPr>
                <w:rFonts w:hint="eastAsia" w:ascii="Times New Roman" w:hAnsi="Times New Roman" w:cs="Times New Roman"/>
                <w:bCs/>
                <w:color w:val="auto"/>
                <w:sz w:val="22"/>
                <w:szCs w:val="22"/>
                <w:highlight w:val="none"/>
                <w:lang w:val="en-US" w:eastAsia="zh-CN"/>
              </w:rPr>
              <w:t>0.5</w:t>
            </w:r>
            <w:r>
              <w:rPr>
                <w:rFonts w:hint="default" w:ascii="Times New Roman" w:hAnsi="Times New Roman" w:cs="Times New Roman"/>
                <w:bCs/>
                <w:color w:val="auto"/>
                <w:sz w:val="22"/>
                <w:szCs w:val="22"/>
                <w:highlight w:val="none"/>
                <w:lang w:eastAsia="zh-CN"/>
              </w:rPr>
              <w:t>t/a，统一收集后外售。</w:t>
            </w:r>
          </w:p>
          <w:p>
            <w:pPr>
              <w:spacing w:line="360" w:lineRule="auto"/>
              <w:ind w:firstLine="440" w:firstLineChars="200"/>
              <w:rPr>
                <w:rFonts w:hint="default" w:ascii="Times New Roman" w:hAnsi="Times New Roman" w:eastAsia="宋体" w:cs="Times New Roman"/>
                <w:bCs/>
                <w:color w:val="auto"/>
                <w:sz w:val="22"/>
                <w:szCs w:val="22"/>
                <w:highlight w:val="none"/>
                <w:lang w:eastAsia="zh-CN"/>
              </w:rPr>
            </w:pPr>
            <w:r>
              <w:rPr>
                <w:rFonts w:hint="default" w:ascii="Times New Roman" w:hAnsi="Times New Roman" w:cs="Times New Roman"/>
                <w:bCs/>
                <w:color w:val="auto"/>
                <w:sz w:val="22"/>
                <w:szCs w:val="22"/>
                <w:highlight w:val="none"/>
                <w:lang w:eastAsia="zh-CN"/>
              </w:rPr>
              <w:t>（</w:t>
            </w:r>
            <w:r>
              <w:rPr>
                <w:rFonts w:hint="eastAsia" w:ascii="Times New Roman" w:hAnsi="Times New Roman" w:cs="Times New Roman"/>
                <w:bCs/>
                <w:color w:val="auto"/>
                <w:sz w:val="22"/>
                <w:szCs w:val="22"/>
                <w:highlight w:val="none"/>
                <w:lang w:val="en-US" w:eastAsia="zh-CN"/>
              </w:rPr>
              <w:t>5</w:t>
            </w:r>
            <w:r>
              <w:rPr>
                <w:rFonts w:hint="default" w:ascii="Times New Roman" w:hAnsi="Times New Roman" w:cs="Times New Roman"/>
                <w:bCs/>
                <w:color w:val="auto"/>
                <w:sz w:val="22"/>
                <w:szCs w:val="22"/>
                <w:highlight w:val="none"/>
                <w:lang w:eastAsia="zh-CN"/>
              </w:rPr>
              <w:t>）危险废物</w:t>
            </w:r>
          </w:p>
          <w:p>
            <w:pPr>
              <w:spacing w:line="360" w:lineRule="auto"/>
              <w:ind w:firstLine="440" w:firstLineChars="200"/>
              <w:rPr>
                <w:rFonts w:hint="default" w:ascii="Times New Roman" w:hAnsi="Times New Roman" w:cs="Times New Roman"/>
                <w:bCs/>
                <w:color w:val="auto"/>
                <w:sz w:val="22"/>
                <w:szCs w:val="22"/>
                <w:highlight w:val="none"/>
                <w:lang w:val="en-US" w:eastAsia="zh-CN"/>
              </w:rPr>
            </w:pPr>
            <w:r>
              <w:rPr>
                <w:rFonts w:hint="eastAsia" w:ascii="Times New Roman" w:hAnsi="Times New Roman" w:cs="Times New Roman"/>
                <w:bCs/>
                <w:color w:val="auto"/>
                <w:sz w:val="22"/>
                <w:szCs w:val="22"/>
                <w:highlight w:val="none"/>
                <w:lang w:val="en-US" w:eastAsia="zh-CN"/>
              </w:rPr>
              <w:t>①废漆料桶（油漆、稀释剂、固化剂）</w:t>
            </w:r>
          </w:p>
          <w:p>
            <w:pPr>
              <w:spacing w:line="360" w:lineRule="auto"/>
              <w:ind w:firstLine="440" w:firstLineChars="200"/>
              <w:rPr>
                <w:rFonts w:hint="eastAsia" w:ascii="Times New Roman" w:hAnsi="Times New Roman" w:cs="Times New Roman"/>
                <w:bCs/>
                <w:color w:val="auto"/>
                <w:sz w:val="22"/>
                <w:szCs w:val="22"/>
                <w:highlight w:val="none"/>
                <w:lang w:val="en-US" w:eastAsia="zh-CN"/>
              </w:rPr>
            </w:pPr>
            <w:r>
              <w:rPr>
                <w:rFonts w:hint="eastAsia" w:ascii="Times New Roman" w:hAnsi="Times New Roman" w:cs="Times New Roman"/>
                <w:bCs/>
                <w:color w:val="auto"/>
                <w:sz w:val="22"/>
                <w:szCs w:val="22"/>
                <w:highlight w:val="none"/>
                <w:lang w:val="en-US" w:eastAsia="zh-CN"/>
              </w:rPr>
              <w:t>项目漆料使用量为0.14t/a，按50kg/桶计，废桶约2kg/个，则废漆料桶产生量约0.0056t/a。废漆料桶属于《国家危险废物名录》（2021）中HW49其他废物，废物代码900-041-49，交由具有相应处理资质的单位进行处置。</w:t>
            </w:r>
          </w:p>
          <w:p>
            <w:pPr>
              <w:spacing w:line="360" w:lineRule="auto"/>
              <w:ind w:firstLine="440" w:firstLineChars="200"/>
              <w:rPr>
                <w:rFonts w:hint="default" w:ascii="Times New Roman" w:hAnsi="Times New Roman" w:cs="Times New Roman"/>
                <w:bCs/>
                <w:color w:val="auto"/>
                <w:sz w:val="22"/>
                <w:szCs w:val="22"/>
                <w:highlight w:val="none"/>
                <w:lang w:val="en-US" w:eastAsia="zh-CN"/>
              </w:rPr>
            </w:pPr>
            <w:r>
              <w:rPr>
                <w:rFonts w:hint="eastAsia" w:ascii="Times New Roman" w:hAnsi="Times New Roman" w:cs="Times New Roman"/>
                <w:bCs/>
                <w:color w:val="auto"/>
                <w:sz w:val="22"/>
                <w:szCs w:val="22"/>
                <w:highlight w:val="none"/>
                <w:lang w:val="en-US" w:eastAsia="zh-CN"/>
              </w:rPr>
              <w:t>②废滤料</w:t>
            </w:r>
          </w:p>
          <w:p>
            <w:pPr>
              <w:spacing w:line="360" w:lineRule="auto"/>
              <w:ind w:firstLine="440" w:firstLineChars="200"/>
              <w:rPr>
                <w:rFonts w:hint="eastAsia" w:ascii="Times New Roman" w:hAnsi="Times New Roman" w:cs="Times New Roman"/>
                <w:bCs/>
                <w:color w:val="auto"/>
                <w:sz w:val="22"/>
                <w:szCs w:val="22"/>
                <w:highlight w:val="none"/>
                <w:lang w:val="en-US" w:eastAsia="zh-CN"/>
              </w:rPr>
            </w:pPr>
            <w:r>
              <w:rPr>
                <w:rFonts w:hint="eastAsia" w:ascii="Times New Roman" w:hAnsi="Times New Roman" w:cs="Times New Roman"/>
                <w:bCs/>
                <w:color w:val="auto"/>
                <w:sz w:val="22"/>
                <w:szCs w:val="22"/>
                <w:highlight w:val="none"/>
                <w:lang w:val="en-US" w:eastAsia="zh-CN"/>
              </w:rPr>
              <w:t>干式过滤器重量约0.05t，每年更换一次，</w:t>
            </w:r>
            <w:r>
              <w:rPr>
                <w:rFonts w:hint="default" w:ascii="Times New Roman" w:hAnsi="Times New Roman" w:cs="Times New Roman"/>
                <w:bCs/>
                <w:color w:val="auto"/>
                <w:sz w:val="22"/>
                <w:szCs w:val="22"/>
                <w:highlight w:val="none"/>
                <w:lang w:val="en-US" w:eastAsia="zh-CN"/>
              </w:rPr>
              <w:t>属于《国家危险废物名录》（2021）中HW49其他废物，废物代码900-041-49，交由具有相应处理资质的单位进行处置。</w:t>
            </w:r>
          </w:p>
          <w:p>
            <w:pPr>
              <w:spacing w:line="360" w:lineRule="auto"/>
              <w:ind w:firstLine="440" w:firstLineChars="200"/>
              <w:rPr>
                <w:rFonts w:hint="default" w:ascii="Times New Roman" w:hAnsi="Times New Roman" w:cs="Times New Roman"/>
                <w:bCs/>
                <w:color w:val="auto"/>
                <w:sz w:val="22"/>
                <w:szCs w:val="22"/>
                <w:highlight w:val="none"/>
                <w:lang w:val="en-US" w:eastAsia="zh-CN"/>
              </w:rPr>
            </w:pPr>
            <w:r>
              <w:rPr>
                <w:rFonts w:hint="eastAsia" w:ascii="Times New Roman" w:hAnsi="Times New Roman" w:cs="Times New Roman"/>
                <w:bCs/>
                <w:color w:val="auto"/>
                <w:sz w:val="22"/>
                <w:szCs w:val="22"/>
                <w:highlight w:val="none"/>
                <w:lang w:val="en-US" w:eastAsia="zh-CN"/>
              </w:rPr>
              <w:t>③漆渣</w:t>
            </w:r>
          </w:p>
          <w:p>
            <w:pPr>
              <w:spacing w:line="360" w:lineRule="auto"/>
              <w:ind w:firstLine="440" w:firstLineChars="200"/>
              <w:rPr>
                <w:rFonts w:hint="eastAsia" w:ascii="Times New Roman" w:hAnsi="Times New Roman" w:cs="Times New Roman"/>
                <w:bCs/>
                <w:color w:val="auto"/>
                <w:sz w:val="22"/>
                <w:szCs w:val="22"/>
                <w:highlight w:val="none"/>
                <w:lang w:val="en-US" w:eastAsia="zh-CN"/>
              </w:rPr>
            </w:pPr>
            <w:r>
              <w:rPr>
                <w:rFonts w:hint="default" w:ascii="Times New Roman" w:hAnsi="Times New Roman" w:cs="Times New Roman"/>
                <w:bCs/>
                <w:color w:val="auto"/>
                <w:sz w:val="22"/>
                <w:szCs w:val="22"/>
                <w:highlight w:val="none"/>
                <w:lang w:val="en-US" w:eastAsia="zh-CN"/>
              </w:rPr>
              <w:t>本项目有机废气处理设施</w:t>
            </w:r>
            <w:r>
              <w:rPr>
                <w:rFonts w:hint="eastAsia" w:ascii="Times New Roman" w:hAnsi="Times New Roman" w:cs="Times New Roman"/>
                <w:bCs/>
                <w:color w:val="auto"/>
                <w:sz w:val="22"/>
                <w:szCs w:val="22"/>
                <w:highlight w:val="none"/>
                <w:lang w:val="en-US" w:eastAsia="zh-CN"/>
              </w:rPr>
              <w:t>“两</w:t>
            </w:r>
            <w:r>
              <w:rPr>
                <w:rFonts w:hint="default" w:ascii="Times New Roman" w:hAnsi="Times New Roman" w:cs="Times New Roman"/>
                <w:bCs/>
                <w:color w:val="auto"/>
                <w:sz w:val="22"/>
                <w:szCs w:val="22"/>
                <w:highlight w:val="none"/>
                <w:lang w:val="en-US" w:eastAsia="zh-CN"/>
              </w:rPr>
              <w:t>级活性炭</w:t>
            </w:r>
            <w:r>
              <w:rPr>
                <w:rFonts w:hint="eastAsia" w:ascii="Times New Roman" w:hAnsi="Times New Roman" w:cs="Times New Roman"/>
                <w:bCs/>
                <w:color w:val="auto"/>
                <w:sz w:val="22"/>
                <w:szCs w:val="22"/>
                <w:highlight w:val="none"/>
                <w:lang w:val="en-US" w:eastAsia="zh-CN"/>
              </w:rPr>
              <w:t>”</w:t>
            </w:r>
            <w:r>
              <w:rPr>
                <w:rFonts w:hint="default" w:ascii="Times New Roman" w:hAnsi="Times New Roman" w:cs="Times New Roman"/>
                <w:bCs/>
                <w:color w:val="auto"/>
                <w:sz w:val="22"/>
                <w:szCs w:val="22"/>
                <w:highlight w:val="none"/>
                <w:lang w:val="en-US" w:eastAsia="zh-CN"/>
              </w:rPr>
              <w:t>前设有</w:t>
            </w:r>
            <w:r>
              <w:rPr>
                <w:rFonts w:hint="eastAsia" w:ascii="Times New Roman" w:hAnsi="Times New Roman" w:cs="Times New Roman"/>
                <w:bCs/>
                <w:color w:val="auto"/>
                <w:sz w:val="22"/>
                <w:szCs w:val="22"/>
                <w:highlight w:val="none"/>
                <w:lang w:val="en-US" w:eastAsia="zh-CN"/>
              </w:rPr>
              <w:t>“</w:t>
            </w:r>
            <w:r>
              <w:rPr>
                <w:rFonts w:hint="default" w:ascii="Times New Roman" w:hAnsi="Times New Roman" w:cs="Times New Roman"/>
                <w:bCs/>
                <w:color w:val="auto"/>
                <w:sz w:val="22"/>
                <w:szCs w:val="22"/>
                <w:highlight w:val="none"/>
                <w:lang w:val="en-US" w:eastAsia="zh-CN"/>
              </w:rPr>
              <w:t>水帘柜+干式过滤</w:t>
            </w:r>
            <w:r>
              <w:rPr>
                <w:rFonts w:hint="eastAsia" w:ascii="Times New Roman" w:hAnsi="Times New Roman" w:cs="Times New Roman"/>
                <w:bCs/>
                <w:color w:val="auto"/>
                <w:sz w:val="22"/>
                <w:szCs w:val="22"/>
                <w:highlight w:val="none"/>
                <w:lang w:val="en-US" w:eastAsia="zh-CN"/>
              </w:rPr>
              <w:t>”</w:t>
            </w:r>
            <w:r>
              <w:rPr>
                <w:rFonts w:hint="default" w:ascii="Times New Roman" w:hAnsi="Times New Roman" w:cs="Times New Roman"/>
                <w:bCs/>
                <w:color w:val="auto"/>
                <w:sz w:val="22"/>
                <w:szCs w:val="22"/>
                <w:highlight w:val="none"/>
                <w:lang w:val="en-US" w:eastAsia="zh-CN"/>
              </w:rPr>
              <w:t>，用于净化喷漆废气中的漆雾</w:t>
            </w:r>
            <w:r>
              <w:rPr>
                <w:rFonts w:hint="eastAsia" w:ascii="Times New Roman" w:hAnsi="Times New Roman" w:cs="Times New Roman"/>
                <w:bCs/>
                <w:color w:val="auto"/>
                <w:sz w:val="22"/>
                <w:szCs w:val="22"/>
                <w:highlight w:val="none"/>
                <w:lang w:val="en-US" w:eastAsia="zh-CN"/>
              </w:rPr>
              <w:t>。项目漆雾（颗粒物）产生量为0.017t/a，收集率以90%计，去除率以90%计，则漆渣产生量为0.0138t/a，</w:t>
            </w:r>
            <w:r>
              <w:rPr>
                <w:rFonts w:hint="default" w:ascii="Times New Roman" w:hAnsi="Times New Roman" w:cs="Times New Roman"/>
                <w:bCs/>
                <w:color w:val="auto"/>
                <w:sz w:val="22"/>
                <w:szCs w:val="22"/>
                <w:highlight w:val="none"/>
                <w:lang w:val="en-US" w:eastAsia="zh-CN"/>
              </w:rPr>
              <w:t>属于《国家危险废物名录》（2021）中HW</w:t>
            </w:r>
            <w:r>
              <w:rPr>
                <w:rFonts w:hint="eastAsia" w:ascii="Times New Roman" w:hAnsi="Times New Roman" w:cs="Times New Roman"/>
                <w:bCs/>
                <w:color w:val="auto"/>
                <w:sz w:val="22"/>
                <w:szCs w:val="22"/>
                <w:highlight w:val="none"/>
                <w:lang w:val="en-US" w:eastAsia="zh-CN"/>
              </w:rPr>
              <w:t>12</w:t>
            </w:r>
            <w:r>
              <w:rPr>
                <w:rFonts w:hint="default" w:ascii="Times New Roman" w:hAnsi="Times New Roman" w:cs="Times New Roman"/>
                <w:bCs/>
                <w:color w:val="auto"/>
                <w:sz w:val="22"/>
                <w:szCs w:val="22"/>
                <w:highlight w:val="none"/>
                <w:lang w:val="en-US" w:eastAsia="zh-CN"/>
              </w:rPr>
              <w:t>染料、涂料废物，废物代码900-</w:t>
            </w:r>
            <w:r>
              <w:rPr>
                <w:rFonts w:hint="eastAsia" w:ascii="Times New Roman" w:hAnsi="Times New Roman" w:cs="Times New Roman"/>
                <w:bCs/>
                <w:color w:val="auto"/>
                <w:sz w:val="22"/>
                <w:szCs w:val="22"/>
                <w:highlight w:val="none"/>
                <w:lang w:val="en-US" w:eastAsia="zh-CN"/>
              </w:rPr>
              <w:t>252</w:t>
            </w:r>
            <w:r>
              <w:rPr>
                <w:rFonts w:hint="default" w:ascii="Times New Roman" w:hAnsi="Times New Roman" w:cs="Times New Roman"/>
                <w:bCs/>
                <w:color w:val="auto"/>
                <w:sz w:val="22"/>
                <w:szCs w:val="22"/>
                <w:highlight w:val="none"/>
                <w:lang w:val="en-US" w:eastAsia="zh-CN"/>
              </w:rPr>
              <w:t>-</w:t>
            </w:r>
            <w:r>
              <w:rPr>
                <w:rFonts w:hint="eastAsia" w:ascii="Times New Roman" w:hAnsi="Times New Roman" w:cs="Times New Roman"/>
                <w:bCs/>
                <w:color w:val="auto"/>
                <w:sz w:val="22"/>
                <w:szCs w:val="22"/>
                <w:highlight w:val="none"/>
                <w:lang w:val="en-US" w:eastAsia="zh-CN"/>
              </w:rPr>
              <w:t>12</w:t>
            </w:r>
            <w:r>
              <w:rPr>
                <w:rFonts w:hint="default" w:ascii="Times New Roman" w:hAnsi="Times New Roman" w:cs="Times New Roman"/>
                <w:bCs/>
                <w:color w:val="auto"/>
                <w:sz w:val="22"/>
                <w:szCs w:val="22"/>
                <w:highlight w:val="none"/>
                <w:lang w:val="en-US" w:eastAsia="zh-CN"/>
              </w:rPr>
              <w:t>，交由具有相应处理资质的单位进行处置。</w:t>
            </w:r>
          </w:p>
          <w:p>
            <w:pPr>
              <w:spacing w:line="360" w:lineRule="auto"/>
              <w:ind w:firstLine="440" w:firstLineChars="200"/>
              <w:rPr>
                <w:rFonts w:hint="default" w:ascii="Times New Roman" w:hAnsi="Times New Roman" w:cs="Times New Roman"/>
                <w:bCs/>
                <w:color w:val="auto"/>
                <w:sz w:val="22"/>
                <w:szCs w:val="22"/>
                <w:highlight w:val="none"/>
                <w:lang w:val="en-US" w:eastAsia="zh-CN"/>
              </w:rPr>
            </w:pPr>
            <w:r>
              <w:rPr>
                <w:rFonts w:hint="eastAsia" w:ascii="Times New Roman" w:hAnsi="Times New Roman" w:cs="Times New Roman"/>
                <w:bCs/>
                <w:color w:val="auto"/>
                <w:sz w:val="22"/>
                <w:szCs w:val="22"/>
                <w:highlight w:val="none"/>
                <w:lang w:val="en-US" w:eastAsia="zh-CN"/>
              </w:rPr>
              <w:t>④</w:t>
            </w:r>
            <w:r>
              <w:rPr>
                <w:rFonts w:hint="eastAsia" w:ascii="Times New Roman" w:hAnsi="Times New Roman" w:cs="Times New Roman"/>
                <w:bCs/>
                <w:color w:val="auto"/>
                <w:sz w:val="22"/>
                <w:szCs w:val="22"/>
                <w:highlight w:val="none"/>
                <w:lang w:eastAsia="zh-CN"/>
              </w:rPr>
              <w:t>废活性炭</w:t>
            </w:r>
          </w:p>
          <w:p>
            <w:pPr>
              <w:spacing w:line="360" w:lineRule="auto"/>
              <w:ind w:firstLine="440" w:firstLineChars="200"/>
              <w:rPr>
                <w:rFonts w:hint="default" w:ascii="Times New Roman" w:hAnsi="Times New Roman" w:cs="Times New Roman"/>
                <w:bCs/>
                <w:color w:val="auto"/>
                <w:sz w:val="22"/>
                <w:szCs w:val="22"/>
                <w:highlight w:val="none"/>
                <w:lang w:val="en-US" w:eastAsia="zh-CN"/>
              </w:rPr>
            </w:pPr>
            <w:r>
              <w:rPr>
                <w:rFonts w:hint="eastAsia" w:ascii="Times New Roman" w:hAnsi="Times New Roman" w:cs="Times New Roman"/>
                <w:bCs/>
                <w:color w:val="auto"/>
                <w:sz w:val="22"/>
                <w:szCs w:val="22"/>
                <w:highlight w:val="none"/>
                <w:lang w:eastAsia="zh-CN"/>
              </w:rPr>
              <w:t>根据《简明通风设计手册》，活性炭对有机物有效吸附量为</w:t>
            </w:r>
            <w:r>
              <w:rPr>
                <w:rFonts w:hint="eastAsia" w:ascii="Times New Roman" w:hAnsi="Times New Roman" w:cs="Times New Roman"/>
                <w:bCs/>
                <w:color w:val="auto"/>
                <w:sz w:val="22"/>
                <w:szCs w:val="22"/>
                <w:highlight w:val="none"/>
                <w:lang w:val="en-US" w:eastAsia="zh-CN"/>
              </w:rPr>
              <w:t>0.24kg/kg活性炭，本项目挥发性有机物产生量为0.028t/a，收集率以90%计，去除率以51%计，则活性炭吸附有机物量为0.0129t/a，活性炭使用量需0.054t/a，则废活性炭产生量为0.067t/a，属于</w:t>
            </w:r>
            <w:r>
              <w:rPr>
                <w:rFonts w:hint="default" w:ascii="Times New Roman" w:hAnsi="Times New Roman" w:cs="Times New Roman"/>
                <w:bCs/>
                <w:color w:val="auto"/>
                <w:sz w:val="22"/>
                <w:szCs w:val="22"/>
                <w:highlight w:val="none"/>
                <w:lang w:val="en-US" w:eastAsia="zh-CN"/>
              </w:rPr>
              <w:t>《国家危险废物名录》（2021）</w:t>
            </w:r>
            <w:r>
              <w:rPr>
                <w:rFonts w:hint="eastAsia" w:ascii="Times New Roman" w:hAnsi="Times New Roman" w:cs="Times New Roman"/>
                <w:bCs/>
                <w:color w:val="auto"/>
                <w:sz w:val="22"/>
                <w:szCs w:val="22"/>
                <w:highlight w:val="none"/>
                <w:lang w:val="en-US" w:eastAsia="zh-CN"/>
              </w:rPr>
              <w:t>中HW49其他废物，废物代码900-039-49，收集后交由具有相应处理资质的单位进行处置。</w:t>
            </w:r>
          </w:p>
          <w:p>
            <w:pPr>
              <w:spacing w:line="360" w:lineRule="auto"/>
              <w:ind w:firstLine="440" w:firstLineChars="200"/>
              <w:rPr>
                <w:rFonts w:hint="default" w:ascii="Times New Roman" w:hAnsi="Times New Roman" w:cs="Times New Roman"/>
                <w:bCs/>
                <w:color w:val="auto"/>
                <w:sz w:val="22"/>
                <w:szCs w:val="22"/>
                <w:highlight w:val="none"/>
              </w:rPr>
            </w:pPr>
            <w:r>
              <w:rPr>
                <w:rFonts w:hint="eastAsia" w:ascii="Times New Roman" w:hAnsi="Times New Roman" w:cs="Times New Roman"/>
                <w:bCs/>
                <w:color w:val="auto"/>
                <w:sz w:val="22"/>
                <w:szCs w:val="22"/>
                <w:highlight w:val="none"/>
                <w:lang w:val="en-US" w:eastAsia="zh-CN"/>
              </w:rPr>
              <w:t>⑤</w:t>
            </w:r>
            <w:r>
              <w:rPr>
                <w:rFonts w:hint="default" w:ascii="Times New Roman" w:hAnsi="Times New Roman" w:cs="Times New Roman"/>
                <w:bCs/>
                <w:color w:val="auto"/>
                <w:sz w:val="22"/>
                <w:szCs w:val="22"/>
                <w:highlight w:val="none"/>
                <w:lang w:eastAsia="zh-CN"/>
              </w:rPr>
              <w:t>废机油及含油棉纱手套</w:t>
            </w:r>
          </w:p>
          <w:p>
            <w:pPr>
              <w:spacing w:line="360" w:lineRule="auto"/>
              <w:ind w:firstLine="440" w:firstLineChars="200"/>
              <w:rPr>
                <w:rFonts w:hint="eastAsia" w:ascii="Times New Roman" w:hAnsi="Times New Roman" w:cs="Times New Roman"/>
                <w:color w:val="auto"/>
                <w:sz w:val="22"/>
                <w:szCs w:val="22"/>
                <w:highlight w:val="none"/>
                <w:lang w:eastAsia="zh-CN"/>
              </w:rPr>
            </w:pPr>
            <w:r>
              <w:rPr>
                <w:rFonts w:hint="default" w:ascii="Times New Roman" w:hAnsi="Times New Roman" w:cs="Times New Roman"/>
                <w:color w:val="auto"/>
                <w:sz w:val="22"/>
                <w:szCs w:val="22"/>
                <w:highlight w:val="none"/>
                <w:lang w:eastAsia="zh-CN"/>
              </w:rPr>
              <w:t>主要为在生产过程中设备</w:t>
            </w:r>
            <w:r>
              <w:rPr>
                <w:rFonts w:hint="default" w:ascii="Times New Roman" w:hAnsi="Times New Roman" w:cs="Times New Roman"/>
                <w:color w:val="auto"/>
                <w:sz w:val="22"/>
                <w:szCs w:val="22"/>
                <w:highlight w:val="none"/>
                <w:lang w:val="en-US" w:eastAsia="zh-CN"/>
              </w:rPr>
              <w:t>运行维护</w:t>
            </w:r>
            <w:r>
              <w:rPr>
                <w:rFonts w:hint="default" w:ascii="Times New Roman" w:hAnsi="Times New Roman" w:cs="Times New Roman"/>
                <w:color w:val="auto"/>
                <w:sz w:val="22"/>
                <w:szCs w:val="22"/>
                <w:highlight w:val="none"/>
                <w:lang w:eastAsia="zh-CN"/>
              </w:rPr>
              <w:t>产生，</w:t>
            </w:r>
            <w:r>
              <w:rPr>
                <w:rFonts w:hint="eastAsia" w:ascii="Times New Roman" w:hAnsi="Times New Roman" w:cs="Times New Roman"/>
                <w:color w:val="auto"/>
                <w:sz w:val="22"/>
                <w:szCs w:val="22"/>
                <w:highlight w:val="none"/>
                <w:lang w:val="en-US" w:eastAsia="zh-CN"/>
              </w:rPr>
              <w:t>废机油</w:t>
            </w:r>
            <w:r>
              <w:rPr>
                <w:rFonts w:hint="default" w:ascii="Times New Roman" w:hAnsi="Times New Roman" w:cs="Times New Roman"/>
                <w:color w:val="auto"/>
                <w:sz w:val="22"/>
                <w:szCs w:val="22"/>
                <w:highlight w:val="none"/>
                <w:lang w:eastAsia="zh-CN"/>
              </w:rPr>
              <w:t>产生量约</w:t>
            </w:r>
            <w:r>
              <w:rPr>
                <w:rFonts w:hint="default" w:ascii="Times New Roman" w:hAnsi="Times New Roman" w:cs="Times New Roman"/>
                <w:color w:val="auto"/>
                <w:sz w:val="22"/>
                <w:szCs w:val="22"/>
                <w:highlight w:val="none"/>
                <w:lang w:val="en-US" w:eastAsia="zh-CN"/>
              </w:rPr>
              <w:t>0.0</w:t>
            </w:r>
            <w:r>
              <w:rPr>
                <w:rFonts w:hint="eastAsia" w:ascii="Times New Roman" w:hAnsi="Times New Roman" w:cs="Times New Roman"/>
                <w:color w:val="auto"/>
                <w:sz w:val="22"/>
                <w:szCs w:val="22"/>
                <w:highlight w:val="none"/>
                <w:lang w:val="en-US" w:eastAsia="zh-CN"/>
              </w:rPr>
              <w:t>1</w:t>
            </w:r>
            <w:r>
              <w:rPr>
                <w:rFonts w:hint="default" w:ascii="Times New Roman" w:hAnsi="Times New Roman" w:cs="Times New Roman"/>
                <w:color w:val="auto"/>
                <w:sz w:val="22"/>
                <w:szCs w:val="22"/>
                <w:highlight w:val="none"/>
                <w:lang w:val="en-US" w:eastAsia="zh-CN"/>
              </w:rPr>
              <w:t>t/a</w:t>
            </w:r>
            <w:r>
              <w:rPr>
                <w:rFonts w:hint="default" w:ascii="Times New Roman" w:hAnsi="Times New Roman" w:cs="Times New Roman"/>
                <w:bCs/>
                <w:color w:val="auto"/>
                <w:sz w:val="22"/>
                <w:szCs w:val="22"/>
                <w:highlight w:val="none"/>
                <w:lang w:val="en-US" w:eastAsia="zh-CN"/>
              </w:rPr>
              <w:t>，属于《国家危险废物名录》（2021）中HW08废矿物油与含矿物油废物，废物代码900-249-08</w:t>
            </w:r>
            <w:r>
              <w:rPr>
                <w:rFonts w:hint="eastAsia" w:ascii="Times New Roman" w:hAnsi="Times New Roman" w:cs="Times New Roman"/>
                <w:bCs/>
                <w:color w:val="auto"/>
                <w:sz w:val="22"/>
                <w:szCs w:val="22"/>
                <w:highlight w:val="none"/>
                <w:lang w:val="en-US" w:eastAsia="zh-CN"/>
              </w:rPr>
              <w:t>；</w:t>
            </w:r>
            <w:r>
              <w:rPr>
                <w:rFonts w:hint="default" w:ascii="Times New Roman" w:hAnsi="Times New Roman" w:cs="Times New Roman"/>
                <w:bCs/>
                <w:color w:val="auto"/>
                <w:sz w:val="22"/>
                <w:szCs w:val="22"/>
                <w:highlight w:val="none"/>
                <w:lang w:eastAsia="zh-CN"/>
              </w:rPr>
              <w:t>含油棉纱手套</w:t>
            </w:r>
            <w:r>
              <w:rPr>
                <w:rFonts w:hint="default" w:ascii="Times New Roman" w:hAnsi="Times New Roman" w:cs="Times New Roman"/>
                <w:color w:val="auto"/>
                <w:sz w:val="22"/>
                <w:szCs w:val="22"/>
                <w:highlight w:val="none"/>
                <w:lang w:eastAsia="zh-CN"/>
              </w:rPr>
              <w:t>产生量约</w:t>
            </w:r>
            <w:r>
              <w:rPr>
                <w:rFonts w:hint="default" w:ascii="Times New Roman" w:hAnsi="Times New Roman" w:cs="Times New Roman"/>
                <w:color w:val="auto"/>
                <w:sz w:val="22"/>
                <w:szCs w:val="22"/>
                <w:highlight w:val="none"/>
                <w:lang w:val="en-US" w:eastAsia="zh-CN"/>
              </w:rPr>
              <w:t>0.0</w:t>
            </w:r>
            <w:r>
              <w:rPr>
                <w:rFonts w:hint="eastAsia" w:ascii="Times New Roman" w:hAnsi="Times New Roman" w:cs="Times New Roman"/>
                <w:color w:val="auto"/>
                <w:sz w:val="22"/>
                <w:szCs w:val="22"/>
                <w:highlight w:val="none"/>
                <w:lang w:val="en-US" w:eastAsia="zh-CN"/>
              </w:rPr>
              <w:t>1</w:t>
            </w:r>
            <w:r>
              <w:rPr>
                <w:rFonts w:hint="default" w:ascii="Times New Roman" w:hAnsi="Times New Roman" w:cs="Times New Roman"/>
                <w:color w:val="auto"/>
                <w:sz w:val="22"/>
                <w:szCs w:val="22"/>
                <w:highlight w:val="none"/>
                <w:lang w:val="en-US" w:eastAsia="zh-CN"/>
              </w:rPr>
              <w:t>t/a</w:t>
            </w:r>
            <w:r>
              <w:rPr>
                <w:rFonts w:hint="default" w:ascii="Times New Roman" w:hAnsi="Times New Roman" w:cs="Times New Roman"/>
                <w:bCs/>
                <w:color w:val="auto"/>
                <w:sz w:val="22"/>
                <w:szCs w:val="22"/>
                <w:highlight w:val="none"/>
                <w:lang w:val="en-US" w:eastAsia="zh-CN"/>
              </w:rPr>
              <w:t>，属于《国家危险废物名录》（2021）中HW</w:t>
            </w:r>
            <w:r>
              <w:rPr>
                <w:rFonts w:hint="eastAsia" w:ascii="Times New Roman" w:hAnsi="Times New Roman" w:cs="Times New Roman"/>
                <w:bCs/>
                <w:color w:val="auto"/>
                <w:sz w:val="22"/>
                <w:szCs w:val="22"/>
                <w:highlight w:val="none"/>
                <w:lang w:val="en-US" w:eastAsia="zh-CN"/>
              </w:rPr>
              <w:t>49其他</w:t>
            </w:r>
            <w:r>
              <w:rPr>
                <w:rFonts w:hint="default" w:ascii="Times New Roman" w:hAnsi="Times New Roman" w:cs="Times New Roman"/>
                <w:bCs/>
                <w:color w:val="auto"/>
                <w:sz w:val="22"/>
                <w:szCs w:val="22"/>
                <w:highlight w:val="none"/>
                <w:lang w:val="en-US" w:eastAsia="zh-CN"/>
              </w:rPr>
              <w:t>废物，废物代码900-041-49</w:t>
            </w:r>
            <w:r>
              <w:rPr>
                <w:rFonts w:hint="eastAsia" w:ascii="Times New Roman" w:hAnsi="Times New Roman" w:cs="Times New Roman"/>
                <w:bCs/>
                <w:color w:val="auto"/>
                <w:sz w:val="22"/>
                <w:szCs w:val="22"/>
                <w:highlight w:val="none"/>
                <w:lang w:val="en-US" w:eastAsia="zh-CN"/>
              </w:rPr>
              <w:t>，</w:t>
            </w:r>
            <w:r>
              <w:rPr>
                <w:rFonts w:hint="default" w:ascii="Times New Roman" w:hAnsi="Times New Roman" w:cs="Times New Roman"/>
                <w:bCs/>
                <w:color w:val="auto"/>
                <w:sz w:val="22"/>
                <w:szCs w:val="22"/>
                <w:highlight w:val="none"/>
                <w:lang w:val="en-US" w:eastAsia="zh-CN"/>
              </w:rPr>
              <w:t>收集后</w:t>
            </w:r>
            <w:r>
              <w:rPr>
                <w:rFonts w:hint="eastAsia" w:ascii="Times New Roman" w:hAnsi="Times New Roman" w:cs="Times New Roman"/>
                <w:bCs/>
                <w:color w:val="auto"/>
                <w:sz w:val="22"/>
                <w:szCs w:val="22"/>
                <w:highlight w:val="none"/>
                <w:lang w:val="en-US" w:eastAsia="zh-CN"/>
              </w:rPr>
              <w:t>均</w:t>
            </w:r>
            <w:r>
              <w:rPr>
                <w:rFonts w:hint="default" w:ascii="Times New Roman" w:hAnsi="Times New Roman" w:cs="Times New Roman"/>
                <w:bCs/>
                <w:color w:val="auto"/>
                <w:sz w:val="22"/>
                <w:szCs w:val="22"/>
                <w:highlight w:val="none"/>
                <w:lang w:val="en-US" w:eastAsia="zh-CN"/>
              </w:rPr>
              <w:t>交由具有相应处理资质的单位进行处置。</w:t>
            </w:r>
          </w:p>
          <w:p>
            <w:pPr>
              <w:spacing w:line="360" w:lineRule="auto"/>
              <w:ind w:firstLine="480"/>
              <w:rPr>
                <w:rFonts w:hint="default" w:ascii="Times New Roman" w:hAnsi="Times New Roman" w:cs="Times New Roman"/>
                <w:color w:val="auto"/>
                <w:sz w:val="22"/>
                <w:szCs w:val="22"/>
                <w:highlight w:val="none"/>
              </w:rPr>
            </w:pPr>
            <w:r>
              <w:rPr>
                <w:rFonts w:hint="default" w:ascii="Times New Roman" w:hAnsi="Times New Roman" w:eastAsia="宋体" w:cs="Times New Roman"/>
                <w:color w:val="auto"/>
                <w:sz w:val="22"/>
                <w:szCs w:val="22"/>
                <w:highlight w:val="none"/>
                <w:lang w:val="en-US" w:eastAsia="zh-CN"/>
              </w:rPr>
              <w:t>综上，本项目固体废物产排情况见下表：</w:t>
            </w:r>
          </w:p>
          <w:p>
            <w:pPr>
              <w:spacing w:line="360" w:lineRule="auto"/>
              <w:ind w:firstLine="480"/>
              <w:rPr>
                <w:rFonts w:hint="default" w:ascii="Times New Roman" w:hAnsi="Times New Roman" w:cs="Times New Roman"/>
                <w:color w:val="auto"/>
                <w:sz w:val="22"/>
                <w:szCs w:val="22"/>
                <w:highlight w:val="none"/>
              </w:rPr>
            </w:pPr>
          </w:p>
          <w:p>
            <w:pPr>
              <w:spacing w:line="360" w:lineRule="auto"/>
              <w:ind w:firstLine="480"/>
              <w:rPr>
                <w:rFonts w:hint="default" w:ascii="Times New Roman" w:hAnsi="Times New Roman" w:cs="Times New Roman"/>
                <w:color w:val="auto"/>
                <w:sz w:val="22"/>
                <w:szCs w:val="22"/>
                <w:highlight w:val="none"/>
              </w:rPr>
            </w:pPr>
          </w:p>
          <w:p>
            <w:pPr>
              <w:spacing w:line="360" w:lineRule="auto"/>
              <w:ind w:firstLine="480"/>
              <w:rPr>
                <w:rFonts w:hint="default" w:ascii="Times New Roman" w:hAnsi="Times New Roman" w:cs="Times New Roman"/>
                <w:color w:val="auto"/>
                <w:sz w:val="22"/>
                <w:szCs w:val="22"/>
                <w:highlight w:val="none"/>
              </w:rPr>
            </w:pPr>
          </w:p>
          <w:p>
            <w:pPr>
              <w:spacing w:line="360" w:lineRule="auto"/>
              <w:ind w:firstLine="480"/>
              <w:rPr>
                <w:rFonts w:hint="default" w:ascii="Times New Roman" w:hAnsi="Times New Roman" w:cs="Times New Roman"/>
                <w:color w:val="auto"/>
                <w:sz w:val="22"/>
                <w:szCs w:val="22"/>
                <w:highlight w:val="none"/>
              </w:rPr>
            </w:pPr>
          </w:p>
          <w:p>
            <w:pPr>
              <w:spacing w:line="360" w:lineRule="auto"/>
              <w:ind w:firstLine="480"/>
              <w:rPr>
                <w:rFonts w:hint="default" w:ascii="Times New Roman" w:hAnsi="Times New Roman" w:cs="Times New Roman"/>
                <w:color w:val="auto"/>
                <w:sz w:val="22"/>
                <w:szCs w:val="22"/>
                <w:highlight w:val="none"/>
              </w:rPr>
            </w:pPr>
          </w:p>
          <w:p>
            <w:pPr>
              <w:spacing w:line="360" w:lineRule="auto"/>
              <w:ind w:firstLine="480"/>
              <w:rPr>
                <w:rFonts w:hint="eastAsia" w:ascii="Times New Roman" w:hAnsi="Times New Roman" w:cs="Times New Roman"/>
                <w:bCs/>
                <w:color w:val="auto"/>
                <w:sz w:val="22"/>
                <w:szCs w:val="22"/>
                <w:highlight w:val="none"/>
                <w:lang w:val="en-US" w:eastAsia="zh-CN"/>
              </w:rPr>
            </w:pPr>
          </w:p>
          <w:p>
            <w:pPr>
              <w:spacing w:line="360" w:lineRule="auto"/>
              <w:ind w:firstLine="480"/>
              <w:rPr>
                <w:rFonts w:hint="eastAsia" w:ascii="Times New Roman" w:hAnsi="Times New Roman" w:cs="Times New Roman"/>
                <w:bCs/>
                <w:color w:val="auto"/>
                <w:sz w:val="22"/>
                <w:szCs w:val="22"/>
                <w:highlight w:val="none"/>
                <w:lang w:val="en-US" w:eastAsia="zh-CN"/>
              </w:rPr>
            </w:pPr>
          </w:p>
          <w:p>
            <w:pPr>
              <w:spacing w:line="360" w:lineRule="auto"/>
              <w:ind w:firstLine="480"/>
              <w:rPr>
                <w:rFonts w:hint="eastAsia" w:ascii="Times New Roman" w:hAnsi="Times New Roman" w:cs="Times New Roman"/>
                <w:bCs/>
                <w:color w:val="auto"/>
                <w:sz w:val="22"/>
                <w:szCs w:val="22"/>
                <w:highlight w:val="none"/>
                <w:lang w:val="en-US" w:eastAsia="zh-CN"/>
              </w:rPr>
            </w:pPr>
          </w:p>
          <w:p>
            <w:pPr>
              <w:spacing w:line="360" w:lineRule="auto"/>
              <w:ind w:firstLine="480"/>
              <w:rPr>
                <w:rFonts w:hint="eastAsia" w:ascii="Times New Roman" w:hAnsi="Times New Roman" w:cs="Times New Roman"/>
                <w:bCs/>
                <w:color w:val="auto"/>
                <w:sz w:val="22"/>
                <w:szCs w:val="22"/>
                <w:highlight w:val="none"/>
                <w:lang w:val="en-US" w:eastAsia="zh-CN"/>
              </w:rPr>
            </w:pPr>
          </w:p>
          <w:p>
            <w:pPr>
              <w:spacing w:line="360" w:lineRule="auto"/>
              <w:ind w:firstLine="480"/>
              <w:rPr>
                <w:rFonts w:hint="eastAsia" w:ascii="Times New Roman" w:hAnsi="Times New Roman" w:cs="Times New Roman"/>
                <w:bCs/>
                <w:color w:val="auto"/>
                <w:sz w:val="22"/>
                <w:szCs w:val="22"/>
                <w:highlight w:val="none"/>
                <w:lang w:val="en-US" w:eastAsia="zh-CN"/>
              </w:rPr>
            </w:pPr>
          </w:p>
          <w:p>
            <w:pPr>
              <w:spacing w:line="360" w:lineRule="auto"/>
              <w:ind w:firstLine="480"/>
              <w:rPr>
                <w:rFonts w:hint="eastAsia" w:ascii="Times New Roman" w:hAnsi="Times New Roman" w:cs="Times New Roman"/>
                <w:bCs/>
                <w:color w:val="auto"/>
                <w:sz w:val="22"/>
                <w:szCs w:val="22"/>
                <w:highlight w:val="none"/>
                <w:lang w:val="en-US" w:eastAsia="zh-CN"/>
              </w:rPr>
            </w:pPr>
          </w:p>
          <w:p>
            <w:pPr>
              <w:spacing w:line="360" w:lineRule="auto"/>
              <w:ind w:firstLine="480"/>
              <w:rPr>
                <w:rFonts w:hint="eastAsia" w:ascii="Times New Roman" w:hAnsi="Times New Roman" w:cs="Times New Roman"/>
                <w:bCs/>
                <w:color w:val="auto"/>
                <w:sz w:val="22"/>
                <w:szCs w:val="22"/>
                <w:highlight w:val="none"/>
                <w:lang w:val="en-US" w:eastAsia="zh-CN"/>
              </w:rPr>
            </w:pPr>
          </w:p>
          <w:p>
            <w:pPr>
              <w:spacing w:line="360" w:lineRule="auto"/>
              <w:rPr>
                <w:rFonts w:hint="eastAsia" w:ascii="Times New Roman" w:hAnsi="Times New Roman" w:cs="Times New Roman"/>
                <w:bCs/>
                <w:color w:val="auto"/>
                <w:sz w:val="22"/>
                <w:szCs w:val="22"/>
                <w:highlight w:val="none"/>
                <w:lang w:val="en-US" w:eastAsia="zh-CN"/>
              </w:rPr>
            </w:pPr>
          </w:p>
          <w:p>
            <w:pPr>
              <w:spacing w:line="360" w:lineRule="auto"/>
              <w:ind w:firstLine="480"/>
              <w:rPr>
                <w:rFonts w:hint="eastAsia" w:ascii="Times New Roman" w:hAnsi="Times New Roman" w:cs="Times New Roman"/>
                <w:bCs/>
                <w:color w:val="auto"/>
                <w:sz w:val="22"/>
                <w:szCs w:val="22"/>
                <w:highlight w:val="none"/>
                <w:lang w:val="en-US" w:eastAsia="zh-CN"/>
              </w:rPr>
            </w:pPr>
          </w:p>
          <w:p>
            <w:pPr>
              <w:spacing w:line="360" w:lineRule="auto"/>
              <w:ind w:firstLine="480"/>
              <w:rPr>
                <w:rFonts w:hint="default" w:ascii="Times New Roman" w:hAnsi="Times New Roman" w:eastAsia="宋体" w:cs="Times New Roman"/>
                <w:bCs/>
                <w:color w:val="auto"/>
                <w:spacing w:val="-10"/>
                <w:szCs w:val="21"/>
                <w:highlight w:val="none"/>
                <w:lang w:val="en-US" w:eastAsia="zh-CN"/>
              </w:rPr>
            </w:pPr>
          </w:p>
        </w:tc>
      </w:tr>
    </w:tbl>
    <w:p>
      <w:pPr>
        <w:adjustRightInd w:val="0"/>
        <w:snapToGrid w:val="0"/>
        <w:spacing w:line="360" w:lineRule="auto"/>
        <w:rPr>
          <w:rFonts w:hint="default" w:ascii="Times New Roman" w:hAnsi="Times New Roman" w:cs="Times New Roman"/>
          <w:b/>
          <w:color w:val="auto"/>
          <w:kern w:val="0"/>
          <w:sz w:val="28"/>
          <w:szCs w:val="28"/>
          <w:highlight w:val="none"/>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4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50"/>
        <w:gridCol w:w="125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70" w:hRule="atLeast"/>
          <w:jc w:val="center"/>
        </w:trPr>
        <w:tc>
          <w:tcPr>
            <w:tcW w:w="1150" w:type="dxa"/>
            <w:noWrap w:val="0"/>
            <w:tcMar>
              <w:left w:w="28" w:type="dxa"/>
              <w:right w:w="28" w:type="dxa"/>
            </w:tcMar>
            <w:vAlign w:val="center"/>
          </w:tcPr>
          <w:p>
            <w:pPr>
              <w:adjustRightInd w:val="0"/>
              <w:snapToGrid w:val="0"/>
              <w:jc w:val="center"/>
              <w:rPr>
                <w:bCs/>
                <w:color w:val="auto"/>
                <w:szCs w:val="21"/>
                <w:highlight w:val="none"/>
              </w:rPr>
            </w:pPr>
            <w:r>
              <w:rPr>
                <w:bCs/>
                <w:color w:val="auto"/>
                <w:szCs w:val="21"/>
                <w:highlight w:val="none"/>
              </w:rPr>
              <w:t>运营</w:t>
            </w:r>
          </w:p>
          <w:p>
            <w:pPr>
              <w:adjustRightInd w:val="0"/>
              <w:snapToGrid w:val="0"/>
              <w:jc w:val="center"/>
              <w:rPr>
                <w:bCs/>
                <w:color w:val="auto"/>
                <w:szCs w:val="21"/>
                <w:highlight w:val="none"/>
              </w:rPr>
            </w:pPr>
            <w:r>
              <w:rPr>
                <w:bCs/>
                <w:color w:val="auto"/>
                <w:szCs w:val="21"/>
                <w:highlight w:val="none"/>
              </w:rPr>
              <w:t>期环</w:t>
            </w:r>
          </w:p>
          <w:p>
            <w:pPr>
              <w:adjustRightInd w:val="0"/>
              <w:snapToGrid w:val="0"/>
              <w:jc w:val="center"/>
              <w:rPr>
                <w:bCs/>
                <w:color w:val="auto"/>
                <w:szCs w:val="21"/>
                <w:highlight w:val="none"/>
              </w:rPr>
            </w:pPr>
            <w:r>
              <w:rPr>
                <w:bCs/>
                <w:color w:val="auto"/>
                <w:szCs w:val="21"/>
                <w:highlight w:val="none"/>
              </w:rPr>
              <w:t>境影</w:t>
            </w:r>
          </w:p>
          <w:p>
            <w:pPr>
              <w:adjustRightInd w:val="0"/>
              <w:snapToGrid w:val="0"/>
              <w:jc w:val="center"/>
              <w:rPr>
                <w:bCs/>
                <w:color w:val="auto"/>
                <w:szCs w:val="21"/>
                <w:highlight w:val="none"/>
              </w:rPr>
            </w:pPr>
            <w:r>
              <w:rPr>
                <w:bCs/>
                <w:color w:val="auto"/>
                <w:szCs w:val="21"/>
                <w:highlight w:val="none"/>
              </w:rPr>
              <w:t>响和</w:t>
            </w:r>
          </w:p>
          <w:p>
            <w:pPr>
              <w:adjustRightInd w:val="0"/>
              <w:snapToGrid w:val="0"/>
              <w:jc w:val="center"/>
              <w:rPr>
                <w:bCs/>
                <w:color w:val="auto"/>
                <w:szCs w:val="21"/>
                <w:highlight w:val="none"/>
              </w:rPr>
            </w:pPr>
            <w:r>
              <w:rPr>
                <w:bCs/>
                <w:color w:val="auto"/>
                <w:szCs w:val="21"/>
                <w:highlight w:val="none"/>
              </w:rPr>
              <w:t>保护</w:t>
            </w:r>
          </w:p>
          <w:p>
            <w:pPr>
              <w:adjustRightInd w:val="0"/>
              <w:snapToGrid w:val="0"/>
              <w:jc w:val="center"/>
              <w:rPr>
                <w:bCs/>
                <w:color w:val="auto"/>
                <w:szCs w:val="21"/>
                <w:highlight w:val="none"/>
              </w:rPr>
            </w:pPr>
            <w:r>
              <w:rPr>
                <w:bCs/>
                <w:color w:val="auto"/>
                <w:szCs w:val="21"/>
                <w:highlight w:val="none"/>
              </w:rPr>
              <w:t>措施</w:t>
            </w:r>
          </w:p>
        </w:tc>
        <w:tc>
          <w:tcPr>
            <w:tcW w:w="12590" w:type="dxa"/>
            <w:noWrap w:val="0"/>
            <w:vAlign w:val="top"/>
          </w:tcPr>
          <w:p>
            <w:pPr>
              <w:adjustRightInd w:val="0"/>
              <w:ind w:firstLine="482" w:firstLineChars="200"/>
              <w:jc w:val="center"/>
              <w:textAlignment w:val="baseline"/>
              <w:rPr>
                <w:b/>
                <w:bCs/>
                <w:color w:val="auto"/>
                <w:sz w:val="22"/>
                <w:szCs w:val="22"/>
                <w:highlight w:val="none"/>
              </w:rPr>
            </w:pPr>
            <w:r>
              <w:rPr>
                <w:b/>
                <w:color w:val="auto"/>
                <w:szCs w:val="21"/>
                <w:highlight w:val="none"/>
              </w:rPr>
              <w:t>表4-1</w:t>
            </w:r>
            <w:r>
              <w:rPr>
                <w:rFonts w:hint="eastAsia"/>
                <w:b/>
                <w:color w:val="auto"/>
                <w:szCs w:val="21"/>
                <w:highlight w:val="none"/>
                <w:lang w:val="en-US" w:eastAsia="zh-CN"/>
              </w:rPr>
              <w:t xml:space="preserve">2 </w:t>
            </w:r>
            <w:r>
              <w:rPr>
                <w:b/>
                <w:color w:val="auto"/>
                <w:szCs w:val="21"/>
                <w:highlight w:val="none"/>
              </w:rPr>
              <w:t>项目运营期固体废物产排情况一览表</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1335"/>
              <w:gridCol w:w="1278"/>
              <w:gridCol w:w="1330"/>
              <w:gridCol w:w="769"/>
              <w:gridCol w:w="1101"/>
              <w:gridCol w:w="945"/>
              <w:gridCol w:w="795"/>
              <w:gridCol w:w="873"/>
              <w:gridCol w:w="1575"/>
              <w:gridCol w:w="11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134" w:type="dxa"/>
                  <w:noWrap w:val="0"/>
                  <w:vAlign w:val="center"/>
                </w:tcPr>
                <w:p>
                  <w:pPr>
                    <w:adjustRightInd w:val="0"/>
                    <w:jc w:val="center"/>
                    <w:textAlignment w:val="baseline"/>
                    <w:rPr>
                      <w:b/>
                      <w:color w:val="auto"/>
                      <w:szCs w:val="21"/>
                      <w:highlight w:val="none"/>
                    </w:rPr>
                  </w:pPr>
                  <w:r>
                    <w:rPr>
                      <w:b/>
                      <w:color w:val="auto"/>
                      <w:szCs w:val="21"/>
                      <w:highlight w:val="none"/>
                    </w:rPr>
                    <w:t>产</w:t>
                  </w:r>
                  <w:r>
                    <w:rPr>
                      <w:rFonts w:hint="eastAsia"/>
                      <w:b/>
                      <w:color w:val="auto"/>
                      <w:szCs w:val="21"/>
                      <w:highlight w:val="none"/>
                      <w:lang w:eastAsia="zh-CN"/>
                    </w:rPr>
                    <w:t>污</w:t>
                  </w:r>
                  <w:r>
                    <w:rPr>
                      <w:b/>
                      <w:color w:val="auto"/>
                      <w:szCs w:val="21"/>
                      <w:highlight w:val="none"/>
                    </w:rPr>
                    <w:t>环节</w:t>
                  </w:r>
                </w:p>
              </w:tc>
              <w:tc>
                <w:tcPr>
                  <w:tcW w:w="1335" w:type="dxa"/>
                  <w:noWrap w:val="0"/>
                  <w:vAlign w:val="center"/>
                </w:tcPr>
                <w:p>
                  <w:pPr>
                    <w:adjustRightInd w:val="0"/>
                    <w:jc w:val="center"/>
                    <w:textAlignment w:val="baseline"/>
                    <w:rPr>
                      <w:b/>
                      <w:color w:val="auto"/>
                      <w:szCs w:val="21"/>
                      <w:highlight w:val="none"/>
                    </w:rPr>
                  </w:pPr>
                  <w:r>
                    <w:rPr>
                      <w:b/>
                      <w:color w:val="auto"/>
                      <w:szCs w:val="21"/>
                      <w:highlight w:val="none"/>
                    </w:rPr>
                    <w:t>名称</w:t>
                  </w:r>
                </w:p>
              </w:tc>
              <w:tc>
                <w:tcPr>
                  <w:tcW w:w="1278" w:type="dxa"/>
                  <w:noWrap w:val="0"/>
                  <w:vAlign w:val="center"/>
                </w:tcPr>
                <w:p>
                  <w:pPr>
                    <w:adjustRightInd w:val="0"/>
                    <w:jc w:val="center"/>
                    <w:textAlignment w:val="baseline"/>
                    <w:rPr>
                      <w:b/>
                      <w:color w:val="auto"/>
                      <w:szCs w:val="21"/>
                      <w:highlight w:val="none"/>
                    </w:rPr>
                  </w:pPr>
                  <w:r>
                    <w:rPr>
                      <w:b/>
                      <w:color w:val="auto"/>
                      <w:szCs w:val="21"/>
                      <w:highlight w:val="none"/>
                    </w:rPr>
                    <w:t>属性</w:t>
                  </w:r>
                </w:p>
              </w:tc>
              <w:tc>
                <w:tcPr>
                  <w:tcW w:w="1330" w:type="dxa"/>
                  <w:noWrap w:val="0"/>
                  <w:vAlign w:val="center"/>
                </w:tcPr>
                <w:p>
                  <w:pPr>
                    <w:adjustRightInd w:val="0"/>
                    <w:jc w:val="center"/>
                    <w:textAlignment w:val="baseline"/>
                    <w:rPr>
                      <w:b/>
                      <w:color w:val="auto"/>
                      <w:szCs w:val="21"/>
                      <w:highlight w:val="none"/>
                    </w:rPr>
                  </w:pPr>
                  <w:r>
                    <w:rPr>
                      <w:b/>
                      <w:color w:val="auto"/>
                      <w:szCs w:val="21"/>
                      <w:highlight w:val="none"/>
                    </w:rPr>
                    <w:t>主要有毒有害物质名称</w:t>
                  </w:r>
                </w:p>
              </w:tc>
              <w:tc>
                <w:tcPr>
                  <w:tcW w:w="769" w:type="dxa"/>
                  <w:noWrap w:val="0"/>
                  <w:vAlign w:val="center"/>
                </w:tcPr>
                <w:p>
                  <w:pPr>
                    <w:adjustRightInd w:val="0"/>
                    <w:jc w:val="center"/>
                    <w:textAlignment w:val="baseline"/>
                    <w:rPr>
                      <w:b/>
                      <w:color w:val="auto"/>
                      <w:szCs w:val="21"/>
                      <w:highlight w:val="none"/>
                    </w:rPr>
                  </w:pPr>
                  <w:r>
                    <w:rPr>
                      <w:b/>
                      <w:color w:val="auto"/>
                      <w:szCs w:val="21"/>
                      <w:highlight w:val="none"/>
                    </w:rPr>
                    <w:t>物理</w:t>
                  </w:r>
                </w:p>
                <w:p>
                  <w:pPr>
                    <w:adjustRightInd w:val="0"/>
                    <w:jc w:val="center"/>
                    <w:textAlignment w:val="baseline"/>
                    <w:rPr>
                      <w:b/>
                      <w:color w:val="auto"/>
                      <w:szCs w:val="21"/>
                      <w:highlight w:val="none"/>
                    </w:rPr>
                  </w:pPr>
                  <w:r>
                    <w:rPr>
                      <w:b/>
                      <w:color w:val="auto"/>
                      <w:szCs w:val="21"/>
                      <w:highlight w:val="none"/>
                    </w:rPr>
                    <w:t>性状</w:t>
                  </w:r>
                </w:p>
              </w:tc>
              <w:tc>
                <w:tcPr>
                  <w:tcW w:w="1101" w:type="dxa"/>
                  <w:noWrap w:val="0"/>
                  <w:vAlign w:val="center"/>
                </w:tcPr>
                <w:p>
                  <w:pPr>
                    <w:adjustRightInd w:val="0"/>
                    <w:jc w:val="center"/>
                    <w:textAlignment w:val="baseline"/>
                    <w:rPr>
                      <w:b/>
                      <w:color w:val="auto"/>
                      <w:szCs w:val="21"/>
                      <w:highlight w:val="none"/>
                    </w:rPr>
                  </w:pPr>
                  <w:r>
                    <w:rPr>
                      <w:b/>
                      <w:color w:val="auto"/>
                      <w:szCs w:val="21"/>
                      <w:highlight w:val="none"/>
                    </w:rPr>
                    <w:t>环境</w:t>
                  </w:r>
                </w:p>
                <w:p>
                  <w:pPr>
                    <w:adjustRightInd w:val="0"/>
                    <w:jc w:val="center"/>
                    <w:textAlignment w:val="baseline"/>
                    <w:rPr>
                      <w:b/>
                      <w:color w:val="auto"/>
                      <w:szCs w:val="21"/>
                      <w:highlight w:val="none"/>
                    </w:rPr>
                  </w:pPr>
                  <w:r>
                    <w:rPr>
                      <w:b/>
                      <w:color w:val="auto"/>
                      <w:szCs w:val="21"/>
                      <w:highlight w:val="none"/>
                    </w:rPr>
                    <w:t>危险特性</w:t>
                  </w:r>
                </w:p>
              </w:tc>
              <w:tc>
                <w:tcPr>
                  <w:tcW w:w="945" w:type="dxa"/>
                  <w:noWrap w:val="0"/>
                  <w:vAlign w:val="center"/>
                </w:tcPr>
                <w:p>
                  <w:pPr>
                    <w:adjustRightInd w:val="0"/>
                    <w:jc w:val="center"/>
                    <w:textAlignment w:val="baseline"/>
                    <w:rPr>
                      <w:b/>
                      <w:color w:val="auto"/>
                      <w:szCs w:val="21"/>
                      <w:highlight w:val="none"/>
                    </w:rPr>
                  </w:pPr>
                  <w:r>
                    <w:rPr>
                      <w:b/>
                      <w:color w:val="auto"/>
                      <w:szCs w:val="21"/>
                      <w:highlight w:val="none"/>
                    </w:rPr>
                    <w:t>年产生量t/a</w:t>
                  </w:r>
                </w:p>
              </w:tc>
              <w:tc>
                <w:tcPr>
                  <w:tcW w:w="795" w:type="dxa"/>
                  <w:noWrap w:val="0"/>
                  <w:vAlign w:val="center"/>
                </w:tcPr>
                <w:p>
                  <w:pPr>
                    <w:adjustRightInd w:val="0"/>
                    <w:jc w:val="center"/>
                    <w:textAlignment w:val="baseline"/>
                    <w:rPr>
                      <w:b/>
                      <w:color w:val="auto"/>
                      <w:szCs w:val="21"/>
                      <w:highlight w:val="none"/>
                    </w:rPr>
                  </w:pPr>
                  <w:r>
                    <w:rPr>
                      <w:b/>
                      <w:color w:val="auto"/>
                      <w:szCs w:val="21"/>
                      <w:highlight w:val="none"/>
                    </w:rPr>
                    <w:t>贮存</w:t>
                  </w:r>
                </w:p>
                <w:p>
                  <w:pPr>
                    <w:adjustRightInd w:val="0"/>
                    <w:jc w:val="center"/>
                    <w:textAlignment w:val="baseline"/>
                    <w:rPr>
                      <w:b/>
                      <w:color w:val="auto"/>
                      <w:szCs w:val="21"/>
                      <w:highlight w:val="none"/>
                    </w:rPr>
                  </w:pPr>
                  <w:r>
                    <w:rPr>
                      <w:b/>
                      <w:color w:val="auto"/>
                      <w:szCs w:val="21"/>
                      <w:highlight w:val="none"/>
                    </w:rPr>
                    <w:t>方式</w:t>
                  </w:r>
                </w:p>
              </w:tc>
              <w:tc>
                <w:tcPr>
                  <w:tcW w:w="873" w:type="dxa"/>
                  <w:noWrap w:val="0"/>
                  <w:vAlign w:val="center"/>
                </w:tcPr>
                <w:p>
                  <w:pPr>
                    <w:adjustRightInd w:val="0"/>
                    <w:jc w:val="center"/>
                    <w:textAlignment w:val="baseline"/>
                    <w:rPr>
                      <w:b/>
                      <w:color w:val="auto"/>
                      <w:szCs w:val="21"/>
                      <w:highlight w:val="none"/>
                    </w:rPr>
                  </w:pPr>
                  <w:r>
                    <w:rPr>
                      <w:b/>
                      <w:color w:val="auto"/>
                      <w:szCs w:val="21"/>
                      <w:highlight w:val="none"/>
                    </w:rPr>
                    <w:t>利用处置方式</w:t>
                  </w:r>
                </w:p>
              </w:tc>
              <w:tc>
                <w:tcPr>
                  <w:tcW w:w="1575" w:type="dxa"/>
                  <w:noWrap w:val="0"/>
                  <w:vAlign w:val="center"/>
                </w:tcPr>
                <w:p>
                  <w:pPr>
                    <w:adjustRightInd w:val="0"/>
                    <w:jc w:val="center"/>
                    <w:textAlignment w:val="baseline"/>
                    <w:rPr>
                      <w:b/>
                      <w:color w:val="auto"/>
                      <w:szCs w:val="21"/>
                      <w:highlight w:val="none"/>
                    </w:rPr>
                  </w:pPr>
                  <w:r>
                    <w:rPr>
                      <w:b/>
                      <w:color w:val="auto"/>
                      <w:szCs w:val="21"/>
                      <w:highlight w:val="none"/>
                    </w:rPr>
                    <w:t>去向</w:t>
                  </w:r>
                </w:p>
              </w:tc>
              <w:tc>
                <w:tcPr>
                  <w:tcW w:w="1189" w:type="dxa"/>
                  <w:noWrap w:val="0"/>
                  <w:vAlign w:val="center"/>
                </w:tcPr>
                <w:p>
                  <w:pPr>
                    <w:adjustRightInd w:val="0"/>
                    <w:jc w:val="center"/>
                    <w:textAlignment w:val="baseline"/>
                    <w:rPr>
                      <w:b/>
                      <w:color w:val="auto"/>
                      <w:szCs w:val="21"/>
                      <w:highlight w:val="none"/>
                    </w:rPr>
                  </w:pPr>
                  <w:r>
                    <w:rPr>
                      <w:b/>
                      <w:color w:val="auto"/>
                      <w:szCs w:val="21"/>
                      <w:highlight w:val="none"/>
                    </w:rPr>
                    <w:t>利用或处置量t/a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134" w:type="dxa"/>
                  <w:noWrap w:val="0"/>
                  <w:vAlign w:val="center"/>
                </w:tcPr>
                <w:p>
                  <w:pPr>
                    <w:adjustRightInd w:val="0"/>
                    <w:jc w:val="center"/>
                    <w:textAlignment w:val="baseline"/>
                    <w:rPr>
                      <w:bCs/>
                      <w:color w:val="auto"/>
                      <w:szCs w:val="21"/>
                      <w:highlight w:val="none"/>
                    </w:rPr>
                  </w:pPr>
                  <w:r>
                    <w:rPr>
                      <w:bCs/>
                      <w:color w:val="auto"/>
                      <w:szCs w:val="21"/>
                      <w:highlight w:val="none"/>
                    </w:rPr>
                    <w:t>生活办公</w:t>
                  </w:r>
                </w:p>
              </w:tc>
              <w:tc>
                <w:tcPr>
                  <w:tcW w:w="1335" w:type="dxa"/>
                  <w:noWrap w:val="0"/>
                  <w:vAlign w:val="center"/>
                </w:tcPr>
                <w:p>
                  <w:pPr>
                    <w:adjustRightInd w:val="0"/>
                    <w:jc w:val="center"/>
                    <w:textAlignment w:val="baseline"/>
                    <w:rPr>
                      <w:bCs/>
                      <w:color w:val="auto"/>
                      <w:szCs w:val="21"/>
                      <w:highlight w:val="none"/>
                    </w:rPr>
                  </w:pPr>
                  <w:r>
                    <w:rPr>
                      <w:bCs/>
                      <w:color w:val="auto"/>
                      <w:szCs w:val="21"/>
                      <w:highlight w:val="none"/>
                    </w:rPr>
                    <w:t>生活垃圾</w:t>
                  </w:r>
                </w:p>
              </w:tc>
              <w:tc>
                <w:tcPr>
                  <w:tcW w:w="1278" w:type="dxa"/>
                  <w:noWrap w:val="0"/>
                  <w:vAlign w:val="center"/>
                </w:tcPr>
                <w:p>
                  <w:pPr>
                    <w:adjustRightInd w:val="0"/>
                    <w:jc w:val="center"/>
                    <w:textAlignment w:val="baseline"/>
                    <w:rPr>
                      <w:rFonts w:hint="eastAsia" w:eastAsia="宋体"/>
                      <w:bCs/>
                      <w:color w:val="auto"/>
                      <w:szCs w:val="21"/>
                      <w:highlight w:val="none"/>
                      <w:lang w:eastAsia="zh-CN"/>
                    </w:rPr>
                  </w:pPr>
                  <w:r>
                    <w:rPr>
                      <w:rFonts w:hint="eastAsia"/>
                      <w:bCs/>
                      <w:color w:val="auto"/>
                      <w:szCs w:val="21"/>
                      <w:highlight w:val="none"/>
                      <w:lang w:eastAsia="zh-CN"/>
                    </w:rPr>
                    <w:t>生活垃圾</w:t>
                  </w:r>
                </w:p>
              </w:tc>
              <w:tc>
                <w:tcPr>
                  <w:tcW w:w="1330" w:type="dxa"/>
                  <w:noWrap w:val="0"/>
                  <w:vAlign w:val="center"/>
                </w:tcPr>
                <w:p>
                  <w:pPr>
                    <w:adjustRightInd w:val="0"/>
                    <w:jc w:val="center"/>
                    <w:textAlignment w:val="baseline"/>
                    <w:rPr>
                      <w:bCs/>
                      <w:color w:val="auto"/>
                      <w:szCs w:val="21"/>
                      <w:highlight w:val="none"/>
                    </w:rPr>
                  </w:pPr>
                  <w:r>
                    <w:rPr>
                      <w:bCs/>
                      <w:color w:val="auto"/>
                      <w:szCs w:val="21"/>
                      <w:highlight w:val="none"/>
                    </w:rPr>
                    <w:t>/</w:t>
                  </w:r>
                </w:p>
              </w:tc>
              <w:tc>
                <w:tcPr>
                  <w:tcW w:w="769" w:type="dxa"/>
                  <w:noWrap w:val="0"/>
                  <w:vAlign w:val="center"/>
                </w:tcPr>
                <w:p>
                  <w:pPr>
                    <w:adjustRightInd w:val="0"/>
                    <w:jc w:val="center"/>
                    <w:textAlignment w:val="baseline"/>
                    <w:rPr>
                      <w:bCs/>
                      <w:color w:val="auto"/>
                      <w:szCs w:val="21"/>
                      <w:highlight w:val="none"/>
                    </w:rPr>
                  </w:pPr>
                  <w:r>
                    <w:rPr>
                      <w:bCs/>
                      <w:color w:val="auto"/>
                      <w:szCs w:val="21"/>
                      <w:highlight w:val="none"/>
                    </w:rPr>
                    <w:t>固态</w:t>
                  </w:r>
                </w:p>
              </w:tc>
              <w:tc>
                <w:tcPr>
                  <w:tcW w:w="1101" w:type="dxa"/>
                  <w:noWrap w:val="0"/>
                  <w:vAlign w:val="center"/>
                </w:tcPr>
                <w:p>
                  <w:pPr>
                    <w:adjustRightInd w:val="0"/>
                    <w:jc w:val="center"/>
                    <w:textAlignment w:val="baseline"/>
                    <w:rPr>
                      <w:bCs/>
                      <w:color w:val="auto"/>
                      <w:szCs w:val="21"/>
                      <w:highlight w:val="none"/>
                    </w:rPr>
                  </w:pPr>
                  <w:r>
                    <w:rPr>
                      <w:bCs/>
                      <w:color w:val="auto"/>
                      <w:szCs w:val="21"/>
                      <w:highlight w:val="none"/>
                    </w:rPr>
                    <w:t>/</w:t>
                  </w:r>
                </w:p>
              </w:tc>
              <w:tc>
                <w:tcPr>
                  <w:tcW w:w="945" w:type="dxa"/>
                  <w:noWrap w:val="0"/>
                  <w:vAlign w:val="center"/>
                </w:tcPr>
                <w:p>
                  <w:pPr>
                    <w:jc w:val="center"/>
                    <w:rPr>
                      <w:rFonts w:hint="default" w:eastAsia="宋体"/>
                      <w:bCs/>
                      <w:color w:val="auto"/>
                      <w:szCs w:val="21"/>
                      <w:highlight w:val="none"/>
                      <w:lang w:val="en-US" w:eastAsia="zh-CN"/>
                    </w:rPr>
                  </w:pPr>
                  <w:r>
                    <w:rPr>
                      <w:rFonts w:hint="eastAsia"/>
                      <w:color w:val="auto"/>
                      <w:szCs w:val="21"/>
                      <w:highlight w:val="none"/>
                      <w:lang w:val="en-US" w:eastAsia="zh-CN"/>
                    </w:rPr>
                    <w:t>4.5</w:t>
                  </w:r>
                </w:p>
              </w:tc>
              <w:tc>
                <w:tcPr>
                  <w:tcW w:w="795" w:type="dxa"/>
                  <w:noWrap w:val="0"/>
                  <w:vAlign w:val="center"/>
                </w:tcPr>
                <w:p>
                  <w:pPr>
                    <w:adjustRightInd w:val="0"/>
                    <w:jc w:val="center"/>
                    <w:textAlignment w:val="baseline"/>
                    <w:rPr>
                      <w:bCs/>
                      <w:color w:val="auto"/>
                      <w:szCs w:val="21"/>
                      <w:highlight w:val="none"/>
                    </w:rPr>
                  </w:pPr>
                  <w:r>
                    <w:rPr>
                      <w:bCs/>
                      <w:color w:val="auto"/>
                      <w:szCs w:val="21"/>
                      <w:highlight w:val="none"/>
                    </w:rPr>
                    <w:t>/</w:t>
                  </w:r>
                </w:p>
              </w:tc>
              <w:tc>
                <w:tcPr>
                  <w:tcW w:w="873" w:type="dxa"/>
                  <w:vMerge w:val="restart"/>
                  <w:noWrap w:val="0"/>
                  <w:vAlign w:val="center"/>
                </w:tcPr>
                <w:p>
                  <w:pPr>
                    <w:adjustRightInd w:val="0"/>
                    <w:jc w:val="center"/>
                    <w:textAlignment w:val="baseline"/>
                    <w:rPr>
                      <w:rFonts w:hint="eastAsia" w:eastAsia="宋体"/>
                      <w:bCs/>
                      <w:color w:val="auto"/>
                      <w:szCs w:val="21"/>
                      <w:highlight w:val="none"/>
                      <w:lang w:eastAsia="zh-CN"/>
                    </w:rPr>
                  </w:pPr>
                  <w:r>
                    <w:rPr>
                      <w:rFonts w:hint="eastAsia"/>
                      <w:bCs/>
                      <w:color w:val="auto"/>
                      <w:szCs w:val="21"/>
                      <w:highlight w:val="none"/>
                      <w:lang w:eastAsia="zh-CN"/>
                    </w:rPr>
                    <w:t>委托处置</w:t>
                  </w:r>
                </w:p>
              </w:tc>
              <w:tc>
                <w:tcPr>
                  <w:tcW w:w="1575" w:type="dxa"/>
                  <w:vMerge w:val="restart"/>
                  <w:noWrap w:val="0"/>
                  <w:vAlign w:val="center"/>
                </w:tcPr>
                <w:p>
                  <w:pPr>
                    <w:adjustRightInd w:val="0"/>
                    <w:jc w:val="center"/>
                    <w:textAlignment w:val="baseline"/>
                    <w:rPr>
                      <w:rFonts w:hint="eastAsia" w:eastAsia="宋体"/>
                      <w:bCs/>
                      <w:color w:val="auto"/>
                      <w:szCs w:val="21"/>
                      <w:highlight w:val="none"/>
                      <w:lang w:eastAsia="zh-CN"/>
                    </w:rPr>
                  </w:pPr>
                  <w:r>
                    <w:rPr>
                      <w:rFonts w:hint="eastAsia"/>
                      <w:bCs/>
                      <w:color w:val="auto"/>
                      <w:szCs w:val="21"/>
                      <w:highlight w:val="none"/>
                      <w:lang w:eastAsia="zh-CN"/>
                    </w:rPr>
                    <w:t>环卫部门</w:t>
                  </w:r>
                </w:p>
              </w:tc>
              <w:tc>
                <w:tcPr>
                  <w:tcW w:w="1189" w:type="dxa"/>
                  <w:noWrap w:val="0"/>
                  <w:vAlign w:val="center"/>
                </w:tcPr>
                <w:p>
                  <w:pPr>
                    <w:jc w:val="center"/>
                    <w:rPr>
                      <w:bCs/>
                      <w:color w:val="auto"/>
                      <w:szCs w:val="21"/>
                      <w:highlight w:val="none"/>
                    </w:rPr>
                  </w:pPr>
                  <w:r>
                    <w:rPr>
                      <w:rFonts w:hint="eastAsia"/>
                      <w:color w:val="auto"/>
                      <w:szCs w:val="21"/>
                      <w:highlight w:val="none"/>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134" w:type="dxa"/>
                  <w:noWrap w:val="0"/>
                  <w:vAlign w:val="center"/>
                </w:tcPr>
                <w:p>
                  <w:pPr>
                    <w:adjustRightInd w:val="0"/>
                    <w:jc w:val="center"/>
                    <w:textAlignment w:val="baseline"/>
                    <w:rPr>
                      <w:rFonts w:hint="eastAsia"/>
                      <w:bCs/>
                      <w:color w:val="auto"/>
                      <w:kern w:val="2"/>
                      <w:sz w:val="21"/>
                      <w:szCs w:val="21"/>
                      <w:highlight w:val="none"/>
                      <w:lang w:val="en-US" w:eastAsia="zh-CN" w:bidi="ar-SA"/>
                    </w:rPr>
                  </w:pPr>
                  <w:r>
                    <w:rPr>
                      <w:rFonts w:hint="eastAsia"/>
                      <w:bCs/>
                      <w:color w:val="auto"/>
                      <w:szCs w:val="21"/>
                      <w:highlight w:val="none"/>
                      <w:lang w:eastAsia="zh-CN"/>
                    </w:rPr>
                    <w:t>水池</w:t>
                  </w:r>
                </w:p>
              </w:tc>
              <w:tc>
                <w:tcPr>
                  <w:tcW w:w="1335" w:type="dxa"/>
                  <w:noWrap w:val="0"/>
                  <w:vAlign w:val="center"/>
                </w:tcPr>
                <w:p>
                  <w:pPr>
                    <w:jc w:val="center"/>
                    <w:rPr>
                      <w:rFonts w:hint="eastAsia"/>
                      <w:color w:val="auto"/>
                      <w:kern w:val="2"/>
                      <w:sz w:val="21"/>
                      <w:szCs w:val="21"/>
                      <w:highlight w:val="none"/>
                      <w:lang w:val="en-US" w:eastAsia="zh-CN" w:bidi="ar-SA"/>
                    </w:rPr>
                  </w:pPr>
                  <w:r>
                    <w:rPr>
                      <w:rFonts w:hint="eastAsia"/>
                      <w:color w:val="auto"/>
                      <w:szCs w:val="21"/>
                      <w:highlight w:val="none"/>
                      <w:lang w:eastAsia="zh-CN"/>
                    </w:rPr>
                    <w:t>水池沉渣</w:t>
                  </w:r>
                </w:p>
              </w:tc>
              <w:tc>
                <w:tcPr>
                  <w:tcW w:w="1278" w:type="dxa"/>
                  <w:vMerge w:val="restart"/>
                  <w:noWrap w:val="0"/>
                  <w:vAlign w:val="center"/>
                </w:tcPr>
                <w:p>
                  <w:pPr>
                    <w:adjustRightInd w:val="0"/>
                    <w:jc w:val="center"/>
                    <w:textAlignment w:val="baseline"/>
                    <w:rPr>
                      <w:bCs/>
                      <w:color w:val="auto"/>
                      <w:szCs w:val="21"/>
                      <w:highlight w:val="none"/>
                    </w:rPr>
                  </w:pPr>
                  <w:r>
                    <w:rPr>
                      <w:bCs/>
                      <w:color w:val="auto"/>
                      <w:szCs w:val="21"/>
                      <w:highlight w:val="none"/>
                    </w:rPr>
                    <w:t>一般工业固体废物</w:t>
                  </w:r>
                </w:p>
              </w:tc>
              <w:tc>
                <w:tcPr>
                  <w:tcW w:w="1330" w:type="dxa"/>
                  <w:noWrap w:val="0"/>
                  <w:vAlign w:val="center"/>
                </w:tcPr>
                <w:p>
                  <w:pPr>
                    <w:adjustRightInd w:val="0"/>
                    <w:jc w:val="center"/>
                    <w:textAlignment w:val="baseline"/>
                    <w:rPr>
                      <w:bCs/>
                      <w:color w:val="auto"/>
                      <w:szCs w:val="21"/>
                      <w:highlight w:val="none"/>
                    </w:rPr>
                  </w:pPr>
                  <w:r>
                    <w:rPr>
                      <w:bCs/>
                      <w:color w:val="auto"/>
                      <w:szCs w:val="21"/>
                      <w:highlight w:val="none"/>
                    </w:rPr>
                    <w:t>/</w:t>
                  </w:r>
                </w:p>
              </w:tc>
              <w:tc>
                <w:tcPr>
                  <w:tcW w:w="769" w:type="dxa"/>
                  <w:noWrap w:val="0"/>
                  <w:vAlign w:val="center"/>
                </w:tcPr>
                <w:p>
                  <w:pPr>
                    <w:adjustRightInd w:val="0"/>
                    <w:jc w:val="center"/>
                    <w:textAlignment w:val="baseline"/>
                    <w:rPr>
                      <w:bCs/>
                      <w:color w:val="auto"/>
                      <w:szCs w:val="21"/>
                      <w:highlight w:val="none"/>
                    </w:rPr>
                  </w:pPr>
                  <w:r>
                    <w:rPr>
                      <w:bCs/>
                      <w:color w:val="auto"/>
                      <w:szCs w:val="21"/>
                      <w:highlight w:val="none"/>
                    </w:rPr>
                    <w:t>固态</w:t>
                  </w:r>
                </w:p>
              </w:tc>
              <w:tc>
                <w:tcPr>
                  <w:tcW w:w="1101" w:type="dxa"/>
                  <w:noWrap w:val="0"/>
                  <w:vAlign w:val="center"/>
                </w:tcPr>
                <w:p>
                  <w:pPr>
                    <w:adjustRightInd w:val="0"/>
                    <w:jc w:val="center"/>
                    <w:textAlignment w:val="baseline"/>
                    <w:rPr>
                      <w:bCs/>
                      <w:color w:val="auto"/>
                      <w:szCs w:val="21"/>
                      <w:highlight w:val="none"/>
                    </w:rPr>
                  </w:pPr>
                  <w:r>
                    <w:rPr>
                      <w:bCs/>
                      <w:color w:val="auto"/>
                      <w:szCs w:val="21"/>
                      <w:highlight w:val="none"/>
                    </w:rPr>
                    <w:t>/</w:t>
                  </w:r>
                </w:p>
              </w:tc>
              <w:tc>
                <w:tcPr>
                  <w:tcW w:w="945" w:type="dxa"/>
                  <w:noWrap w:val="0"/>
                  <w:vAlign w:val="center"/>
                </w:tcPr>
                <w:p>
                  <w:pPr>
                    <w:jc w:val="center"/>
                    <w:rPr>
                      <w:rFonts w:hint="default" w:eastAsia="宋体"/>
                      <w:bCs/>
                      <w:color w:val="auto"/>
                      <w:szCs w:val="21"/>
                      <w:highlight w:val="none"/>
                      <w:lang w:val="en-US" w:eastAsia="zh-CN"/>
                    </w:rPr>
                  </w:pPr>
                  <w:r>
                    <w:rPr>
                      <w:rFonts w:hint="eastAsia"/>
                      <w:color w:val="auto"/>
                      <w:szCs w:val="21"/>
                      <w:highlight w:val="none"/>
                      <w:lang w:val="en-US" w:eastAsia="zh-CN"/>
                    </w:rPr>
                    <w:t>4.6</w:t>
                  </w:r>
                </w:p>
              </w:tc>
              <w:tc>
                <w:tcPr>
                  <w:tcW w:w="795" w:type="dxa"/>
                  <w:noWrap w:val="0"/>
                  <w:vAlign w:val="center"/>
                </w:tcPr>
                <w:p>
                  <w:pPr>
                    <w:adjustRightInd w:val="0"/>
                    <w:jc w:val="center"/>
                    <w:textAlignment w:val="baseline"/>
                    <w:rPr>
                      <w:bCs/>
                      <w:color w:val="auto"/>
                      <w:szCs w:val="21"/>
                      <w:highlight w:val="none"/>
                    </w:rPr>
                  </w:pPr>
                  <w:r>
                    <w:rPr>
                      <w:bCs/>
                      <w:color w:val="auto"/>
                      <w:szCs w:val="21"/>
                      <w:highlight w:val="none"/>
                    </w:rPr>
                    <w:t>/</w:t>
                  </w:r>
                </w:p>
              </w:tc>
              <w:tc>
                <w:tcPr>
                  <w:tcW w:w="873" w:type="dxa"/>
                  <w:vMerge w:val="continue"/>
                  <w:noWrap w:val="0"/>
                  <w:vAlign w:val="center"/>
                </w:tcPr>
                <w:p>
                  <w:pPr>
                    <w:adjustRightInd w:val="0"/>
                    <w:jc w:val="center"/>
                    <w:textAlignment w:val="baseline"/>
                    <w:rPr>
                      <w:bCs/>
                      <w:color w:val="auto"/>
                      <w:szCs w:val="21"/>
                      <w:highlight w:val="none"/>
                    </w:rPr>
                  </w:pPr>
                </w:p>
              </w:tc>
              <w:tc>
                <w:tcPr>
                  <w:tcW w:w="1575" w:type="dxa"/>
                  <w:vMerge w:val="continue"/>
                  <w:noWrap w:val="0"/>
                  <w:vAlign w:val="center"/>
                </w:tcPr>
                <w:p>
                  <w:pPr>
                    <w:adjustRightInd w:val="0"/>
                    <w:jc w:val="center"/>
                    <w:textAlignment w:val="baseline"/>
                    <w:rPr>
                      <w:bCs/>
                      <w:color w:val="auto"/>
                      <w:szCs w:val="21"/>
                      <w:highlight w:val="none"/>
                    </w:rPr>
                  </w:pPr>
                </w:p>
              </w:tc>
              <w:tc>
                <w:tcPr>
                  <w:tcW w:w="1189" w:type="dxa"/>
                  <w:noWrap w:val="0"/>
                  <w:vAlign w:val="center"/>
                </w:tcPr>
                <w:p>
                  <w:pPr>
                    <w:jc w:val="center"/>
                    <w:rPr>
                      <w:bCs/>
                      <w:color w:val="auto"/>
                      <w:szCs w:val="21"/>
                      <w:highlight w:val="none"/>
                    </w:rPr>
                  </w:pPr>
                  <w:r>
                    <w:rPr>
                      <w:rFonts w:hint="eastAsia"/>
                      <w:color w:val="auto"/>
                      <w:szCs w:val="21"/>
                      <w:highlight w:val="none"/>
                      <w:lang w:val="en-US" w:eastAsia="zh-CN"/>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134" w:type="dxa"/>
                  <w:noWrap w:val="0"/>
                  <w:vAlign w:val="center"/>
                </w:tcPr>
                <w:p>
                  <w:pPr>
                    <w:adjustRightInd w:val="0"/>
                    <w:jc w:val="center"/>
                    <w:textAlignment w:val="baseline"/>
                    <w:rPr>
                      <w:rFonts w:hint="eastAsia"/>
                      <w:bCs/>
                      <w:color w:val="auto"/>
                      <w:szCs w:val="21"/>
                      <w:highlight w:val="none"/>
                      <w:lang w:eastAsia="zh-CN"/>
                    </w:rPr>
                  </w:pPr>
                  <w:r>
                    <w:rPr>
                      <w:rFonts w:hint="eastAsia"/>
                      <w:bCs/>
                      <w:color w:val="auto"/>
                      <w:szCs w:val="21"/>
                      <w:highlight w:val="none"/>
                      <w:lang w:eastAsia="zh-CN"/>
                    </w:rPr>
                    <w:t>切割、</w:t>
                  </w:r>
                </w:p>
                <w:p>
                  <w:pPr>
                    <w:adjustRightInd w:val="0"/>
                    <w:jc w:val="center"/>
                    <w:textAlignment w:val="baseline"/>
                    <w:rPr>
                      <w:rFonts w:hint="eastAsia"/>
                      <w:bCs/>
                      <w:color w:val="auto"/>
                      <w:szCs w:val="21"/>
                      <w:highlight w:val="none"/>
                      <w:lang w:eastAsia="zh-CN"/>
                    </w:rPr>
                  </w:pPr>
                  <w:r>
                    <w:rPr>
                      <w:rFonts w:hint="eastAsia"/>
                      <w:bCs/>
                      <w:color w:val="auto"/>
                      <w:szCs w:val="21"/>
                      <w:highlight w:val="none"/>
                      <w:lang w:eastAsia="zh-CN"/>
                    </w:rPr>
                    <w:t>检验</w:t>
                  </w:r>
                </w:p>
              </w:tc>
              <w:tc>
                <w:tcPr>
                  <w:tcW w:w="1335" w:type="dxa"/>
                  <w:noWrap w:val="0"/>
                  <w:vAlign w:val="center"/>
                </w:tcPr>
                <w:p>
                  <w:pPr>
                    <w:jc w:val="center"/>
                    <w:rPr>
                      <w:rFonts w:hint="eastAsia"/>
                      <w:color w:val="auto"/>
                      <w:szCs w:val="21"/>
                      <w:highlight w:val="none"/>
                      <w:lang w:eastAsia="zh-CN"/>
                    </w:rPr>
                  </w:pPr>
                  <w:r>
                    <w:rPr>
                      <w:rFonts w:hint="eastAsia"/>
                      <w:color w:val="auto"/>
                      <w:szCs w:val="21"/>
                      <w:highlight w:val="none"/>
                      <w:lang w:eastAsia="zh-CN"/>
                    </w:rPr>
                    <w:t>边角料合不合格产品</w:t>
                  </w:r>
                </w:p>
              </w:tc>
              <w:tc>
                <w:tcPr>
                  <w:tcW w:w="1278" w:type="dxa"/>
                  <w:vMerge w:val="continue"/>
                  <w:noWrap w:val="0"/>
                  <w:vAlign w:val="center"/>
                </w:tcPr>
                <w:p>
                  <w:pPr>
                    <w:adjustRightInd w:val="0"/>
                    <w:jc w:val="center"/>
                    <w:textAlignment w:val="baseline"/>
                    <w:rPr>
                      <w:bCs/>
                      <w:color w:val="auto"/>
                      <w:szCs w:val="21"/>
                      <w:highlight w:val="none"/>
                    </w:rPr>
                  </w:pPr>
                </w:p>
              </w:tc>
              <w:tc>
                <w:tcPr>
                  <w:tcW w:w="1330" w:type="dxa"/>
                  <w:noWrap w:val="0"/>
                  <w:vAlign w:val="center"/>
                </w:tcPr>
                <w:p>
                  <w:pPr>
                    <w:adjustRightInd w:val="0"/>
                    <w:jc w:val="center"/>
                    <w:textAlignment w:val="baseline"/>
                    <w:rPr>
                      <w:bCs/>
                      <w:color w:val="auto"/>
                      <w:szCs w:val="21"/>
                      <w:highlight w:val="none"/>
                    </w:rPr>
                  </w:pPr>
                  <w:r>
                    <w:rPr>
                      <w:bCs/>
                      <w:color w:val="auto"/>
                      <w:szCs w:val="21"/>
                      <w:highlight w:val="none"/>
                    </w:rPr>
                    <w:t>/</w:t>
                  </w:r>
                </w:p>
              </w:tc>
              <w:tc>
                <w:tcPr>
                  <w:tcW w:w="769" w:type="dxa"/>
                  <w:noWrap w:val="0"/>
                  <w:vAlign w:val="center"/>
                </w:tcPr>
                <w:p>
                  <w:pPr>
                    <w:adjustRightInd w:val="0"/>
                    <w:jc w:val="center"/>
                    <w:textAlignment w:val="baseline"/>
                    <w:rPr>
                      <w:bCs/>
                      <w:color w:val="auto"/>
                      <w:szCs w:val="21"/>
                      <w:highlight w:val="none"/>
                    </w:rPr>
                  </w:pPr>
                  <w:r>
                    <w:rPr>
                      <w:bCs/>
                      <w:color w:val="auto"/>
                      <w:szCs w:val="21"/>
                      <w:highlight w:val="none"/>
                    </w:rPr>
                    <w:t>固态</w:t>
                  </w:r>
                </w:p>
              </w:tc>
              <w:tc>
                <w:tcPr>
                  <w:tcW w:w="1101" w:type="dxa"/>
                  <w:noWrap w:val="0"/>
                  <w:vAlign w:val="center"/>
                </w:tcPr>
                <w:p>
                  <w:pPr>
                    <w:adjustRightInd w:val="0"/>
                    <w:jc w:val="center"/>
                    <w:textAlignment w:val="baseline"/>
                    <w:rPr>
                      <w:bCs/>
                      <w:color w:val="auto"/>
                      <w:szCs w:val="21"/>
                      <w:highlight w:val="none"/>
                    </w:rPr>
                  </w:pPr>
                  <w:r>
                    <w:rPr>
                      <w:bCs/>
                      <w:color w:val="auto"/>
                      <w:szCs w:val="21"/>
                      <w:highlight w:val="none"/>
                    </w:rPr>
                    <w:t>/</w:t>
                  </w:r>
                </w:p>
              </w:tc>
              <w:tc>
                <w:tcPr>
                  <w:tcW w:w="945" w:type="dxa"/>
                  <w:noWrap w:val="0"/>
                  <w:vAlign w:val="center"/>
                </w:tcPr>
                <w:p>
                  <w:pPr>
                    <w:jc w:val="center"/>
                    <w:rPr>
                      <w:rFonts w:hint="default"/>
                      <w:color w:val="auto"/>
                      <w:szCs w:val="21"/>
                      <w:highlight w:val="none"/>
                      <w:lang w:val="en-US" w:eastAsia="zh-CN"/>
                    </w:rPr>
                  </w:pPr>
                  <w:r>
                    <w:rPr>
                      <w:rFonts w:hint="eastAsia"/>
                      <w:color w:val="auto"/>
                      <w:szCs w:val="21"/>
                      <w:highlight w:val="none"/>
                      <w:lang w:val="en-US" w:eastAsia="zh-CN"/>
                    </w:rPr>
                    <w:t>50.4</w:t>
                  </w:r>
                </w:p>
              </w:tc>
              <w:tc>
                <w:tcPr>
                  <w:tcW w:w="795" w:type="dxa"/>
                  <w:noWrap w:val="0"/>
                  <w:vAlign w:val="center"/>
                </w:tcPr>
                <w:p>
                  <w:pPr>
                    <w:adjustRightInd w:val="0"/>
                    <w:jc w:val="center"/>
                    <w:textAlignment w:val="baseline"/>
                    <w:rPr>
                      <w:bCs/>
                      <w:color w:val="auto"/>
                      <w:szCs w:val="21"/>
                      <w:highlight w:val="none"/>
                    </w:rPr>
                  </w:pPr>
                  <w:r>
                    <w:rPr>
                      <w:bCs/>
                      <w:color w:val="auto"/>
                      <w:szCs w:val="21"/>
                      <w:highlight w:val="none"/>
                    </w:rPr>
                    <w:t>/</w:t>
                  </w:r>
                </w:p>
              </w:tc>
              <w:tc>
                <w:tcPr>
                  <w:tcW w:w="873" w:type="dxa"/>
                  <w:vMerge w:val="restart"/>
                  <w:noWrap w:val="0"/>
                  <w:vAlign w:val="center"/>
                </w:tcPr>
                <w:p>
                  <w:pPr>
                    <w:adjustRightInd w:val="0"/>
                    <w:jc w:val="center"/>
                    <w:textAlignment w:val="baseline"/>
                    <w:rPr>
                      <w:rFonts w:hint="default" w:eastAsia="宋体"/>
                      <w:bCs/>
                      <w:color w:val="auto"/>
                      <w:szCs w:val="21"/>
                      <w:highlight w:val="none"/>
                      <w:lang w:val="en-US" w:eastAsia="zh-CN"/>
                    </w:rPr>
                  </w:pPr>
                  <w:r>
                    <w:rPr>
                      <w:rFonts w:hint="eastAsia"/>
                      <w:bCs/>
                      <w:color w:val="auto"/>
                      <w:szCs w:val="21"/>
                      <w:highlight w:val="none"/>
                      <w:lang w:val="en-US" w:eastAsia="zh-CN"/>
                    </w:rPr>
                    <w:t>委托利用</w:t>
                  </w:r>
                </w:p>
              </w:tc>
              <w:tc>
                <w:tcPr>
                  <w:tcW w:w="1575" w:type="dxa"/>
                  <w:noWrap w:val="0"/>
                  <w:vAlign w:val="center"/>
                </w:tcPr>
                <w:p>
                  <w:pPr>
                    <w:adjustRightInd w:val="0"/>
                    <w:jc w:val="center"/>
                    <w:textAlignment w:val="baseline"/>
                    <w:rPr>
                      <w:rFonts w:hint="eastAsia" w:eastAsia="宋体"/>
                      <w:bCs/>
                      <w:color w:val="auto"/>
                      <w:szCs w:val="21"/>
                      <w:highlight w:val="none"/>
                      <w:lang w:eastAsia="zh-CN"/>
                    </w:rPr>
                  </w:pPr>
                  <w:r>
                    <w:rPr>
                      <w:rFonts w:hint="eastAsia"/>
                      <w:bCs/>
                      <w:color w:val="auto"/>
                      <w:szCs w:val="21"/>
                      <w:highlight w:val="none"/>
                      <w:lang w:eastAsia="zh-CN"/>
                    </w:rPr>
                    <w:t>收集外售或厂家回收</w:t>
                  </w:r>
                </w:p>
              </w:tc>
              <w:tc>
                <w:tcPr>
                  <w:tcW w:w="1189" w:type="dxa"/>
                  <w:noWrap w:val="0"/>
                  <w:vAlign w:val="center"/>
                </w:tcPr>
                <w:p>
                  <w:pPr>
                    <w:jc w:val="center"/>
                    <w:rPr>
                      <w:rFonts w:hint="eastAsia"/>
                      <w:color w:val="auto"/>
                      <w:szCs w:val="21"/>
                      <w:highlight w:val="none"/>
                      <w:lang w:val="en-US" w:eastAsia="zh-CN"/>
                    </w:rPr>
                  </w:pPr>
                  <w:r>
                    <w:rPr>
                      <w:rFonts w:hint="eastAsia"/>
                      <w:color w:val="auto"/>
                      <w:szCs w:val="21"/>
                      <w:highlight w:val="none"/>
                      <w:lang w:val="en-US" w:eastAsia="zh-CN"/>
                    </w:rPr>
                    <w:t>50.4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7" w:hRule="atLeast"/>
                <w:jc w:val="center"/>
              </w:trPr>
              <w:tc>
                <w:tcPr>
                  <w:tcW w:w="1134" w:type="dxa"/>
                  <w:noWrap w:val="0"/>
                  <w:vAlign w:val="center"/>
                </w:tcPr>
                <w:p>
                  <w:pPr>
                    <w:adjustRightInd w:val="0"/>
                    <w:jc w:val="center"/>
                    <w:textAlignment w:val="baseline"/>
                    <w:rPr>
                      <w:rFonts w:hint="eastAsia" w:eastAsia="宋体"/>
                      <w:bCs/>
                      <w:color w:val="auto"/>
                      <w:szCs w:val="21"/>
                      <w:highlight w:val="none"/>
                      <w:lang w:eastAsia="zh-CN"/>
                    </w:rPr>
                  </w:pPr>
                  <w:r>
                    <w:rPr>
                      <w:rFonts w:hint="eastAsia" w:eastAsia="宋体"/>
                      <w:bCs/>
                      <w:color w:val="auto"/>
                      <w:szCs w:val="21"/>
                      <w:highlight w:val="none"/>
                      <w:lang w:eastAsia="zh-CN"/>
                    </w:rPr>
                    <w:t>原辅料</w:t>
                  </w:r>
                </w:p>
              </w:tc>
              <w:tc>
                <w:tcPr>
                  <w:tcW w:w="1335" w:type="dxa"/>
                  <w:noWrap w:val="0"/>
                  <w:vAlign w:val="center"/>
                </w:tcPr>
                <w:p>
                  <w:pPr>
                    <w:jc w:val="center"/>
                    <w:rPr>
                      <w:rFonts w:hint="eastAsia" w:eastAsia="宋体"/>
                      <w:color w:val="auto"/>
                      <w:szCs w:val="21"/>
                      <w:highlight w:val="none"/>
                      <w:lang w:eastAsia="zh-CN"/>
                    </w:rPr>
                  </w:pPr>
                  <w:r>
                    <w:rPr>
                      <w:rFonts w:hint="eastAsia" w:eastAsia="宋体"/>
                      <w:color w:val="auto"/>
                      <w:szCs w:val="21"/>
                      <w:highlight w:val="none"/>
                      <w:lang w:eastAsia="zh-CN"/>
                    </w:rPr>
                    <w:t>废包装材料</w:t>
                  </w:r>
                </w:p>
              </w:tc>
              <w:tc>
                <w:tcPr>
                  <w:tcW w:w="1278" w:type="dxa"/>
                  <w:vMerge w:val="continue"/>
                  <w:noWrap w:val="0"/>
                  <w:vAlign w:val="center"/>
                </w:tcPr>
                <w:p>
                  <w:pPr>
                    <w:adjustRightInd w:val="0"/>
                    <w:jc w:val="center"/>
                    <w:textAlignment w:val="baseline"/>
                    <w:rPr>
                      <w:bCs/>
                      <w:color w:val="auto"/>
                      <w:szCs w:val="21"/>
                      <w:highlight w:val="none"/>
                    </w:rPr>
                  </w:pPr>
                </w:p>
              </w:tc>
              <w:tc>
                <w:tcPr>
                  <w:tcW w:w="1330" w:type="dxa"/>
                  <w:noWrap w:val="0"/>
                  <w:vAlign w:val="center"/>
                </w:tcPr>
                <w:p>
                  <w:pPr>
                    <w:adjustRightInd w:val="0"/>
                    <w:jc w:val="center"/>
                    <w:textAlignment w:val="baseline"/>
                    <w:rPr>
                      <w:bCs/>
                      <w:color w:val="auto"/>
                      <w:szCs w:val="21"/>
                      <w:highlight w:val="none"/>
                    </w:rPr>
                  </w:pPr>
                  <w:r>
                    <w:rPr>
                      <w:bCs/>
                      <w:color w:val="auto"/>
                      <w:szCs w:val="21"/>
                      <w:highlight w:val="none"/>
                    </w:rPr>
                    <w:t>/</w:t>
                  </w:r>
                </w:p>
              </w:tc>
              <w:tc>
                <w:tcPr>
                  <w:tcW w:w="769" w:type="dxa"/>
                  <w:noWrap w:val="0"/>
                  <w:vAlign w:val="center"/>
                </w:tcPr>
                <w:p>
                  <w:pPr>
                    <w:adjustRightInd w:val="0"/>
                    <w:jc w:val="center"/>
                    <w:textAlignment w:val="baseline"/>
                    <w:rPr>
                      <w:bCs/>
                      <w:color w:val="auto"/>
                      <w:szCs w:val="21"/>
                      <w:highlight w:val="none"/>
                    </w:rPr>
                  </w:pPr>
                  <w:r>
                    <w:rPr>
                      <w:bCs/>
                      <w:color w:val="auto"/>
                      <w:szCs w:val="21"/>
                      <w:highlight w:val="none"/>
                    </w:rPr>
                    <w:t>固态</w:t>
                  </w:r>
                </w:p>
              </w:tc>
              <w:tc>
                <w:tcPr>
                  <w:tcW w:w="1101" w:type="dxa"/>
                  <w:noWrap w:val="0"/>
                  <w:vAlign w:val="center"/>
                </w:tcPr>
                <w:p>
                  <w:pPr>
                    <w:adjustRightInd w:val="0"/>
                    <w:jc w:val="center"/>
                    <w:textAlignment w:val="baseline"/>
                    <w:rPr>
                      <w:bCs/>
                      <w:color w:val="auto"/>
                      <w:szCs w:val="21"/>
                      <w:highlight w:val="none"/>
                    </w:rPr>
                  </w:pPr>
                  <w:r>
                    <w:rPr>
                      <w:bCs/>
                      <w:color w:val="auto"/>
                      <w:szCs w:val="21"/>
                      <w:highlight w:val="none"/>
                    </w:rPr>
                    <w:t>/</w:t>
                  </w:r>
                </w:p>
              </w:tc>
              <w:tc>
                <w:tcPr>
                  <w:tcW w:w="945" w:type="dxa"/>
                  <w:noWrap w:val="0"/>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0.5</w:t>
                  </w:r>
                </w:p>
              </w:tc>
              <w:tc>
                <w:tcPr>
                  <w:tcW w:w="795" w:type="dxa"/>
                  <w:noWrap w:val="0"/>
                  <w:vAlign w:val="center"/>
                </w:tcPr>
                <w:p>
                  <w:pPr>
                    <w:adjustRightInd w:val="0"/>
                    <w:jc w:val="center"/>
                    <w:textAlignment w:val="baseline"/>
                    <w:rPr>
                      <w:bCs/>
                      <w:color w:val="auto"/>
                      <w:szCs w:val="21"/>
                      <w:highlight w:val="none"/>
                    </w:rPr>
                  </w:pPr>
                  <w:r>
                    <w:rPr>
                      <w:bCs/>
                      <w:color w:val="auto"/>
                      <w:szCs w:val="21"/>
                      <w:highlight w:val="none"/>
                    </w:rPr>
                    <w:t>/</w:t>
                  </w:r>
                </w:p>
              </w:tc>
              <w:tc>
                <w:tcPr>
                  <w:tcW w:w="873" w:type="dxa"/>
                  <w:vMerge w:val="continue"/>
                  <w:noWrap w:val="0"/>
                  <w:vAlign w:val="center"/>
                </w:tcPr>
                <w:p>
                  <w:pPr>
                    <w:adjustRightInd w:val="0"/>
                    <w:jc w:val="center"/>
                    <w:textAlignment w:val="baseline"/>
                    <w:rPr>
                      <w:rFonts w:hint="eastAsia" w:eastAsia="宋体"/>
                      <w:bCs/>
                      <w:color w:val="auto"/>
                      <w:szCs w:val="21"/>
                      <w:highlight w:val="none"/>
                      <w:lang w:eastAsia="zh-CN"/>
                    </w:rPr>
                  </w:pPr>
                </w:p>
              </w:tc>
              <w:tc>
                <w:tcPr>
                  <w:tcW w:w="1575" w:type="dxa"/>
                  <w:noWrap w:val="0"/>
                  <w:vAlign w:val="center"/>
                </w:tcPr>
                <w:p>
                  <w:pPr>
                    <w:adjustRightInd w:val="0"/>
                    <w:jc w:val="center"/>
                    <w:textAlignment w:val="baseline"/>
                    <w:rPr>
                      <w:rFonts w:hint="eastAsia" w:eastAsia="宋体"/>
                      <w:bCs/>
                      <w:color w:val="auto"/>
                      <w:szCs w:val="21"/>
                      <w:highlight w:val="none"/>
                      <w:lang w:eastAsia="zh-CN"/>
                    </w:rPr>
                  </w:pPr>
                  <w:r>
                    <w:rPr>
                      <w:rFonts w:hint="eastAsia"/>
                      <w:bCs/>
                      <w:color w:val="auto"/>
                      <w:szCs w:val="21"/>
                      <w:highlight w:val="none"/>
                      <w:lang w:eastAsia="zh-CN"/>
                    </w:rPr>
                    <w:t>收集外售</w:t>
                  </w:r>
                </w:p>
              </w:tc>
              <w:tc>
                <w:tcPr>
                  <w:tcW w:w="1189" w:type="dxa"/>
                  <w:noWrap w:val="0"/>
                  <w:vAlign w:val="center"/>
                </w:tcPr>
                <w:p>
                  <w:pPr>
                    <w:jc w:val="center"/>
                    <w:rPr>
                      <w:color w:val="auto"/>
                      <w:szCs w:val="21"/>
                      <w:highlight w:val="none"/>
                    </w:rPr>
                  </w:pPr>
                  <w:r>
                    <w:rPr>
                      <w:rFonts w:hint="eastAsia"/>
                      <w:color w:val="auto"/>
                      <w:szCs w:val="21"/>
                      <w:highlight w:val="none"/>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7" w:hRule="atLeast"/>
                <w:jc w:val="center"/>
              </w:trPr>
              <w:tc>
                <w:tcPr>
                  <w:tcW w:w="1134" w:type="dxa"/>
                  <w:noWrap w:val="0"/>
                  <w:vAlign w:val="center"/>
                </w:tcPr>
                <w:p>
                  <w:pPr>
                    <w:jc w:val="center"/>
                    <w:rPr>
                      <w:rFonts w:hint="eastAsia" w:eastAsia="宋体"/>
                      <w:bCs/>
                      <w:color w:val="auto"/>
                      <w:szCs w:val="21"/>
                      <w:highlight w:val="none"/>
                      <w:lang w:eastAsia="zh-CN"/>
                    </w:rPr>
                  </w:pPr>
                  <w:r>
                    <w:rPr>
                      <w:rFonts w:hint="eastAsia" w:ascii="Times New Roman" w:hAnsi="Times New Roman" w:eastAsia="宋体" w:cs="Times New Roman"/>
                      <w:color w:val="auto"/>
                      <w:szCs w:val="21"/>
                      <w:highlight w:val="none"/>
                      <w:lang w:val="en-US" w:eastAsia="zh-CN"/>
                    </w:rPr>
                    <w:t>油漆喷漆</w:t>
                  </w:r>
                </w:p>
              </w:tc>
              <w:tc>
                <w:tcPr>
                  <w:tcW w:w="1335" w:type="dxa"/>
                  <w:noWrap w:val="0"/>
                  <w:vAlign w:val="center"/>
                </w:tcPr>
                <w:p>
                  <w:pPr>
                    <w:jc w:val="center"/>
                    <w:rPr>
                      <w:rFonts w:hint="eastAsia" w:eastAsia="宋体"/>
                      <w:color w:val="auto"/>
                      <w:szCs w:val="21"/>
                      <w:highlight w:val="none"/>
                      <w:lang w:eastAsia="zh-CN"/>
                    </w:rPr>
                  </w:pPr>
                  <w:r>
                    <w:rPr>
                      <w:rFonts w:hint="eastAsia" w:ascii="Times New Roman" w:hAnsi="Times New Roman" w:cs="Times New Roman"/>
                      <w:color w:val="auto"/>
                      <w:szCs w:val="21"/>
                      <w:highlight w:val="none"/>
                      <w:lang w:eastAsia="zh-CN"/>
                    </w:rPr>
                    <w:t>废漆料桶（油漆、稀释剂、固化剂）</w:t>
                  </w:r>
                </w:p>
              </w:tc>
              <w:tc>
                <w:tcPr>
                  <w:tcW w:w="1278" w:type="dxa"/>
                  <w:noWrap w:val="0"/>
                  <w:vAlign w:val="center"/>
                </w:tcPr>
                <w:p>
                  <w:pPr>
                    <w:adjustRightInd w:val="0"/>
                    <w:jc w:val="center"/>
                    <w:textAlignment w:val="baseline"/>
                    <w:rPr>
                      <w:bCs/>
                      <w:color w:val="auto"/>
                      <w:szCs w:val="21"/>
                      <w:highlight w:val="none"/>
                    </w:rPr>
                  </w:pPr>
                  <w:r>
                    <w:rPr>
                      <w:bCs/>
                      <w:color w:val="auto"/>
                      <w:szCs w:val="21"/>
                      <w:highlight w:val="none"/>
                    </w:rPr>
                    <w:t>危险废物</w:t>
                  </w:r>
                </w:p>
                <w:p>
                  <w:pPr>
                    <w:adjustRightInd w:val="0"/>
                    <w:jc w:val="center"/>
                    <w:textAlignment w:val="baseline"/>
                    <w:rPr>
                      <w:bCs/>
                      <w:color w:val="auto"/>
                      <w:szCs w:val="21"/>
                      <w:highlight w:val="none"/>
                    </w:rPr>
                  </w:pPr>
                  <w:r>
                    <w:rPr>
                      <w:color w:val="auto"/>
                      <w:szCs w:val="21"/>
                      <w:highlight w:val="none"/>
                    </w:rPr>
                    <w:t>HW</w:t>
                  </w:r>
                  <w:r>
                    <w:rPr>
                      <w:rFonts w:hint="eastAsia"/>
                      <w:color w:val="auto"/>
                      <w:szCs w:val="21"/>
                      <w:highlight w:val="none"/>
                      <w:lang w:val="en-US" w:eastAsia="zh-CN"/>
                    </w:rPr>
                    <w:t>49</w:t>
                  </w:r>
                  <w:r>
                    <w:rPr>
                      <w:color w:val="auto"/>
                      <w:szCs w:val="21"/>
                      <w:highlight w:val="none"/>
                    </w:rPr>
                    <w:t xml:space="preserve"> </w:t>
                  </w:r>
                  <w:r>
                    <w:rPr>
                      <w:rFonts w:hint="eastAsia"/>
                      <w:color w:val="auto"/>
                      <w:szCs w:val="21"/>
                      <w:highlight w:val="none"/>
                    </w:rPr>
                    <w:t>900-041-49</w:t>
                  </w:r>
                </w:p>
              </w:tc>
              <w:tc>
                <w:tcPr>
                  <w:tcW w:w="1330" w:type="dxa"/>
                  <w:noWrap w:val="0"/>
                  <w:vAlign w:val="center"/>
                </w:tcPr>
                <w:p>
                  <w:pPr>
                    <w:adjustRightInd w:val="0"/>
                    <w:jc w:val="center"/>
                    <w:textAlignment w:val="baseline"/>
                    <w:rPr>
                      <w:bCs/>
                      <w:color w:val="auto"/>
                      <w:szCs w:val="21"/>
                      <w:highlight w:val="none"/>
                    </w:rPr>
                  </w:pPr>
                  <w:r>
                    <w:rPr>
                      <w:rFonts w:hint="eastAsia"/>
                      <w:bCs/>
                      <w:color w:val="auto"/>
                      <w:szCs w:val="21"/>
                      <w:highlight w:val="none"/>
                      <w:lang w:eastAsia="zh-CN"/>
                    </w:rPr>
                    <w:t>有机物</w:t>
                  </w:r>
                </w:p>
              </w:tc>
              <w:tc>
                <w:tcPr>
                  <w:tcW w:w="769" w:type="dxa"/>
                  <w:noWrap w:val="0"/>
                  <w:vAlign w:val="center"/>
                </w:tcPr>
                <w:p>
                  <w:pPr>
                    <w:adjustRightInd w:val="0"/>
                    <w:jc w:val="center"/>
                    <w:textAlignment w:val="baseline"/>
                    <w:rPr>
                      <w:bCs/>
                      <w:color w:val="auto"/>
                      <w:szCs w:val="21"/>
                      <w:highlight w:val="none"/>
                    </w:rPr>
                  </w:pPr>
                  <w:r>
                    <w:rPr>
                      <w:bCs/>
                      <w:color w:val="auto"/>
                      <w:szCs w:val="21"/>
                      <w:highlight w:val="none"/>
                    </w:rPr>
                    <w:t>固态</w:t>
                  </w:r>
                </w:p>
              </w:tc>
              <w:tc>
                <w:tcPr>
                  <w:tcW w:w="1101" w:type="dxa"/>
                  <w:noWrap w:val="0"/>
                  <w:vAlign w:val="center"/>
                </w:tcPr>
                <w:p>
                  <w:pPr>
                    <w:adjustRightInd w:val="0"/>
                    <w:jc w:val="center"/>
                    <w:textAlignment w:val="baseline"/>
                    <w:rPr>
                      <w:bCs/>
                      <w:color w:val="auto"/>
                      <w:szCs w:val="21"/>
                      <w:highlight w:val="none"/>
                    </w:rPr>
                  </w:pPr>
                  <w:r>
                    <w:rPr>
                      <w:rFonts w:hint="eastAsia"/>
                      <w:bCs/>
                      <w:color w:val="auto"/>
                      <w:szCs w:val="21"/>
                      <w:highlight w:val="none"/>
                      <w:lang w:val="en-US" w:eastAsia="zh-CN"/>
                    </w:rPr>
                    <w:t>T，I</w:t>
                  </w:r>
                </w:p>
              </w:tc>
              <w:tc>
                <w:tcPr>
                  <w:tcW w:w="945" w:type="dxa"/>
                  <w:noWrap w:val="0"/>
                  <w:vAlign w:val="center"/>
                </w:tcPr>
                <w:p>
                  <w:pPr>
                    <w:jc w:val="center"/>
                    <w:rPr>
                      <w:rFonts w:hint="default"/>
                      <w:color w:val="auto"/>
                      <w:szCs w:val="21"/>
                      <w:highlight w:val="none"/>
                      <w:lang w:val="en-US" w:eastAsia="zh-CN"/>
                    </w:rPr>
                  </w:pPr>
                  <w:r>
                    <w:rPr>
                      <w:rFonts w:hint="eastAsia"/>
                      <w:color w:val="auto"/>
                      <w:szCs w:val="21"/>
                      <w:highlight w:val="none"/>
                      <w:lang w:val="en-US" w:eastAsia="zh-CN"/>
                    </w:rPr>
                    <w:t>0.0056</w:t>
                  </w:r>
                </w:p>
              </w:tc>
              <w:tc>
                <w:tcPr>
                  <w:tcW w:w="795" w:type="dxa"/>
                  <w:noWrap w:val="0"/>
                  <w:vAlign w:val="center"/>
                </w:tcPr>
                <w:p>
                  <w:pPr>
                    <w:adjustRightInd w:val="0"/>
                    <w:jc w:val="center"/>
                    <w:textAlignment w:val="baseline"/>
                    <w:rPr>
                      <w:rFonts w:hint="eastAsia" w:eastAsia="宋体"/>
                      <w:bCs/>
                      <w:color w:val="auto"/>
                      <w:szCs w:val="21"/>
                      <w:highlight w:val="none"/>
                      <w:lang w:eastAsia="zh-CN"/>
                    </w:rPr>
                  </w:pPr>
                  <w:r>
                    <w:rPr>
                      <w:rFonts w:hint="eastAsia"/>
                      <w:bCs/>
                      <w:color w:val="auto"/>
                      <w:szCs w:val="21"/>
                      <w:highlight w:val="none"/>
                      <w:lang w:val="en-US" w:eastAsia="zh-CN"/>
                    </w:rPr>
                    <w:t>/</w:t>
                  </w:r>
                </w:p>
              </w:tc>
              <w:tc>
                <w:tcPr>
                  <w:tcW w:w="873" w:type="dxa"/>
                  <w:vMerge w:val="restart"/>
                  <w:noWrap w:val="0"/>
                  <w:vAlign w:val="center"/>
                </w:tcPr>
                <w:p>
                  <w:pPr>
                    <w:adjustRightInd w:val="0"/>
                    <w:jc w:val="center"/>
                    <w:textAlignment w:val="baseline"/>
                    <w:rPr>
                      <w:bCs/>
                      <w:color w:val="auto"/>
                      <w:szCs w:val="21"/>
                      <w:highlight w:val="none"/>
                    </w:rPr>
                  </w:pPr>
                  <w:r>
                    <w:rPr>
                      <w:rFonts w:hint="eastAsia"/>
                      <w:bCs/>
                      <w:color w:val="auto"/>
                      <w:szCs w:val="21"/>
                      <w:highlight w:val="none"/>
                      <w:lang w:eastAsia="zh-CN"/>
                    </w:rPr>
                    <w:t>委托处置</w:t>
                  </w:r>
                </w:p>
              </w:tc>
              <w:tc>
                <w:tcPr>
                  <w:tcW w:w="1575" w:type="dxa"/>
                  <w:vMerge w:val="restart"/>
                  <w:noWrap w:val="0"/>
                  <w:vAlign w:val="center"/>
                </w:tcPr>
                <w:p>
                  <w:pPr>
                    <w:adjustRightInd w:val="0"/>
                    <w:jc w:val="center"/>
                    <w:textAlignment w:val="baseline"/>
                    <w:rPr>
                      <w:rFonts w:hint="eastAsia"/>
                      <w:bCs/>
                      <w:color w:val="auto"/>
                      <w:szCs w:val="21"/>
                      <w:highlight w:val="none"/>
                      <w:lang w:eastAsia="zh-CN"/>
                    </w:rPr>
                  </w:pPr>
                  <w:r>
                    <w:rPr>
                      <w:rFonts w:hint="eastAsia"/>
                      <w:bCs/>
                      <w:color w:val="auto"/>
                      <w:szCs w:val="21"/>
                      <w:highlight w:val="none"/>
                      <w:lang w:eastAsia="zh-CN"/>
                    </w:rPr>
                    <w:t>交由具有相应处理资质的单位处置</w:t>
                  </w:r>
                </w:p>
              </w:tc>
              <w:tc>
                <w:tcPr>
                  <w:tcW w:w="1189" w:type="dxa"/>
                  <w:noWrap w:val="0"/>
                  <w:vAlign w:val="center"/>
                </w:tcPr>
                <w:p>
                  <w:pPr>
                    <w:jc w:val="center"/>
                    <w:rPr>
                      <w:rFonts w:hint="eastAsia"/>
                      <w:color w:val="auto"/>
                      <w:szCs w:val="21"/>
                      <w:highlight w:val="none"/>
                      <w:lang w:val="en-US" w:eastAsia="zh-CN"/>
                    </w:rPr>
                  </w:pPr>
                  <w:r>
                    <w:rPr>
                      <w:rFonts w:hint="eastAsia"/>
                      <w:color w:val="auto"/>
                      <w:szCs w:val="21"/>
                      <w:highlight w:val="none"/>
                      <w:lang w:val="en-US" w:eastAsia="zh-CN"/>
                    </w:rPr>
                    <w:t>0.0056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1134" w:type="dxa"/>
                  <w:vMerge w:val="restart"/>
                  <w:noWrap w:val="0"/>
                  <w:vAlign w:val="center"/>
                </w:tcPr>
                <w:p>
                  <w:pPr>
                    <w:adjustRightInd w:val="0"/>
                    <w:jc w:val="center"/>
                    <w:textAlignment w:val="baseline"/>
                    <w:rPr>
                      <w:rFonts w:hint="eastAsia"/>
                      <w:bCs/>
                      <w:color w:val="auto"/>
                      <w:szCs w:val="21"/>
                      <w:highlight w:val="none"/>
                      <w:lang w:eastAsia="zh-CN"/>
                    </w:rPr>
                  </w:pPr>
                  <w:r>
                    <w:rPr>
                      <w:rFonts w:hint="eastAsia"/>
                      <w:bCs/>
                      <w:color w:val="auto"/>
                      <w:szCs w:val="21"/>
                      <w:highlight w:val="none"/>
                      <w:lang w:eastAsia="zh-CN"/>
                    </w:rPr>
                    <w:t>废气处理</w:t>
                  </w:r>
                </w:p>
              </w:tc>
              <w:tc>
                <w:tcPr>
                  <w:tcW w:w="1335" w:type="dxa"/>
                  <w:noWrap w:val="0"/>
                  <w:vAlign w:val="center"/>
                </w:tcPr>
                <w:p>
                  <w:pPr>
                    <w:adjustRightInd w:val="0"/>
                    <w:jc w:val="center"/>
                    <w:textAlignment w:val="baseline"/>
                    <w:rPr>
                      <w:rFonts w:hint="default"/>
                      <w:color w:val="auto"/>
                      <w:szCs w:val="21"/>
                      <w:highlight w:val="none"/>
                      <w:lang w:val="en-US" w:eastAsia="zh-CN"/>
                    </w:rPr>
                  </w:pPr>
                  <w:r>
                    <w:rPr>
                      <w:rFonts w:hint="eastAsia"/>
                      <w:color w:val="auto"/>
                      <w:szCs w:val="21"/>
                      <w:highlight w:val="none"/>
                      <w:lang w:val="en-US" w:eastAsia="zh-CN"/>
                    </w:rPr>
                    <w:t>废滤料</w:t>
                  </w:r>
                </w:p>
              </w:tc>
              <w:tc>
                <w:tcPr>
                  <w:tcW w:w="1278" w:type="dxa"/>
                  <w:noWrap w:val="0"/>
                  <w:vAlign w:val="center"/>
                </w:tcPr>
                <w:p>
                  <w:pPr>
                    <w:adjustRightInd w:val="0"/>
                    <w:jc w:val="center"/>
                    <w:textAlignment w:val="baseline"/>
                    <w:rPr>
                      <w:bCs/>
                      <w:color w:val="auto"/>
                      <w:szCs w:val="21"/>
                      <w:highlight w:val="none"/>
                    </w:rPr>
                  </w:pPr>
                  <w:r>
                    <w:rPr>
                      <w:bCs/>
                      <w:color w:val="auto"/>
                      <w:szCs w:val="21"/>
                      <w:highlight w:val="none"/>
                    </w:rPr>
                    <w:t>危险废物</w:t>
                  </w:r>
                </w:p>
                <w:p>
                  <w:pPr>
                    <w:adjustRightInd w:val="0"/>
                    <w:jc w:val="center"/>
                    <w:textAlignment w:val="baseline"/>
                    <w:rPr>
                      <w:color w:val="auto"/>
                      <w:szCs w:val="21"/>
                      <w:highlight w:val="none"/>
                    </w:rPr>
                  </w:pPr>
                  <w:r>
                    <w:rPr>
                      <w:color w:val="auto"/>
                      <w:szCs w:val="21"/>
                      <w:highlight w:val="none"/>
                    </w:rPr>
                    <w:t>HW</w:t>
                  </w:r>
                  <w:r>
                    <w:rPr>
                      <w:rFonts w:hint="eastAsia"/>
                      <w:color w:val="auto"/>
                      <w:szCs w:val="21"/>
                      <w:highlight w:val="none"/>
                      <w:lang w:val="en-US" w:eastAsia="zh-CN"/>
                    </w:rPr>
                    <w:t>49</w:t>
                  </w:r>
                  <w:r>
                    <w:rPr>
                      <w:color w:val="auto"/>
                      <w:szCs w:val="21"/>
                      <w:highlight w:val="none"/>
                    </w:rPr>
                    <w:t xml:space="preserve"> </w:t>
                  </w:r>
                  <w:r>
                    <w:rPr>
                      <w:rFonts w:hint="eastAsia"/>
                      <w:color w:val="auto"/>
                      <w:szCs w:val="21"/>
                      <w:highlight w:val="none"/>
                    </w:rPr>
                    <w:t>900-041-49</w:t>
                  </w:r>
                </w:p>
              </w:tc>
              <w:tc>
                <w:tcPr>
                  <w:tcW w:w="1330" w:type="dxa"/>
                  <w:noWrap w:val="0"/>
                  <w:vAlign w:val="center"/>
                </w:tcPr>
                <w:p>
                  <w:pPr>
                    <w:adjustRightInd w:val="0"/>
                    <w:jc w:val="center"/>
                    <w:textAlignment w:val="baseline"/>
                    <w:rPr>
                      <w:rFonts w:hint="eastAsia"/>
                      <w:bCs/>
                      <w:color w:val="auto"/>
                      <w:szCs w:val="21"/>
                      <w:highlight w:val="none"/>
                      <w:lang w:eastAsia="zh-CN"/>
                    </w:rPr>
                  </w:pPr>
                  <w:r>
                    <w:rPr>
                      <w:rFonts w:hint="eastAsia"/>
                      <w:bCs/>
                      <w:color w:val="auto"/>
                      <w:szCs w:val="21"/>
                      <w:highlight w:val="none"/>
                      <w:lang w:eastAsia="zh-CN"/>
                    </w:rPr>
                    <w:t>有机物</w:t>
                  </w:r>
                </w:p>
              </w:tc>
              <w:tc>
                <w:tcPr>
                  <w:tcW w:w="769" w:type="dxa"/>
                  <w:noWrap w:val="0"/>
                  <w:vAlign w:val="center"/>
                </w:tcPr>
                <w:p>
                  <w:pPr>
                    <w:adjustRightInd w:val="0"/>
                    <w:jc w:val="center"/>
                    <w:textAlignment w:val="baseline"/>
                    <w:rPr>
                      <w:rFonts w:hint="eastAsia"/>
                      <w:bCs/>
                      <w:color w:val="auto"/>
                      <w:szCs w:val="21"/>
                      <w:highlight w:val="none"/>
                      <w:lang w:eastAsia="zh-CN"/>
                    </w:rPr>
                  </w:pPr>
                  <w:r>
                    <w:rPr>
                      <w:bCs/>
                      <w:color w:val="auto"/>
                      <w:szCs w:val="21"/>
                      <w:highlight w:val="none"/>
                    </w:rPr>
                    <w:t>固态</w:t>
                  </w:r>
                </w:p>
              </w:tc>
              <w:tc>
                <w:tcPr>
                  <w:tcW w:w="1101" w:type="dxa"/>
                  <w:noWrap w:val="0"/>
                  <w:vAlign w:val="center"/>
                </w:tcPr>
                <w:p>
                  <w:pPr>
                    <w:adjustRightInd w:val="0"/>
                    <w:jc w:val="center"/>
                    <w:textAlignment w:val="baseline"/>
                    <w:rPr>
                      <w:rFonts w:hint="default"/>
                      <w:bCs/>
                      <w:color w:val="auto"/>
                      <w:szCs w:val="21"/>
                      <w:highlight w:val="none"/>
                      <w:lang w:val="en-US" w:eastAsia="zh-CN"/>
                    </w:rPr>
                  </w:pPr>
                  <w:r>
                    <w:rPr>
                      <w:rFonts w:hint="eastAsia"/>
                      <w:bCs/>
                      <w:color w:val="auto"/>
                      <w:szCs w:val="21"/>
                      <w:highlight w:val="none"/>
                      <w:lang w:val="en-US" w:eastAsia="zh-CN"/>
                    </w:rPr>
                    <w:t>T，I</w:t>
                  </w:r>
                </w:p>
              </w:tc>
              <w:tc>
                <w:tcPr>
                  <w:tcW w:w="945" w:type="dxa"/>
                  <w:noWrap w:val="0"/>
                  <w:vAlign w:val="center"/>
                </w:tcPr>
                <w:p>
                  <w:pPr>
                    <w:jc w:val="center"/>
                    <w:rPr>
                      <w:rFonts w:hint="default"/>
                      <w:color w:val="auto"/>
                      <w:szCs w:val="21"/>
                      <w:highlight w:val="none"/>
                      <w:lang w:val="en-US" w:eastAsia="zh-CN"/>
                    </w:rPr>
                  </w:pPr>
                  <w:r>
                    <w:rPr>
                      <w:rFonts w:hint="eastAsia"/>
                      <w:color w:val="auto"/>
                      <w:szCs w:val="21"/>
                      <w:highlight w:val="none"/>
                      <w:lang w:val="en-US" w:eastAsia="zh-CN"/>
                    </w:rPr>
                    <w:t>0.05</w:t>
                  </w:r>
                </w:p>
              </w:tc>
              <w:tc>
                <w:tcPr>
                  <w:tcW w:w="795" w:type="dxa"/>
                  <w:noWrap w:val="0"/>
                  <w:vAlign w:val="center"/>
                </w:tcPr>
                <w:p>
                  <w:pPr>
                    <w:adjustRightInd w:val="0"/>
                    <w:jc w:val="center"/>
                    <w:textAlignment w:val="baseline"/>
                    <w:rPr>
                      <w:rFonts w:hint="eastAsia" w:eastAsia="宋体"/>
                      <w:bCs/>
                      <w:color w:val="auto"/>
                      <w:szCs w:val="21"/>
                      <w:highlight w:val="none"/>
                      <w:lang w:val="en-US" w:eastAsia="zh-CN"/>
                    </w:rPr>
                  </w:pPr>
                  <w:r>
                    <w:rPr>
                      <w:bCs/>
                      <w:color w:val="auto"/>
                      <w:szCs w:val="21"/>
                      <w:highlight w:val="none"/>
                    </w:rPr>
                    <w:t>桶装</w:t>
                  </w:r>
                </w:p>
              </w:tc>
              <w:tc>
                <w:tcPr>
                  <w:tcW w:w="873" w:type="dxa"/>
                  <w:vMerge w:val="continue"/>
                  <w:noWrap w:val="0"/>
                  <w:vAlign w:val="center"/>
                </w:tcPr>
                <w:p>
                  <w:pPr>
                    <w:adjustRightInd w:val="0"/>
                    <w:jc w:val="center"/>
                    <w:textAlignment w:val="baseline"/>
                    <w:rPr>
                      <w:bCs/>
                      <w:color w:val="auto"/>
                      <w:szCs w:val="21"/>
                      <w:highlight w:val="none"/>
                    </w:rPr>
                  </w:pPr>
                </w:p>
              </w:tc>
              <w:tc>
                <w:tcPr>
                  <w:tcW w:w="1575" w:type="dxa"/>
                  <w:vMerge w:val="continue"/>
                  <w:noWrap w:val="0"/>
                  <w:vAlign w:val="center"/>
                </w:tcPr>
                <w:p>
                  <w:pPr>
                    <w:adjustRightInd w:val="0"/>
                    <w:jc w:val="center"/>
                    <w:textAlignment w:val="baseline"/>
                    <w:rPr>
                      <w:rFonts w:hint="eastAsia"/>
                      <w:bCs/>
                      <w:color w:val="auto"/>
                      <w:szCs w:val="21"/>
                      <w:highlight w:val="none"/>
                      <w:lang w:eastAsia="zh-CN"/>
                    </w:rPr>
                  </w:pPr>
                </w:p>
              </w:tc>
              <w:tc>
                <w:tcPr>
                  <w:tcW w:w="1189" w:type="dxa"/>
                  <w:noWrap w:val="0"/>
                  <w:vAlign w:val="center"/>
                </w:tcPr>
                <w:p>
                  <w:pPr>
                    <w:jc w:val="center"/>
                    <w:rPr>
                      <w:rFonts w:hint="default"/>
                      <w:color w:val="auto"/>
                      <w:szCs w:val="21"/>
                      <w:highlight w:val="none"/>
                      <w:lang w:val="en-US" w:eastAsia="zh-CN"/>
                    </w:rPr>
                  </w:pPr>
                  <w:r>
                    <w:rPr>
                      <w:rFonts w:hint="eastAsia"/>
                      <w:color w:val="auto"/>
                      <w:szCs w:val="21"/>
                      <w:highlight w:val="none"/>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1134" w:type="dxa"/>
                  <w:vMerge w:val="continue"/>
                  <w:noWrap w:val="0"/>
                  <w:vAlign w:val="center"/>
                </w:tcPr>
                <w:p>
                  <w:pPr>
                    <w:adjustRightInd w:val="0"/>
                    <w:jc w:val="center"/>
                    <w:textAlignment w:val="baseline"/>
                    <w:rPr>
                      <w:rFonts w:hint="eastAsia"/>
                      <w:bCs/>
                      <w:color w:val="auto"/>
                      <w:szCs w:val="21"/>
                      <w:highlight w:val="none"/>
                      <w:lang w:eastAsia="zh-CN"/>
                    </w:rPr>
                  </w:pPr>
                </w:p>
              </w:tc>
              <w:tc>
                <w:tcPr>
                  <w:tcW w:w="1335" w:type="dxa"/>
                  <w:noWrap w:val="0"/>
                  <w:vAlign w:val="center"/>
                </w:tcPr>
                <w:p>
                  <w:pPr>
                    <w:adjustRightInd w:val="0"/>
                    <w:jc w:val="center"/>
                    <w:textAlignment w:val="baseline"/>
                    <w:rPr>
                      <w:rFonts w:hint="default"/>
                      <w:color w:val="auto"/>
                      <w:szCs w:val="21"/>
                      <w:highlight w:val="none"/>
                      <w:lang w:val="en-US" w:eastAsia="zh-CN"/>
                    </w:rPr>
                  </w:pPr>
                  <w:r>
                    <w:rPr>
                      <w:rFonts w:hint="eastAsia"/>
                      <w:color w:val="auto"/>
                      <w:szCs w:val="21"/>
                      <w:highlight w:val="none"/>
                      <w:lang w:val="en-US" w:eastAsia="zh-CN"/>
                    </w:rPr>
                    <w:t>漆渣</w:t>
                  </w:r>
                </w:p>
              </w:tc>
              <w:tc>
                <w:tcPr>
                  <w:tcW w:w="1278" w:type="dxa"/>
                  <w:noWrap w:val="0"/>
                  <w:vAlign w:val="center"/>
                </w:tcPr>
                <w:p>
                  <w:pPr>
                    <w:adjustRightInd w:val="0"/>
                    <w:jc w:val="center"/>
                    <w:textAlignment w:val="baseline"/>
                    <w:rPr>
                      <w:bCs/>
                      <w:color w:val="auto"/>
                      <w:szCs w:val="21"/>
                      <w:highlight w:val="none"/>
                    </w:rPr>
                  </w:pPr>
                  <w:r>
                    <w:rPr>
                      <w:bCs/>
                      <w:color w:val="auto"/>
                      <w:szCs w:val="21"/>
                      <w:highlight w:val="none"/>
                    </w:rPr>
                    <w:t>危险废物</w:t>
                  </w:r>
                </w:p>
                <w:p>
                  <w:pPr>
                    <w:adjustRightInd w:val="0"/>
                    <w:jc w:val="center"/>
                    <w:textAlignment w:val="baseline"/>
                    <w:rPr>
                      <w:rFonts w:hint="default" w:eastAsia="宋体"/>
                      <w:color w:val="auto"/>
                      <w:szCs w:val="21"/>
                      <w:highlight w:val="none"/>
                      <w:lang w:val="en-US" w:eastAsia="zh-CN"/>
                    </w:rPr>
                  </w:pPr>
                  <w:r>
                    <w:rPr>
                      <w:color w:val="auto"/>
                      <w:szCs w:val="21"/>
                      <w:highlight w:val="none"/>
                    </w:rPr>
                    <w:t>HW</w:t>
                  </w:r>
                  <w:r>
                    <w:rPr>
                      <w:rFonts w:hint="eastAsia"/>
                      <w:color w:val="auto"/>
                      <w:szCs w:val="21"/>
                      <w:highlight w:val="none"/>
                      <w:lang w:val="en-US" w:eastAsia="zh-CN"/>
                    </w:rPr>
                    <w:t>12</w:t>
                  </w:r>
                  <w:r>
                    <w:rPr>
                      <w:color w:val="auto"/>
                      <w:szCs w:val="21"/>
                      <w:highlight w:val="none"/>
                    </w:rPr>
                    <w:t xml:space="preserve"> </w:t>
                  </w:r>
                  <w:r>
                    <w:rPr>
                      <w:rFonts w:hint="eastAsia"/>
                      <w:color w:val="auto"/>
                      <w:szCs w:val="21"/>
                      <w:highlight w:val="none"/>
                    </w:rPr>
                    <w:t>900-</w:t>
                  </w:r>
                  <w:r>
                    <w:rPr>
                      <w:rFonts w:hint="eastAsia"/>
                      <w:color w:val="auto"/>
                      <w:szCs w:val="21"/>
                      <w:highlight w:val="none"/>
                      <w:lang w:val="en-US" w:eastAsia="zh-CN"/>
                    </w:rPr>
                    <w:t>252-12</w:t>
                  </w:r>
                </w:p>
              </w:tc>
              <w:tc>
                <w:tcPr>
                  <w:tcW w:w="1330" w:type="dxa"/>
                  <w:noWrap w:val="0"/>
                  <w:vAlign w:val="center"/>
                </w:tcPr>
                <w:p>
                  <w:pPr>
                    <w:adjustRightInd w:val="0"/>
                    <w:jc w:val="center"/>
                    <w:textAlignment w:val="baseline"/>
                    <w:rPr>
                      <w:rFonts w:hint="eastAsia"/>
                      <w:bCs/>
                      <w:color w:val="auto"/>
                      <w:szCs w:val="21"/>
                      <w:highlight w:val="none"/>
                      <w:lang w:eastAsia="zh-CN"/>
                    </w:rPr>
                  </w:pPr>
                  <w:r>
                    <w:rPr>
                      <w:rFonts w:hint="eastAsia"/>
                      <w:bCs/>
                      <w:color w:val="auto"/>
                      <w:szCs w:val="21"/>
                      <w:highlight w:val="none"/>
                      <w:lang w:eastAsia="zh-CN"/>
                    </w:rPr>
                    <w:t>有机物</w:t>
                  </w:r>
                </w:p>
              </w:tc>
              <w:tc>
                <w:tcPr>
                  <w:tcW w:w="769" w:type="dxa"/>
                  <w:noWrap w:val="0"/>
                  <w:vAlign w:val="center"/>
                </w:tcPr>
                <w:p>
                  <w:pPr>
                    <w:adjustRightInd w:val="0"/>
                    <w:jc w:val="center"/>
                    <w:textAlignment w:val="baseline"/>
                    <w:rPr>
                      <w:bCs/>
                      <w:color w:val="auto"/>
                      <w:szCs w:val="21"/>
                      <w:highlight w:val="none"/>
                    </w:rPr>
                  </w:pPr>
                  <w:r>
                    <w:rPr>
                      <w:bCs/>
                      <w:color w:val="auto"/>
                      <w:szCs w:val="21"/>
                      <w:highlight w:val="none"/>
                    </w:rPr>
                    <w:t>固态</w:t>
                  </w:r>
                </w:p>
              </w:tc>
              <w:tc>
                <w:tcPr>
                  <w:tcW w:w="1101" w:type="dxa"/>
                  <w:noWrap w:val="0"/>
                  <w:vAlign w:val="center"/>
                </w:tcPr>
                <w:p>
                  <w:pPr>
                    <w:adjustRightInd w:val="0"/>
                    <w:jc w:val="center"/>
                    <w:textAlignment w:val="baseline"/>
                    <w:rPr>
                      <w:rFonts w:hint="eastAsia"/>
                      <w:bCs/>
                      <w:color w:val="auto"/>
                      <w:szCs w:val="21"/>
                      <w:highlight w:val="none"/>
                      <w:lang w:val="en-US" w:eastAsia="zh-CN"/>
                    </w:rPr>
                  </w:pPr>
                  <w:r>
                    <w:rPr>
                      <w:rFonts w:hint="eastAsia"/>
                      <w:bCs/>
                      <w:color w:val="auto"/>
                      <w:szCs w:val="21"/>
                      <w:highlight w:val="none"/>
                      <w:lang w:val="en-US" w:eastAsia="zh-CN"/>
                    </w:rPr>
                    <w:t>T，I</w:t>
                  </w:r>
                </w:p>
              </w:tc>
              <w:tc>
                <w:tcPr>
                  <w:tcW w:w="945" w:type="dxa"/>
                  <w:noWrap w:val="0"/>
                  <w:vAlign w:val="center"/>
                </w:tcPr>
                <w:p>
                  <w:pPr>
                    <w:jc w:val="center"/>
                    <w:rPr>
                      <w:rFonts w:hint="default"/>
                      <w:color w:val="auto"/>
                      <w:szCs w:val="21"/>
                      <w:highlight w:val="none"/>
                      <w:lang w:val="en-US" w:eastAsia="zh-CN"/>
                    </w:rPr>
                  </w:pPr>
                  <w:r>
                    <w:rPr>
                      <w:rFonts w:hint="eastAsia"/>
                      <w:color w:val="auto"/>
                      <w:szCs w:val="21"/>
                      <w:highlight w:val="none"/>
                      <w:lang w:val="en-US" w:eastAsia="zh-CN"/>
                    </w:rPr>
                    <w:t>0.0138</w:t>
                  </w:r>
                </w:p>
              </w:tc>
              <w:tc>
                <w:tcPr>
                  <w:tcW w:w="795" w:type="dxa"/>
                  <w:noWrap w:val="0"/>
                  <w:vAlign w:val="center"/>
                </w:tcPr>
                <w:p>
                  <w:pPr>
                    <w:adjustRightInd w:val="0"/>
                    <w:jc w:val="center"/>
                    <w:textAlignment w:val="baseline"/>
                    <w:rPr>
                      <w:rFonts w:hint="eastAsia"/>
                      <w:bCs/>
                      <w:color w:val="auto"/>
                      <w:szCs w:val="21"/>
                      <w:highlight w:val="none"/>
                      <w:lang w:val="en-US" w:eastAsia="zh-CN"/>
                    </w:rPr>
                  </w:pPr>
                  <w:r>
                    <w:rPr>
                      <w:bCs/>
                      <w:color w:val="auto"/>
                      <w:szCs w:val="21"/>
                      <w:highlight w:val="none"/>
                    </w:rPr>
                    <w:t>桶装</w:t>
                  </w:r>
                </w:p>
              </w:tc>
              <w:tc>
                <w:tcPr>
                  <w:tcW w:w="873" w:type="dxa"/>
                  <w:vMerge w:val="continue"/>
                  <w:noWrap w:val="0"/>
                  <w:vAlign w:val="center"/>
                </w:tcPr>
                <w:p>
                  <w:pPr>
                    <w:adjustRightInd w:val="0"/>
                    <w:jc w:val="center"/>
                    <w:textAlignment w:val="baseline"/>
                    <w:rPr>
                      <w:rFonts w:hint="eastAsia"/>
                      <w:bCs/>
                      <w:color w:val="auto"/>
                      <w:szCs w:val="21"/>
                      <w:highlight w:val="none"/>
                      <w:lang w:eastAsia="zh-CN"/>
                    </w:rPr>
                  </w:pPr>
                </w:p>
              </w:tc>
              <w:tc>
                <w:tcPr>
                  <w:tcW w:w="1575" w:type="dxa"/>
                  <w:vMerge w:val="continue"/>
                  <w:noWrap w:val="0"/>
                  <w:vAlign w:val="center"/>
                </w:tcPr>
                <w:p>
                  <w:pPr>
                    <w:adjustRightInd w:val="0"/>
                    <w:jc w:val="center"/>
                    <w:textAlignment w:val="baseline"/>
                    <w:rPr>
                      <w:rFonts w:hint="eastAsia"/>
                      <w:bCs/>
                      <w:color w:val="auto"/>
                      <w:szCs w:val="21"/>
                      <w:highlight w:val="none"/>
                      <w:lang w:eastAsia="zh-CN"/>
                    </w:rPr>
                  </w:pPr>
                </w:p>
              </w:tc>
              <w:tc>
                <w:tcPr>
                  <w:tcW w:w="1189" w:type="dxa"/>
                  <w:noWrap w:val="0"/>
                  <w:vAlign w:val="center"/>
                </w:tcPr>
                <w:p>
                  <w:pPr>
                    <w:jc w:val="center"/>
                    <w:rPr>
                      <w:rFonts w:hint="eastAsia"/>
                      <w:color w:val="auto"/>
                      <w:szCs w:val="21"/>
                      <w:highlight w:val="none"/>
                      <w:lang w:val="en-US" w:eastAsia="zh-CN"/>
                    </w:rPr>
                  </w:pPr>
                  <w:r>
                    <w:rPr>
                      <w:rFonts w:hint="eastAsia"/>
                      <w:color w:val="auto"/>
                      <w:szCs w:val="21"/>
                      <w:highlight w:val="none"/>
                      <w:lang w:val="en-US" w:eastAsia="zh-CN"/>
                    </w:rPr>
                    <w:t>0.0138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7" w:hRule="atLeast"/>
                <w:jc w:val="center"/>
              </w:trPr>
              <w:tc>
                <w:tcPr>
                  <w:tcW w:w="1134" w:type="dxa"/>
                  <w:vMerge w:val="continue"/>
                  <w:noWrap w:val="0"/>
                  <w:vAlign w:val="center"/>
                </w:tcPr>
                <w:p>
                  <w:pPr>
                    <w:adjustRightInd w:val="0"/>
                    <w:jc w:val="center"/>
                    <w:textAlignment w:val="baseline"/>
                    <w:rPr>
                      <w:rFonts w:hint="eastAsia"/>
                      <w:bCs/>
                      <w:color w:val="auto"/>
                      <w:szCs w:val="21"/>
                      <w:highlight w:val="none"/>
                      <w:lang w:eastAsia="zh-CN"/>
                    </w:rPr>
                  </w:pPr>
                </w:p>
              </w:tc>
              <w:tc>
                <w:tcPr>
                  <w:tcW w:w="1335" w:type="dxa"/>
                  <w:noWrap w:val="0"/>
                  <w:vAlign w:val="center"/>
                </w:tcPr>
                <w:p>
                  <w:pPr>
                    <w:adjustRightInd w:val="0"/>
                    <w:jc w:val="center"/>
                    <w:textAlignment w:val="baseline"/>
                    <w:rPr>
                      <w:rFonts w:hint="eastAsia"/>
                      <w:color w:val="auto"/>
                      <w:szCs w:val="21"/>
                      <w:highlight w:val="none"/>
                      <w:lang w:eastAsia="zh-CN"/>
                    </w:rPr>
                  </w:pPr>
                  <w:r>
                    <w:rPr>
                      <w:rFonts w:hint="eastAsia"/>
                      <w:color w:val="auto"/>
                      <w:szCs w:val="21"/>
                      <w:highlight w:val="none"/>
                      <w:lang w:eastAsia="zh-CN"/>
                    </w:rPr>
                    <w:t>废活性炭</w:t>
                  </w:r>
                </w:p>
              </w:tc>
              <w:tc>
                <w:tcPr>
                  <w:tcW w:w="1278" w:type="dxa"/>
                  <w:noWrap w:val="0"/>
                  <w:vAlign w:val="center"/>
                </w:tcPr>
                <w:p>
                  <w:pPr>
                    <w:adjustRightInd w:val="0"/>
                    <w:jc w:val="center"/>
                    <w:textAlignment w:val="baseline"/>
                    <w:rPr>
                      <w:bCs/>
                      <w:color w:val="auto"/>
                      <w:szCs w:val="21"/>
                      <w:highlight w:val="none"/>
                    </w:rPr>
                  </w:pPr>
                  <w:r>
                    <w:rPr>
                      <w:bCs/>
                      <w:color w:val="auto"/>
                      <w:szCs w:val="21"/>
                      <w:highlight w:val="none"/>
                    </w:rPr>
                    <w:t>危险废物</w:t>
                  </w:r>
                </w:p>
                <w:p>
                  <w:pPr>
                    <w:adjustRightInd w:val="0"/>
                    <w:jc w:val="center"/>
                    <w:textAlignment w:val="baseline"/>
                    <w:rPr>
                      <w:color w:val="auto"/>
                      <w:szCs w:val="21"/>
                      <w:highlight w:val="none"/>
                    </w:rPr>
                  </w:pPr>
                  <w:r>
                    <w:rPr>
                      <w:color w:val="auto"/>
                      <w:szCs w:val="21"/>
                      <w:highlight w:val="none"/>
                    </w:rPr>
                    <w:t>HW</w:t>
                  </w:r>
                  <w:r>
                    <w:rPr>
                      <w:rFonts w:hint="eastAsia"/>
                      <w:color w:val="auto"/>
                      <w:szCs w:val="21"/>
                      <w:highlight w:val="none"/>
                      <w:lang w:val="en-US" w:eastAsia="zh-CN"/>
                    </w:rPr>
                    <w:t>49</w:t>
                  </w:r>
                  <w:r>
                    <w:rPr>
                      <w:color w:val="auto"/>
                      <w:szCs w:val="21"/>
                      <w:highlight w:val="none"/>
                    </w:rPr>
                    <w:t xml:space="preserve"> </w:t>
                  </w:r>
                  <w:r>
                    <w:rPr>
                      <w:rFonts w:hint="eastAsia"/>
                      <w:color w:val="auto"/>
                      <w:szCs w:val="21"/>
                      <w:highlight w:val="none"/>
                    </w:rPr>
                    <w:t>900-039-49</w:t>
                  </w:r>
                </w:p>
              </w:tc>
              <w:tc>
                <w:tcPr>
                  <w:tcW w:w="1330" w:type="dxa"/>
                  <w:noWrap w:val="0"/>
                  <w:vAlign w:val="center"/>
                </w:tcPr>
                <w:p>
                  <w:pPr>
                    <w:adjustRightInd w:val="0"/>
                    <w:jc w:val="center"/>
                    <w:textAlignment w:val="baseline"/>
                    <w:rPr>
                      <w:rFonts w:hint="eastAsia"/>
                      <w:bCs/>
                      <w:color w:val="auto"/>
                      <w:szCs w:val="21"/>
                      <w:highlight w:val="none"/>
                      <w:lang w:eastAsia="zh-CN"/>
                    </w:rPr>
                  </w:pPr>
                  <w:r>
                    <w:rPr>
                      <w:rFonts w:hint="eastAsia"/>
                      <w:bCs/>
                      <w:color w:val="auto"/>
                      <w:szCs w:val="21"/>
                      <w:highlight w:val="none"/>
                      <w:lang w:eastAsia="zh-CN"/>
                    </w:rPr>
                    <w:t>有机物</w:t>
                  </w:r>
                </w:p>
              </w:tc>
              <w:tc>
                <w:tcPr>
                  <w:tcW w:w="769" w:type="dxa"/>
                  <w:noWrap w:val="0"/>
                  <w:vAlign w:val="center"/>
                </w:tcPr>
                <w:p>
                  <w:pPr>
                    <w:adjustRightInd w:val="0"/>
                    <w:jc w:val="center"/>
                    <w:textAlignment w:val="baseline"/>
                    <w:rPr>
                      <w:bCs/>
                      <w:color w:val="auto"/>
                      <w:szCs w:val="21"/>
                      <w:highlight w:val="none"/>
                    </w:rPr>
                  </w:pPr>
                  <w:r>
                    <w:rPr>
                      <w:bCs/>
                      <w:color w:val="auto"/>
                      <w:szCs w:val="21"/>
                      <w:highlight w:val="none"/>
                    </w:rPr>
                    <w:t>固态</w:t>
                  </w:r>
                </w:p>
              </w:tc>
              <w:tc>
                <w:tcPr>
                  <w:tcW w:w="1101" w:type="dxa"/>
                  <w:noWrap w:val="0"/>
                  <w:vAlign w:val="center"/>
                </w:tcPr>
                <w:p>
                  <w:pPr>
                    <w:adjustRightInd w:val="0"/>
                    <w:jc w:val="center"/>
                    <w:textAlignment w:val="baseline"/>
                    <w:rPr>
                      <w:rFonts w:hint="eastAsia"/>
                      <w:bCs/>
                      <w:color w:val="auto"/>
                      <w:szCs w:val="21"/>
                      <w:highlight w:val="none"/>
                      <w:lang w:val="en-US" w:eastAsia="zh-CN"/>
                    </w:rPr>
                  </w:pPr>
                  <w:r>
                    <w:rPr>
                      <w:rFonts w:hint="eastAsia"/>
                      <w:bCs/>
                      <w:color w:val="auto"/>
                      <w:szCs w:val="21"/>
                      <w:highlight w:val="none"/>
                      <w:lang w:val="en-US" w:eastAsia="zh-CN"/>
                    </w:rPr>
                    <w:t>T</w:t>
                  </w:r>
                </w:p>
              </w:tc>
              <w:tc>
                <w:tcPr>
                  <w:tcW w:w="945" w:type="dxa"/>
                  <w:noWrap w:val="0"/>
                  <w:vAlign w:val="center"/>
                </w:tcPr>
                <w:p>
                  <w:pPr>
                    <w:jc w:val="center"/>
                    <w:rPr>
                      <w:rFonts w:hint="default"/>
                      <w:color w:val="auto"/>
                      <w:szCs w:val="21"/>
                      <w:highlight w:val="none"/>
                      <w:lang w:val="en-US" w:eastAsia="zh-CN"/>
                    </w:rPr>
                  </w:pPr>
                  <w:r>
                    <w:rPr>
                      <w:rFonts w:hint="eastAsia"/>
                      <w:color w:val="auto"/>
                      <w:szCs w:val="21"/>
                      <w:highlight w:val="none"/>
                      <w:lang w:val="en-US" w:eastAsia="zh-CN"/>
                    </w:rPr>
                    <w:t>0.067</w:t>
                  </w:r>
                </w:p>
              </w:tc>
              <w:tc>
                <w:tcPr>
                  <w:tcW w:w="795" w:type="dxa"/>
                  <w:noWrap w:val="0"/>
                  <w:vAlign w:val="center"/>
                </w:tcPr>
                <w:p>
                  <w:pPr>
                    <w:adjustRightInd w:val="0"/>
                    <w:jc w:val="center"/>
                    <w:textAlignment w:val="baseline"/>
                    <w:rPr>
                      <w:rFonts w:hint="eastAsia"/>
                      <w:bCs/>
                      <w:color w:val="auto"/>
                      <w:szCs w:val="21"/>
                      <w:highlight w:val="none"/>
                      <w:lang w:val="en-US" w:eastAsia="zh-CN"/>
                    </w:rPr>
                  </w:pPr>
                  <w:r>
                    <w:rPr>
                      <w:bCs/>
                      <w:color w:val="auto"/>
                      <w:szCs w:val="21"/>
                      <w:highlight w:val="none"/>
                    </w:rPr>
                    <w:t>桶装</w:t>
                  </w:r>
                </w:p>
              </w:tc>
              <w:tc>
                <w:tcPr>
                  <w:tcW w:w="873" w:type="dxa"/>
                  <w:vMerge w:val="continue"/>
                  <w:noWrap w:val="0"/>
                  <w:vAlign w:val="center"/>
                </w:tcPr>
                <w:p>
                  <w:pPr>
                    <w:adjustRightInd w:val="0"/>
                    <w:jc w:val="center"/>
                    <w:textAlignment w:val="baseline"/>
                    <w:rPr>
                      <w:rFonts w:hint="eastAsia"/>
                      <w:bCs/>
                      <w:color w:val="auto"/>
                      <w:szCs w:val="21"/>
                      <w:highlight w:val="none"/>
                      <w:lang w:eastAsia="zh-CN"/>
                    </w:rPr>
                  </w:pPr>
                </w:p>
              </w:tc>
              <w:tc>
                <w:tcPr>
                  <w:tcW w:w="1575" w:type="dxa"/>
                  <w:vMerge w:val="continue"/>
                  <w:noWrap w:val="0"/>
                  <w:vAlign w:val="center"/>
                </w:tcPr>
                <w:p>
                  <w:pPr>
                    <w:adjustRightInd w:val="0"/>
                    <w:jc w:val="center"/>
                    <w:textAlignment w:val="baseline"/>
                    <w:rPr>
                      <w:rFonts w:hint="eastAsia"/>
                      <w:bCs/>
                      <w:color w:val="auto"/>
                      <w:szCs w:val="21"/>
                      <w:highlight w:val="none"/>
                      <w:lang w:eastAsia="zh-CN"/>
                    </w:rPr>
                  </w:pPr>
                </w:p>
              </w:tc>
              <w:tc>
                <w:tcPr>
                  <w:tcW w:w="1189" w:type="dxa"/>
                  <w:noWrap w:val="0"/>
                  <w:vAlign w:val="center"/>
                </w:tcPr>
                <w:p>
                  <w:pPr>
                    <w:jc w:val="center"/>
                    <w:rPr>
                      <w:rFonts w:hint="eastAsia"/>
                      <w:color w:val="auto"/>
                      <w:szCs w:val="21"/>
                      <w:highlight w:val="none"/>
                      <w:lang w:val="en-US" w:eastAsia="zh-CN"/>
                    </w:rPr>
                  </w:pPr>
                  <w:r>
                    <w:rPr>
                      <w:rFonts w:hint="eastAsia"/>
                      <w:color w:val="auto"/>
                      <w:szCs w:val="21"/>
                      <w:highlight w:val="none"/>
                      <w:lang w:val="en-US" w:eastAsia="zh-CN"/>
                    </w:rPr>
                    <w:t>0.067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1134" w:type="dxa"/>
                  <w:vMerge w:val="restart"/>
                  <w:noWrap w:val="0"/>
                  <w:vAlign w:val="center"/>
                </w:tcPr>
                <w:p>
                  <w:pPr>
                    <w:adjustRightInd w:val="0"/>
                    <w:jc w:val="center"/>
                    <w:textAlignment w:val="baseline"/>
                    <w:rPr>
                      <w:bCs/>
                      <w:color w:val="auto"/>
                      <w:szCs w:val="21"/>
                      <w:highlight w:val="none"/>
                    </w:rPr>
                  </w:pPr>
                  <w:r>
                    <w:rPr>
                      <w:bCs/>
                      <w:color w:val="auto"/>
                      <w:szCs w:val="21"/>
                      <w:highlight w:val="none"/>
                    </w:rPr>
                    <w:t>设备</w:t>
                  </w:r>
                  <w:r>
                    <w:rPr>
                      <w:rFonts w:hint="eastAsia"/>
                      <w:bCs/>
                      <w:color w:val="auto"/>
                      <w:szCs w:val="21"/>
                      <w:highlight w:val="none"/>
                      <w:lang w:eastAsia="zh-CN"/>
                    </w:rPr>
                    <w:t>运行和检修</w:t>
                  </w:r>
                  <w:r>
                    <w:rPr>
                      <w:bCs/>
                      <w:color w:val="auto"/>
                      <w:szCs w:val="21"/>
                      <w:highlight w:val="none"/>
                    </w:rPr>
                    <w:t>维护</w:t>
                  </w:r>
                </w:p>
              </w:tc>
              <w:tc>
                <w:tcPr>
                  <w:tcW w:w="1335" w:type="dxa"/>
                  <w:noWrap w:val="0"/>
                  <w:vAlign w:val="center"/>
                </w:tcPr>
                <w:p>
                  <w:pPr>
                    <w:adjustRightInd w:val="0"/>
                    <w:jc w:val="center"/>
                    <w:textAlignment w:val="baseline"/>
                    <w:rPr>
                      <w:rFonts w:hint="eastAsia" w:eastAsia="宋体"/>
                      <w:bCs/>
                      <w:color w:val="auto"/>
                      <w:szCs w:val="21"/>
                      <w:highlight w:val="none"/>
                      <w:lang w:eastAsia="zh-CN"/>
                    </w:rPr>
                  </w:pPr>
                  <w:r>
                    <w:rPr>
                      <w:rFonts w:hint="eastAsia" w:ascii="Times New Roman" w:hAnsi="Times New Roman" w:eastAsia="宋体" w:cs="Times New Roman"/>
                      <w:color w:val="auto"/>
                      <w:szCs w:val="21"/>
                      <w:highlight w:val="none"/>
                      <w:lang w:eastAsia="zh-CN"/>
                    </w:rPr>
                    <w:t>废机油</w:t>
                  </w:r>
                </w:p>
              </w:tc>
              <w:tc>
                <w:tcPr>
                  <w:tcW w:w="1278" w:type="dxa"/>
                  <w:noWrap w:val="0"/>
                  <w:vAlign w:val="center"/>
                </w:tcPr>
                <w:p>
                  <w:pPr>
                    <w:adjustRightInd w:val="0"/>
                    <w:jc w:val="center"/>
                    <w:textAlignment w:val="baseline"/>
                    <w:rPr>
                      <w:bCs/>
                      <w:color w:val="auto"/>
                      <w:szCs w:val="21"/>
                      <w:highlight w:val="none"/>
                    </w:rPr>
                  </w:pPr>
                  <w:r>
                    <w:rPr>
                      <w:bCs/>
                      <w:color w:val="auto"/>
                      <w:szCs w:val="21"/>
                      <w:highlight w:val="none"/>
                    </w:rPr>
                    <w:t>危险废物</w:t>
                  </w:r>
                </w:p>
                <w:p>
                  <w:pPr>
                    <w:adjustRightInd w:val="0"/>
                    <w:jc w:val="center"/>
                    <w:textAlignment w:val="baseline"/>
                    <w:rPr>
                      <w:bCs/>
                      <w:color w:val="auto"/>
                      <w:szCs w:val="21"/>
                      <w:highlight w:val="none"/>
                    </w:rPr>
                  </w:pPr>
                  <w:r>
                    <w:rPr>
                      <w:color w:val="auto"/>
                      <w:szCs w:val="21"/>
                      <w:highlight w:val="none"/>
                    </w:rPr>
                    <w:t>HW08 900-2</w:t>
                  </w:r>
                  <w:r>
                    <w:rPr>
                      <w:rFonts w:hint="eastAsia"/>
                      <w:color w:val="auto"/>
                      <w:szCs w:val="21"/>
                      <w:highlight w:val="none"/>
                      <w:lang w:val="en-US" w:eastAsia="zh-CN"/>
                    </w:rPr>
                    <w:t>49</w:t>
                  </w:r>
                  <w:r>
                    <w:rPr>
                      <w:color w:val="auto"/>
                      <w:szCs w:val="21"/>
                      <w:highlight w:val="none"/>
                    </w:rPr>
                    <w:t>-08</w:t>
                  </w:r>
                </w:p>
              </w:tc>
              <w:tc>
                <w:tcPr>
                  <w:tcW w:w="1330" w:type="dxa"/>
                  <w:noWrap w:val="0"/>
                  <w:vAlign w:val="center"/>
                </w:tcPr>
                <w:p>
                  <w:pPr>
                    <w:adjustRightInd w:val="0"/>
                    <w:jc w:val="center"/>
                    <w:textAlignment w:val="baseline"/>
                    <w:rPr>
                      <w:bCs/>
                      <w:color w:val="auto"/>
                      <w:szCs w:val="21"/>
                      <w:highlight w:val="none"/>
                    </w:rPr>
                  </w:pPr>
                  <w:r>
                    <w:rPr>
                      <w:bCs/>
                      <w:color w:val="auto"/>
                      <w:szCs w:val="21"/>
                      <w:highlight w:val="none"/>
                    </w:rPr>
                    <w:t>矿物油</w:t>
                  </w:r>
                </w:p>
              </w:tc>
              <w:tc>
                <w:tcPr>
                  <w:tcW w:w="769" w:type="dxa"/>
                  <w:noWrap w:val="0"/>
                  <w:vAlign w:val="center"/>
                </w:tcPr>
                <w:p>
                  <w:pPr>
                    <w:adjustRightInd w:val="0"/>
                    <w:jc w:val="center"/>
                    <w:textAlignment w:val="baseline"/>
                    <w:rPr>
                      <w:bCs/>
                      <w:color w:val="auto"/>
                      <w:szCs w:val="21"/>
                      <w:highlight w:val="none"/>
                    </w:rPr>
                  </w:pPr>
                  <w:r>
                    <w:rPr>
                      <w:bCs/>
                      <w:color w:val="auto"/>
                      <w:szCs w:val="21"/>
                      <w:highlight w:val="none"/>
                    </w:rPr>
                    <w:t>液态</w:t>
                  </w:r>
                </w:p>
              </w:tc>
              <w:tc>
                <w:tcPr>
                  <w:tcW w:w="1101" w:type="dxa"/>
                  <w:noWrap w:val="0"/>
                  <w:vAlign w:val="center"/>
                </w:tcPr>
                <w:p>
                  <w:pPr>
                    <w:adjustRightInd w:val="0"/>
                    <w:jc w:val="center"/>
                    <w:textAlignment w:val="baseline"/>
                    <w:rPr>
                      <w:rFonts w:hint="eastAsia" w:eastAsia="宋体"/>
                      <w:bCs/>
                      <w:color w:val="auto"/>
                      <w:szCs w:val="21"/>
                      <w:highlight w:val="none"/>
                      <w:lang w:val="en-US" w:eastAsia="zh-CN"/>
                    </w:rPr>
                  </w:pPr>
                  <w:r>
                    <w:rPr>
                      <w:rFonts w:hint="eastAsia"/>
                      <w:bCs/>
                      <w:color w:val="auto"/>
                      <w:szCs w:val="21"/>
                      <w:highlight w:val="none"/>
                      <w:lang w:val="en-US" w:eastAsia="zh-CN"/>
                    </w:rPr>
                    <w:t>T，I</w:t>
                  </w:r>
                </w:p>
              </w:tc>
              <w:tc>
                <w:tcPr>
                  <w:tcW w:w="945" w:type="dxa"/>
                  <w:noWrap w:val="0"/>
                  <w:vAlign w:val="center"/>
                </w:tcPr>
                <w:p>
                  <w:pPr>
                    <w:jc w:val="center"/>
                    <w:rPr>
                      <w:rFonts w:hint="eastAsia" w:eastAsia="宋体"/>
                      <w:bCs/>
                      <w:color w:val="auto"/>
                      <w:szCs w:val="21"/>
                      <w:highlight w:val="none"/>
                      <w:lang w:val="en-US" w:eastAsia="zh-CN"/>
                    </w:rPr>
                  </w:pPr>
                  <w:r>
                    <w:rPr>
                      <w:rFonts w:hint="eastAsia" w:eastAsia="宋体"/>
                      <w:bCs/>
                      <w:color w:val="auto"/>
                      <w:szCs w:val="21"/>
                      <w:highlight w:val="none"/>
                      <w:lang w:val="en-US" w:eastAsia="zh-CN"/>
                    </w:rPr>
                    <w:t>0.01</w:t>
                  </w:r>
                </w:p>
              </w:tc>
              <w:tc>
                <w:tcPr>
                  <w:tcW w:w="795" w:type="dxa"/>
                  <w:noWrap w:val="0"/>
                  <w:vAlign w:val="center"/>
                </w:tcPr>
                <w:p>
                  <w:pPr>
                    <w:adjustRightInd w:val="0"/>
                    <w:jc w:val="center"/>
                    <w:textAlignment w:val="baseline"/>
                    <w:rPr>
                      <w:bCs/>
                      <w:color w:val="auto"/>
                      <w:szCs w:val="21"/>
                      <w:highlight w:val="none"/>
                    </w:rPr>
                  </w:pPr>
                  <w:r>
                    <w:rPr>
                      <w:bCs/>
                      <w:color w:val="auto"/>
                      <w:szCs w:val="21"/>
                      <w:highlight w:val="none"/>
                    </w:rPr>
                    <w:t>桶装</w:t>
                  </w:r>
                </w:p>
              </w:tc>
              <w:tc>
                <w:tcPr>
                  <w:tcW w:w="873" w:type="dxa"/>
                  <w:vMerge w:val="continue"/>
                  <w:noWrap w:val="0"/>
                  <w:vAlign w:val="center"/>
                </w:tcPr>
                <w:p>
                  <w:pPr>
                    <w:adjustRightInd w:val="0"/>
                    <w:jc w:val="center"/>
                    <w:textAlignment w:val="baseline"/>
                    <w:rPr>
                      <w:bCs/>
                      <w:color w:val="auto"/>
                      <w:szCs w:val="21"/>
                      <w:highlight w:val="none"/>
                    </w:rPr>
                  </w:pPr>
                </w:p>
              </w:tc>
              <w:tc>
                <w:tcPr>
                  <w:tcW w:w="1575" w:type="dxa"/>
                  <w:vMerge w:val="continue"/>
                  <w:noWrap w:val="0"/>
                  <w:vAlign w:val="center"/>
                </w:tcPr>
                <w:p>
                  <w:pPr>
                    <w:adjustRightInd w:val="0"/>
                    <w:jc w:val="center"/>
                    <w:textAlignment w:val="baseline"/>
                    <w:rPr>
                      <w:bCs/>
                      <w:color w:val="auto"/>
                      <w:szCs w:val="21"/>
                      <w:highlight w:val="none"/>
                    </w:rPr>
                  </w:pPr>
                </w:p>
              </w:tc>
              <w:tc>
                <w:tcPr>
                  <w:tcW w:w="1189" w:type="dxa"/>
                  <w:noWrap w:val="0"/>
                  <w:vAlign w:val="center"/>
                </w:tcPr>
                <w:p>
                  <w:pPr>
                    <w:jc w:val="center"/>
                    <w:rPr>
                      <w:rFonts w:hint="eastAsia" w:eastAsia="宋体"/>
                      <w:bCs/>
                      <w:color w:val="auto"/>
                      <w:szCs w:val="21"/>
                      <w:highlight w:val="none"/>
                      <w:lang w:val="en-US" w:eastAsia="zh-CN"/>
                    </w:rPr>
                  </w:pPr>
                  <w:r>
                    <w:rPr>
                      <w:rFonts w:hint="eastAsia" w:eastAsia="宋体"/>
                      <w:bCs/>
                      <w:color w:val="auto"/>
                      <w:szCs w:val="21"/>
                      <w:highlight w:val="none"/>
                      <w:lang w:val="en-US" w:eastAsia="zh-CN"/>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1134" w:type="dxa"/>
                  <w:vMerge w:val="continue"/>
                  <w:noWrap w:val="0"/>
                  <w:vAlign w:val="center"/>
                </w:tcPr>
                <w:p>
                  <w:pPr>
                    <w:adjustRightInd w:val="0"/>
                    <w:jc w:val="center"/>
                    <w:textAlignment w:val="baseline"/>
                    <w:rPr>
                      <w:bCs/>
                      <w:color w:val="auto"/>
                      <w:szCs w:val="21"/>
                      <w:highlight w:val="none"/>
                    </w:rPr>
                  </w:pPr>
                </w:p>
              </w:tc>
              <w:tc>
                <w:tcPr>
                  <w:tcW w:w="1335" w:type="dxa"/>
                  <w:noWrap w:val="0"/>
                  <w:vAlign w:val="center"/>
                </w:tcPr>
                <w:p>
                  <w:pPr>
                    <w:jc w:val="center"/>
                    <w:rPr>
                      <w:rFonts w:hint="eastAsia"/>
                      <w:color w:val="auto"/>
                      <w:szCs w:val="21"/>
                      <w:highlight w:val="none"/>
                      <w:lang w:eastAsia="zh-CN"/>
                    </w:rPr>
                  </w:pPr>
                  <w:r>
                    <w:rPr>
                      <w:rFonts w:hint="eastAsia" w:ascii="Times New Roman" w:hAnsi="Times New Roman" w:eastAsia="宋体" w:cs="Times New Roman"/>
                      <w:color w:val="auto"/>
                      <w:szCs w:val="21"/>
                      <w:highlight w:val="none"/>
                      <w:lang w:eastAsia="zh-CN"/>
                    </w:rPr>
                    <w:t>含油棉纱手套</w:t>
                  </w:r>
                </w:p>
              </w:tc>
              <w:tc>
                <w:tcPr>
                  <w:tcW w:w="1278" w:type="dxa"/>
                  <w:noWrap w:val="0"/>
                  <w:vAlign w:val="center"/>
                </w:tcPr>
                <w:p>
                  <w:pPr>
                    <w:adjustRightInd w:val="0"/>
                    <w:jc w:val="center"/>
                    <w:textAlignment w:val="baseline"/>
                    <w:rPr>
                      <w:bCs/>
                      <w:color w:val="auto"/>
                      <w:szCs w:val="21"/>
                      <w:highlight w:val="none"/>
                    </w:rPr>
                  </w:pPr>
                  <w:r>
                    <w:rPr>
                      <w:bCs/>
                      <w:color w:val="auto"/>
                      <w:szCs w:val="21"/>
                      <w:highlight w:val="none"/>
                    </w:rPr>
                    <w:t>危险废物</w:t>
                  </w:r>
                </w:p>
                <w:p>
                  <w:pPr>
                    <w:adjustRightInd w:val="0"/>
                    <w:jc w:val="center"/>
                    <w:textAlignment w:val="baseline"/>
                    <w:rPr>
                      <w:color w:val="auto"/>
                      <w:szCs w:val="21"/>
                      <w:highlight w:val="none"/>
                    </w:rPr>
                  </w:pPr>
                  <w:r>
                    <w:rPr>
                      <w:color w:val="auto"/>
                      <w:szCs w:val="21"/>
                      <w:highlight w:val="none"/>
                    </w:rPr>
                    <w:t>HW</w:t>
                  </w:r>
                  <w:r>
                    <w:rPr>
                      <w:rFonts w:hint="eastAsia"/>
                      <w:color w:val="auto"/>
                      <w:szCs w:val="21"/>
                      <w:highlight w:val="none"/>
                      <w:lang w:val="en-US" w:eastAsia="zh-CN"/>
                    </w:rPr>
                    <w:t>49</w:t>
                  </w:r>
                  <w:r>
                    <w:rPr>
                      <w:color w:val="auto"/>
                      <w:szCs w:val="21"/>
                      <w:highlight w:val="none"/>
                    </w:rPr>
                    <w:t xml:space="preserve"> </w:t>
                  </w:r>
                  <w:r>
                    <w:rPr>
                      <w:rFonts w:hint="eastAsia"/>
                      <w:color w:val="auto"/>
                      <w:szCs w:val="21"/>
                      <w:highlight w:val="none"/>
                    </w:rPr>
                    <w:t>900-041-49</w:t>
                  </w:r>
                </w:p>
              </w:tc>
              <w:tc>
                <w:tcPr>
                  <w:tcW w:w="1330" w:type="dxa"/>
                  <w:noWrap w:val="0"/>
                  <w:vAlign w:val="center"/>
                </w:tcPr>
                <w:p>
                  <w:pPr>
                    <w:adjustRightInd w:val="0"/>
                    <w:jc w:val="center"/>
                    <w:textAlignment w:val="baseline"/>
                    <w:rPr>
                      <w:bCs/>
                      <w:color w:val="auto"/>
                      <w:szCs w:val="21"/>
                      <w:highlight w:val="none"/>
                    </w:rPr>
                  </w:pPr>
                  <w:r>
                    <w:rPr>
                      <w:rFonts w:hint="eastAsia"/>
                      <w:bCs/>
                      <w:color w:val="auto"/>
                      <w:szCs w:val="21"/>
                      <w:highlight w:val="none"/>
                      <w:lang w:eastAsia="zh-CN"/>
                    </w:rPr>
                    <w:t>矿物油</w:t>
                  </w:r>
                </w:p>
              </w:tc>
              <w:tc>
                <w:tcPr>
                  <w:tcW w:w="769" w:type="dxa"/>
                  <w:noWrap w:val="0"/>
                  <w:vAlign w:val="center"/>
                </w:tcPr>
                <w:p>
                  <w:pPr>
                    <w:adjustRightInd w:val="0"/>
                    <w:jc w:val="center"/>
                    <w:textAlignment w:val="baseline"/>
                    <w:rPr>
                      <w:bCs/>
                      <w:color w:val="auto"/>
                      <w:szCs w:val="21"/>
                      <w:highlight w:val="none"/>
                    </w:rPr>
                  </w:pPr>
                  <w:r>
                    <w:rPr>
                      <w:rFonts w:hint="eastAsia"/>
                      <w:bCs/>
                      <w:color w:val="auto"/>
                      <w:szCs w:val="21"/>
                      <w:highlight w:val="none"/>
                      <w:lang w:eastAsia="zh-CN"/>
                    </w:rPr>
                    <w:t>固态</w:t>
                  </w:r>
                </w:p>
              </w:tc>
              <w:tc>
                <w:tcPr>
                  <w:tcW w:w="1101" w:type="dxa"/>
                  <w:noWrap w:val="0"/>
                  <w:vAlign w:val="center"/>
                </w:tcPr>
                <w:p>
                  <w:pPr>
                    <w:adjustRightInd w:val="0"/>
                    <w:jc w:val="center"/>
                    <w:textAlignment w:val="baseline"/>
                    <w:rPr>
                      <w:rFonts w:hint="eastAsia"/>
                      <w:bCs/>
                      <w:color w:val="auto"/>
                      <w:szCs w:val="21"/>
                      <w:highlight w:val="none"/>
                      <w:lang w:val="en-US" w:eastAsia="zh-CN"/>
                    </w:rPr>
                  </w:pPr>
                  <w:r>
                    <w:rPr>
                      <w:rFonts w:hint="eastAsia"/>
                      <w:bCs/>
                      <w:color w:val="auto"/>
                      <w:szCs w:val="21"/>
                      <w:highlight w:val="none"/>
                      <w:lang w:val="en-US" w:eastAsia="zh-CN"/>
                    </w:rPr>
                    <w:t>T/In</w:t>
                  </w:r>
                </w:p>
              </w:tc>
              <w:tc>
                <w:tcPr>
                  <w:tcW w:w="945" w:type="dxa"/>
                  <w:noWrap w:val="0"/>
                  <w:vAlign w:val="center"/>
                </w:tcPr>
                <w:p>
                  <w:pPr>
                    <w:widowControl/>
                    <w:jc w:val="center"/>
                    <w:rPr>
                      <w:rFonts w:hint="eastAsia" w:eastAsia="宋体"/>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0.01</w:t>
                  </w:r>
                </w:p>
              </w:tc>
              <w:tc>
                <w:tcPr>
                  <w:tcW w:w="795" w:type="dxa"/>
                  <w:noWrap w:val="0"/>
                  <w:vAlign w:val="center"/>
                </w:tcPr>
                <w:p>
                  <w:pPr>
                    <w:adjustRightInd w:val="0"/>
                    <w:jc w:val="center"/>
                    <w:textAlignment w:val="baseline"/>
                    <w:rPr>
                      <w:bCs/>
                      <w:color w:val="auto"/>
                      <w:szCs w:val="21"/>
                      <w:highlight w:val="none"/>
                    </w:rPr>
                  </w:pPr>
                  <w:r>
                    <w:rPr>
                      <w:rFonts w:hint="eastAsia"/>
                      <w:bCs/>
                      <w:color w:val="auto"/>
                      <w:szCs w:val="21"/>
                      <w:highlight w:val="none"/>
                      <w:lang w:val="en-US" w:eastAsia="zh-CN"/>
                    </w:rPr>
                    <w:t>桶装</w:t>
                  </w:r>
                </w:p>
              </w:tc>
              <w:tc>
                <w:tcPr>
                  <w:tcW w:w="873" w:type="dxa"/>
                  <w:vMerge w:val="continue"/>
                  <w:noWrap w:val="0"/>
                  <w:vAlign w:val="center"/>
                </w:tcPr>
                <w:p>
                  <w:pPr>
                    <w:adjustRightInd w:val="0"/>
                    <w:jc w:val="center"/>
                    <w:textAlignment w:val="baseline"/>
                    <w:rPr>
                      <w:bCs/>
                      <w:color w:val="auto"/>
                      <w:szCs w:val="21"/>
                      <w:highlight w:val="none"/>
                    </w:rPr>
                  </w:pPr>
                </w:p>
              </w:tc>
              <w:tc>
                <w:tcPr>
                  <w:tcW w:w="1575" w:type="dxa"/>
                  <w:vMerge w:val="continue"/>
                  <w:noWrap w:val="0"/>
                  <w:vAlign w:val="center"/>
                </w:tcPr>
                <w:p>
                  <w:pPr>
                    <w:adjustRightInd w:val="0"/>
                    <w:jc w:val="center"/>
                    <w:textAlignment w:val="baseline"/>
                    <w:rPr>
                      <w:bCs/>
                      <w:color w:val="auto"/>
                      <w:szCs w:val="21"/>
                      <w:highlight w:val="none"/>
                    </w:rPr>
                  </w:pPr>
                </w:p>
              </w:tc>
              <w:tc>
                <w:tcPr>
                  <w:tcW w:w="1189" w:type="dxa"/>
                  <w:noWrap w:val="0"/>
                  <w:vAlign w:val="center"/>
                </w:tcPr>
                <w:p>
                  <w:pPr>
                    <w:widowControl/>
                    <w:jc w:val="center"/>
                    <w:rPr>
                      <w:rFonts w:hint="eastAsia" w:eastAsia="宋体"/>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0.01</w:t>
                  </w:r>
                </w:p>
              </w:tc>
            </w:tr>
          </w:tbl>
          <w:p>
            <w:pPr>
              <w:spacing w:line="360" w:lineRule="auto"/>
              <w:ind w:firstLine="440" w:firstLineChars="200"/>
              <w:rPr>
                <w:rFonts w:hint="default" w:eastAsia="宋体"/>
                <w:color w:val="auto"/>
                <w:sz w:val="22"/>
                <w:szCs w:val="22"/>
                <w:highlight w:val="none"/>
                <w:lang w:val="en-US" w:eastAsia="zh-CN"/>
              </w:rPr>
            </w:pPr>
          </w:p>
        </w:tc>
      </w:tr>
    </w:tbl>
    <w:p>
      <w:pPr>
        <w:pStyle w:val="52"/>
        <w:rPr>
          <w:rFonts w:hint="default"/>
          <w:color w:val="auto"/>
          <w:highlight w:val="none"/>
        </w:rPr>
        <w:sectPr>
          <w:pgSz w:w="16840" w:h="11907" w:orient="landscape"/>
          <w:pgMar w:top="1531" w:right="1701" w:bottom="1531" w:left="2127"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4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39"/>
        <w:gridCol w:w="816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662" w:hRule="atLeast"/>
          <w:jc w:val="center"/>
        </w:trPr>
        <w:tc>
          <w:tcPr>
            <w:tcW w:w="739" w:type="dxa"/>
            <w:noWrap w:val="0"/>
            <w:tcMar>
              <w:left w:w="28" w:type="dxa"/>
              <w:right w:w="28" w:type="dxa"/>
            </w:tcMar>
            <w:vAlign w:val="center"/>
          </w:tcPr>
          <w:p>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运营</w:t>
            </w:r>
          </w:p>
          <w:p>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期环</w:t>
            </w:r>
          </w:p>
          <w:p>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境影</w:t>
            </w:r>
          </w:p>
          <w:p>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响和</w:t>
            </w:r>
          </w:p>
          <w:p>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保护</w:t>
            </w:r>
          </w:p>
          <w:p>
            <w:pPr>
              <w:pStyle w:val="37"/>
              <w:adjustRightInd w:val="0"/>
              <w:snapToGrid w:val="0"/>
              <w:spacing w:before="0" w:beforeAutospacing="0" w:after="0" w:afterAutospacing="0"/>
              <w:jc w:val="center"/>
              <w:rPr>
                <w:rFonts w:hint="default" w:ascii="Times New Roman" w:hAnsi="Times New Roman" w:cs="Times New Roman"/>
                <w:bCs/>
                <w:color w:val="auto"/>
                <w:kern w:val="2"/>
                <w:sz w:val="21"/>
                <w:szCs w:val="21"/>
                <w:highlight w:val="none"/>
              </w:rPr>
            </w:pPr>
            <w:r>
              <w:rPr>
                <w:rFonts w:hint="default" w:ascii="Times New Roman" w:hAnsi="Times New Roman" w:cs="Times New Roman"/>
                <w:bCs/>
                <w:color w:val="auto"/>
                <w:szCs w:val="21"/>
                <w:highlight w:val="none"/>
              </w:rPr>
              <w:t>措施</w:t>
            </w:r>
          </w:p>
        </w:tc>
        <w:tc>
          <w:tcPr>
            <w:tcW w:w="8169" w:type="dxa"/>
            <w:noWrap w:val="0"/>
            <w:vAlign w:val="top"/>
          </w:tcPr>
          <w:p>
            <w:pPr>
              <w:spacing w:line="360" w:lineRule="auto"/>
              <w:ind w:firstLine="442" w:firstLineChars="200"/>
              <w:rPr>
                <w:b/>
                <w:bCs/>
                <w:color w:val="auto"/>
                <w:sz w:val="22"/>
                <w:szCs w:val="21"/>
                <w:highlight w:val="none"/>
              </w:rPr>
            </w:pPr>
            <w:r>
              <w:rPr>
                <w:b/>
                <w:bCs/>
                <w:color w:val="auto"/>
                <w:sz w:val="22"/>
                <w:szCs w:val="21"/>
                <w:highlight w:val="none"/>
              </w:rPr>
              <w:t>4.2 环境管理要求</w:t>
            </w:r>
          </w:p>
          <w:p>
            <w:pPr>
              <w:spacing w:line="360" w:lineRule="auto"/>
              <w:ind w:firstLine="440" w:firstLineChars="200"/>
              <w:rPr>
                <w:rFonts w:hint="eastAsia"/>
                <w:color w:val="auto"/>
                <w:sz w:val="22"/>
                <w:szCs w:val="22"/>
                <w:highlight w:val="none"/>
                <w:lang w:eastAsia="zh-CN"/>
              </w:rPr>
            </w:pPr>
            <w:r>
              <w:rPr>
                <w:rFonts w:hint="eastAsia"/>
                <w:color w:val="auto"/>
                <w:sz w:val="22"/>
                <w:szCs w:val="22"/>
                <w:highlight w:val="none"/>
                <w:lang w:eastAsia="zh-CN"/>
              </w:rPr>
              <w:t>建设单位应当采取防扬散、防流失、防渗漏或者其他防止污染环境的措施，不得擅自倾倒、堆放、丢弃、遗撒固体废物。</w:t>
            </w:r>
          </w:p>
          <w:p>
            <w:pPr>
              <w:spacing w:line="360" w:lineRule="auto"/>
              <w:ind w:firstLine="440" w:firstLineChars="200"/>
              <w:rPr>
                <w:rFonts w:hint="default"/>
                <w:color w:val="auto"/>
                <w:sz w:val="22"/>
                <w:szCs w:val="22"/>
                <w:highlight w:val="none"/>
                <w:lang w:val="en-US" w:eastAsia="zh-CN"/>
              </w:rPr>
            </w:pPr>
            <w:r>
              <w:rPr>
                <w:rFonts w:hint="eastAsia"/>
                <w:color w:val="auto"/>
                <w:sz w:val="22"/>
                <w:szCs w:val="22"/>
                <w:highlight w:val="none"/>
                <w:lang w:eastAsia="zh-CN"/>
              </w:rPr>
              <w:t>（</w:t>
            </w:r>
            <w:r>
              <w:rPr>
                <w:rFonts w:hint="eastAsia"/>
                <w:color w:val="auto"/>
                <w:sz w:val="22"/>
                <w:szCs w:val="22"/>
                <w:highlight w:val="none"/>
                <w:lang w:val="en-US" w:eastAsia="zh-CN"/>
              </w:rPr>
              <w:t>1</w:t>
            </w:r>
            <w:r>
              <w:rPr>
                <w:rFonts w:hint="eastAsia"/>
                <w:color w:val="auto"/>
                <w:sz w:val="22"/>
                <w:szCs w:val="22"/>
                <w:highlight w:val="none"/>
                <w:lang w:eastAsia="zh-CN"/>
              </w:rPr>
              <w:t>）</w:t>
            </w:r>
            <w:r>
              <w:rPr>
                <w:rFonts w:hint="eastAsia"/>
                <w:color w:val="auto"/>
                <w:sz w:val="22"/>
                <w:szCs w:val="22"/>
                <w:highlight w:val="none"/>
                <w:lang w:val="en-US" w:eastAsia="zh-CN"/>
              </w:rPr>
              <w:t>危废暂存间要求</w:t>
            </w:r>
          </w:p>
          <w:p>
            <w:pPr>
              <w:spacing w:line="360" w:lineRule="auto"/>
              <w:ind w:firstLine="440" w:firstLineChars="200"/>
              <w:rPr>
                <w:rFonts w:hint="eastAsia"/>
                <w:color w:val="auto"/>
                <w:sz w:val="22"/>
                <w:szCs w:val="22"/>
                <w:highlight w:val="none"/>
                <w:lang w:val="en-US" w:eastAsia="zh-CN"/>
              </w:rPr>
            </w:pPr>
            <w:r>
              <w:rPr>
                <w:rFonts w:hint="eastAsia"/>
                <w:color w:val="auto"/>
                <w:sz w:val="22"/>
                <w:szCs w:val="22"/>
                <w:highlight w:val="none"/>
                <w:lang w:eastAsia="zh-CN"/>
              </w:rPr>
              <w:t>①本项目拟设置危废暂存间约</w:t>
            </w:r>
            <w:r>
              <w:rPr>
                <w:rFonts w:hint="eastAsia"/>
                <w:color w:val="auto"/>
                <w:sz w:val="22"/>
                <w:szCs w:val="22"/>
                <w:highlight w:val="none"/>
                <w:lang w:val="en-US" w:eastAsia="zh-CN"/>
              </w:rPr>
              <w:t>5m</w:t>
            </w:r>
            <w:r>
              <w:rPr>
                <w:rFonts w:hint="eastAsia"/>
                <w:color w:val="auto"/>
                <w:sz w:val="22"/>
                <w:szCs w:val="22"/>
                <w:highlight w:val="none"/>
                <w:vertAlign w:val="superscript"/>
                <w:lang w:val="en-US" w:eastAsia="zh-CN"/>
              </w:rPr>
              <w:t>2</w:t>
            </w:r>
            <w:r>
              <w:rPr>
                <w:rFonts w:hint="eastAsia"/>
                <w:color w:val="auto"/>
                <w:sz w:val="22"/>
                <w:szCs w:val="22"/>
                <w:highlight w:val="none"/>
                <w:lang w:val="en-US" w:eastAsia="zh-CN"/>
              </w:rPr>
              <w:t>。对危险废物分类分区进行储存，作重点防渗，</w:t>
            </w:r>
            <w:r>
              <w:rPr>
                <w:rFonts w:hint="eastAsia" w:eastAsia="宋体" w:cs="Times New Roman"/>
                <w:bCs/>
                <w:color w:val="auto"/>
                <w:sz w:val="22"/>
                <w:szCs w:val="22"/>
                <w:highlight w:val="none"/>
                <w:lang w:eastAsia="zh-CN"/>
              </w:rPr>
              <w:t>按照《《危险废物贮存污染控制标准》（GB18597-2023）进行建设：防渗层为至少1 m厚黏土层（渗透系数不大于10</w:t>
            </w:r>
            <w:r>
              <w:rPr>
                <w:rFonts w:hint="eastAsia" w:eastAsia="宋体" w:cs="Times New Roman"/>
                <w:bCs/>
                <w:color w:val="auto"/>
                <w:sz w:val="22"/>
                <w:szCs w:val="22"/>
                <w:highlight w:val="none"/>
                <w:vertAlign w:val="superscript"/>
                <w:lang w:eastAsia="zh-CN"/>
              </w:rPr>
              <w:t>-7</w:t>
            </w:r>
            <w:r>
              <w:rPr>
                <w:rFonts w:hint="eastAsia" w:eastAsia="宋体" w:cs="Times New Roman"/>
                <w:bCs/>
                <w:color w:val="auto"/>
                <w:sz w:val="22"/>
                <w:szCs w:val="22"/>
                <w:highlight w:val="none"/>
                <w:lang w:eastAsia="zh-CN"/>
              </w:rPr>
              <w:t>cm/s），或至少2mm厚高密度聚乙烯膜等人工防渗材料（渗透系数不大于10</w:t>
            </w:r>
            <w:r>
              <w:rPr>
                <w:rFonts w:hint="eastAsia" w:eastAsia="宋体" w:cs="Times New Roman"/>
                <w:bCs/>
                <w:color w:val="auto"/>
                <w:sz w:val="22"/>
                <w:szCs w:val="22"/>
                <w:highlight w:val="none"/>
                <w:vertAlign w:val="superscript"/>
                <w:lang w:eastAsia="zh-CN"/>
              </w:rPr>
              <w:t>-10</w:t>
            </w:r>
            <w:r>
              <w:rPr>
                <w:rFonts w:hint="eastAsia" w:eastAsia="宋体" w:cs="Times New Roman"/>
                <w:bCs/>
                <w:color w:val="auto"/>
                <w:sz w:val="22"/>
                <w:szCs w:val="22"/>
                <w:highlight w:val="none"/>
                <w:lang w:eastAsia="zh-CN"/>
              </w:rPr>
              <w:t>cm/s），或其他防渗性能等效的材料。</w:t>
            </w:r>
          </w:p>
          <w:p>
            <w:pPr>
              <w:spacing w:line="360" w:lineRule="auto"/>
              <w:ind w:firstLine="440" w:firstLineChars="200"/>
              <w:rPr>
                <w:rFonts w:hint="eastAsia" w:eastAsia="宋体"/>
                <w:color w:val="auto"/>
                <w:sz w:val="22"/>
                <w:szCs w:val="22"/>
                <w:highlight w:val="none"/>
                <w:lang w:eastAsia="zh-CN"/>
              </w:rPr>
            </w:pPr>
            <w:r>
              <w:rPr>
                <w:rFonts w:hint="eastAsia"/>
                <w:color w:val="auto"/>
                <w:sz w:val="22"/>
                <w:szCs w:val="22"/>
                <w:highlight w:val="none"/>
                <w:lang w:val="en-US" w:eastAsia="zh-CN"/>
              </w:rPr>
              <w:t>②</w:t>
            </w:r>
            <w:r>
              <w:rPr>
                <w:rFonts w:hint="eastAsia"/>
                <w:color w:val="auto"/>
                <w:sz w:val="22"/>
                <w:szCs w:val="22"/>
                <w:highlight w:val="none"/>
                <w:lang w:eastAsia="zh-CN"/>
              </w:rPr>
              <w:t>危险废物应分类收集储存在危废暂存间，危废暂存间应采取防风、防雨、防晒、防渗漏的</w:t>
            </w:r>
            <w:r>
              <w:rPr>
                <w:rFonts w:hint="eastAsia"/>
                <w:color w:val="auto"/>
                <w:sz w:val="22"/>
                <w:szCs w:val="22"/>
                <w:highlight w:val="none"/>
                <w:lang w:val="en-US" w:eastAsia="zh-CN"/>
              </w:rPr>
              <w:t>等</w:t>
            </w:r>
            <w:r>
              <w:rPr>
                <w:rFonts w:hint="eastAsia"/>
                <w:color w:val="auto"/>
                <w:sz w:val="22"/>
                <w:szCs w:val="22"/>
                <w:highlight w:val="none"/>
                <w:lang w:eastAsia="zh-CN"/>
              </w:rPr>
              <w:t>措施，按照《环境保护图形标志—固体废物贮存（处置）场》（GB15562.2-1995）设置警示标识，由专人负责管理。</w:t>
            </w:r>
            <w:r>
              <w:rPr>
                <w:color w:val="auto"/>
                <w:sz w:val="22"/>
                <w:szCs w:val="22"/>
                <w:highlight w:val="none"/>
              </w:rPr>
              <w:t>危险废物的收集必须按照相关危险废物贮存必须严格按照《</w:t>
            </w:r>
            <w:r>
              <w:rPr>
                <w:rFonts w:hint="eastAsia"/>
                <w:color w:val="auto"/>
                <w:sz w:val="22"/>
                <w:szCs w:val="22"/>
                <w:highlight w:val="none"/>
              </w:rPr>
              <w:t>《危险废物贮存污染控制标准》（GB18597-2023）</w:t>
            </w:r>
            <w:r>
              <w:rPr>
                <w:color w:val="auto"/>
                <w:sz w:val="22"/>
                <w:szCs w:val="22"/>
                <w:highlight w:val="none"/>
              </w:rPr>
              <w:t>执行，禁止在非贮存地点（容器）倾倒、堆放危险废物或者将危险废物混入其他一般工业固体废物和生活垃圾，各废物贮存需按照国家和相应要求处置</w:t>
            </w:r>
            <w:r>
              <w:rPr>
                <w:rFonts w:hint="eastAsia"/>
                <w:color w:val="auto"/>
                <w:sz w:val="22"/>
                <w:szCs w:val="22"/>
                <w:highlight w:val="none"/>
                <w:lang w:eastAsia="zh-CN"/>
              </w:rPr>
              <w:t>。</w:t>
            </w:r>
          </w:p>
          <w:p>
            <w:pPr>
              <w:spacing w:line="360" w:lineRule="auto"/>
              <w:ind w:firstLine="440" w:firstLineChars="200"/>
              <w:rPr>
                <w:rFonts w:hint="default" w:ascii="Times New Roman" w:hAnsi="Times New Roman" w:eastAsia="宋体" w:cs="Times New Roman"/>
                <w:color w:val="auto"/>
                <w:sz w:val="22"/>
                <w:szCs w:val="22"/>
                <w:highlight w:val="none"/>
                <w:lang w:val="en-US" w:eastAsia="zh-CN"/>
              </w:rPr>
            </w:pPr>
            <w:r>
              <w:rPr>
                <w:rFonts w:hint="eastAsia"/>
                <w:color w:val="auto"/>
                <w:sz w:val="22"/>
                <w:szCs w:val="22"/>
                <w:highlight w:val="none"/>
                <w:lang w:val="en-US" w:eastAsia="zh-CN"/>
              </w:rPr>
              <w:t>③</w:t>
            </w:r>
            <w:r>
              <w:rPr>
                <w:rFonts w:hint="eastAsia" w:ascii="Times New Roman" w:hAnsi="Times New Roman" w:eastAsia="宋体" w:cs="Times New Roman"/>
                <w:color w:val="auto"/>
                <w:sz w:val="22"/>
                <w:szCs w:val="22"/>
                <w:highlight w:val="none"/>
                <w:lang w:val="en-US" w:eastAsia="zh-CN"/>
              </w:rPr>
              <w:t>设置围堰，防止有毒有害物质外溢扩散。</w:t>
            </w:r>
          </w:p>
          <w:p>
            <w:pPr>
              <w:adjustRightInd w:val="0"/>
              <w:ind w:firstLine="482" w:firstLineChars="200"/>
              <w:jc w:val="center"/>
              <w:textAlignment w:val="baseline"/>
              <w:rPr>
                <w:rFonts w:hint="default" w:eastAsia="宋体"/>
                <w:b/>
                <w:bCs/>
                <w:color w:val="auto"/>
                <w:sz w:val="22"/>
                <w:szCs w:val="22"/>
                <w:highlight w:val="none"/>
                <w:lang w:val="en-US" w:eastAsia="zh-CN"/>
              </w:rPr>
            </w:pPr>
            <w:r>
              <w:rPr>
                <w:b/>
                <w:color w:val="auto"/>
                <w:szCs w:val="21"/>
                <w:highlight w:val="none"/>
              </w:rPr>
              <w:t>表4-</w:t>
            </w:r>
            <w:r>
              <w:rPr>
                <w:rFonts w:hint="eastAsia"/>
                <w:b/>
                <w:color w:val="auto"/>
                <w:szCs w:val="21"/>
                <w:highlight w:val="none"/>
                <w:lang w:val="en-US" w:eastAsia="zh-CN"/>
              </w:rPr>
              <w:t xml:space="preserve">13 </w:t>
            </w:r>
            <w:r>
              <w:rPr>
                <w:b/>
                <w:color w:val="auto"/>
                <w:szCs w:val="21"/>
                <w:highlight w:val="none"/>
              </w:rPr>
              <w:t>项目</w:t>
            </w:r>
            <w:r>
              <w:rPr>
                <w:rFonts w:hint="eastAsia"/>
                <w:b/>
                <w:color w:val="auto"/>
                <w:szCs w:val="21"/>
                <w:highlight w:val="none"/>
                <w:lang w:val="en-US" w:eastAsia="zh-CN"/>
              </w:rPr>
              <w:t>危废暂存间基本情况表</w:t>
            </w:r>
          </w:p>
          <w:tbl>
            <w:tblPr>
              <w:tblStyle w:val="43"/>
              <w:tblW w:w="79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4"/>
              <w:gridCol w:w="870"/>
              <w:gridCol w:w="1359"/>
              <w:gridCol w:w="800"/>
              <w:gridCol w:w="884"/>
              <w:gridCol w:w="884"/>
              <w:gridCol w:w="884"/>
              <w:gridCol w:w="884"/>
              <w:gridCol w:w="8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4" w:type="dxa"/>
                  <w:noWrap w:val="0"/>
                  <w:vAlign w:val="center"/>
                </w:tcPr>
                <w:p>
                  <w:pPr>
                    <w:adjustRightInd w:val="0"/>
                    <w:jc w:val="center"/>
                    <w:textAlignment w:val="baseline"/>
                    <w:rPr>
                      <w:rFonts w:hint="default" w:ascii="Times New Roman" w:hAnsi="Times New Roman" w:eastAsia="宋体" w:cs="Times New Roman"/>
                      <w:b/>
                      <w:bCs w:val="0"/>
                      <w:color w:val="auto"/>
                      <w:sz w:val="20"/>
                      <w:szCs w:val="20"/>
                      <w:highlight w:val="none"/>
                      <w:lang w:val="en-US" w:eastAsia="zh-CN"/>
                    </w:rPr>
                  </w:pPr>
                  <w:r>
                    <w:rPr>
                      <w:rFonts w:hint="eastAsia" w:ascii="Times New Roman" w:hAnsi="Times New Roman" w:eastAsia="宋体" w:cs="Times New Roman"/>
                      <w:b/>
                      <w:bCs w:val="0"/>
                      <w:color w:val="auto"/>
                      <w:sz w:val="20"/>
                      <w:szCs w:val="20"/>
                      <w:highlight w:val="none"/>
                      <w:lang w:val="en-US" w:eastAsia="zh-CN"/>
                    </w:rPr>
                    <w:t>序号</w:t>
                  </w:r>
                </w:p>
              </w:tc>
              <w:tc>
                <w:tcPr>
                  <w:tcW w:w="870" w:type="dxa"/>
                  <w:noWrap w:val="0"/>
                  <w:vAlign w:val="center"/>
                </w:tcPr>
                <w:p>
                  <w:pPr>
                    <w:adjustRightInd w:val="0"/>
                    <w:jc w:val="center"/>
                    <w:textAlignment w:val="baseline"/>
                    <w:rPr>
                      <w:rFonts w:hint="default" w:ascii="Times New Roman" w:hAnsi="Times New Roman" w:eastAsia="宋体" w:cs="Times New Roman"/>
                      <w:b/>
                      <w:bCs w:val="0"/>
                      <w:color w:val="auto"/>
                      <w:sz w:val="20"/>
                      <w:szCs w:val="20"/>
                      <w:highlight w:val="none"/>
                      <w:lang w:val="en-US" w:eastAsia="zh-CN"/>
                    </w:rPr>
                  </w:pPr>
                  <w:r>
                    <w:rPr>
                      <w:rFonts w:hint="eastAsia" w:ascii="Times New Roman" w:hAnsi="Times New Roman" w:eastAsia="宋体" w:cs="Times New Roman"/>
                      <w:b/>
                      <w:bCs w:val="0"/>
                      <w:color w:val="auto"/>
                      <w:sz w:val="20"/>
                      <w:szCs w:val="20"/>
                      <w:highlight w:val="none"/>
                      <w:lang w:val="en-US" w:eastAsia="zh-CN"/>
                    </w:rPr>
                    <w:t>贮存场所名称</w:t>
                  </w:r>
                </w:p>
              </w:tc>
              <w:tc>
                <w:tcPr>
                  <w:tcW w:w="1359" w:type="dxa"/>
                  <w:noWrap w:val="0"/>
                  <w:vAlign w:val="center"/>
                </w:tcPr>
                <w:p>
                  <w:pPr>
                    <w:adjustRightInd w:val="0"/>
                    <w:jc w:val="center"/>
                    <w:textAlignment w:val="baseline"/>
                    <w:rPr>
                      <w:rFonts w:hint="eastAsia" w:ascii="Times New Roman" w:hAnsi="Times New Roman" w:eastAsia="宋体" w:cs="Times New Roman"/>
                      <w:b/>
                      <w:bCs w:val="0"/>
                      <w:color w:val="auto"/>
                      <w:sz w:val="20"/>
                      <w:szCs w:val="20"/>
                      <w:highlight w:val="none"/>
                      <w:lang w:val="en-US" w:eastAsia="zh-CN"/>
                    </w:rPr>
                  </w:pPr>
                  <w:r>
                    <w:rPr>
                      <w:rFonts w:hint="eastAsia" w:ascii="Times New Roman" w:hAnsi="Times New Roman" w:eastAsia="宋体" w:cs="Times New Roman"/>
                      <w:b/>
                      <w:bCs w:val="0"/>
                      <w:color w:val="auto"/>
                      <w:sz w:val="20"/>
                      <w:szCs w:val="20"/>
                      <w:highlight w:val="none"/>
                      <w:lang w:val="en-US" w:eastAsia="zh-CN"/>
                    </w:rPr>
                    <w:t>危废</w:t>
                  </w:r>
                </w:p>
                <w:p>
                  <w:pPr>
                    <w:adjustRightInd w:val="0"/>
                    <w:jc w:val="center"/>
                    <w:textAlignment w:val="baseline"/>
                    <w:rPr>
                      <w:rFonts w:hint="default" w:ascii="Times New Roman" w:hAnsi="Times New Roman" w:eastAsia="宋体" w:cs="Times New Roman"/>
                      <w:b/>
                      <w:bCs w:val="0"/>
                      <w:color w:val="auto"/>
                      <w:sz w:val="20"/>
                      <w:szCs w:val="20"/>
                      <w:highlight w:val="none"/>
                      <w:lang w:val="en-US" w:eastAsia="zh-CN"/>
                    </w:rPr>
                  </w:pPr>
                  <w:r>
                    <w:rPr>
                      <w:rFonts w:hint="eastAsia" w:ascii="Times New Roman" w:hAnsi="Times New Roman" w:eastAsia="宋体" w:cs="Times New Roman"/>
                      <w:b/>
                      <w:bCs w:val="0"/>
                      <w:color w:val="auto"/>
                      <w:sz w:val="20"/>
                      <w:szCs w:val="20"/>
                      <w:highlight w:val="none"/>
                      <w:lang w:val="en-US" w:eastAsia="zh-CN"/>
                    </w:rPr>
                    <w:t>名称</w:t>
                  </w:r>
                </w:p>
              </w:tc>
              <w:tc>
                <w:tcPr>
                  <w:tcW w:w="800" w:type="dxa"/>
                  <w:noWrap w:val="0"/>
                  <w:vAlign w:val="center"/>
                </w:tcPr>
                <w:p>
                  <w:pPr>
                    <w:adjustRightInd w:val="0"/>
                    <w:jc w:val="center"/>
                    <w:textAlignment w:val="baseline"/>
                    <w:rPr>
                      <w:rFonts w:hint="eastAsia" w:ascii="Times New Roman" w:hAnsi="Times New Roman" w:eastAsia="宋体" w:cs="Times New Roman"/>
                      <w:b/>
                      <w:bCs w:val="0"/>
                      <w:color w:val="auto"/>
                      <w:sz w:val="20"/>
                      <w:szCs w:val="20"/>
                      <w:highlight w:val="none"/>
                      <w:lang w:val="en-US" w:eastAsia="zh-CN"/>
                    </w:rPr>
                  </w:pPr>
                  <w:r>
                    <w:rPr>
                      <w:rFonts w:hint="eastAsia" w:ascii="Times New Roman" w:hAnsi="Times New Roman" w:eastAsia="宋体" w:cs="Times New Roman"/>
                      <w:b/>
                      <w:bCs w:val="0"/>
                      <w:color w:val="auto"/>
                      <w:sz w:val="20"/>
                      <w:szCs w:val="20"/>
                      <w:highlight w:val="none"/>
                      <w:lang w:val="en-US" w:eastAsia="zh-CN"/>
                    </w:rPr>
                    <w:t>废物</w:t>
                  </w:r>
                </w:p>
                <w:p>
                  <w:pPr>
                    <w:adjustRightInd w:val="0"/>
                    <w:jc w:val="center"/>
                    <w:textAlignment w:val="baseline"/>
                    <w:rPr>
                      <w:rFonts w:hint="default" w:ascii="Times New Roman" w:hAnsi="Times New Roman" w:eastAsia="宋体" w:cs="Times New Roman"/>
                      <w:b/>
                      <w:bCs w:val="0"/>
                      <w:color w:val="auto"/>
                      <w:sz w:val="20"/>
                      <w:szCs w:val="20"/>
                      <w:highlight w:val="none"/>
                      <w:lang w:val="en-US" w:eastAsia="zh-CN"/>
                    </w:rPr>
                  </w:pPr>
                  <w:r>
                    <w:rPr>
                      <w:rFonts w:hint="eastAsia" w:ascii="Times New Roman" w:hAnsi="Times New Roman" w:eastAsia="宋体" w:cs="Times New Roman"/>
                      <w:b/>
                      <w:bCs w:val="0"/>
                      <w:color w:val="auto"/>
                      <w:sz w:val="20"/>
                      <w:szCs w:val="20"/>
                      <w:highlight w:val="none"/>
                      <w:lang w:val="en-US" w:eastAsia="zh-CN"/>
                    </w:rPr>
                    <w:t>类别</w:t>
                  </w:r>
                </w:p>
              </w:tc>
              <w:tc>
                <w:tcPr>
                  <w:tcW w:w="884" w:type="dxa"/>
                  <w:noWrap w:val="0"/>
                  <w:vAlign w:val="center"/>
                </w:tcPr>
                <w:p>
                  <w:pPr>
                    <w:adjustRightInd w:val="0"/>
                    <w:jc w:val="center"/>
                    <w:textAlignment w:val="baseline"/>
                    <w:rPr>
                      <w:rFonts w:hint="eastAsia" w:ascii="Times New Roman" w:hAnsi="Times New Roman" w:eastAsia="宋体" w:cs="Times New Roman"/>
                      <w:b/>
                      <w:bCs w:val="0"/>
                      <w:color w:val="auto"/>
                      <w:sz w:val="20"/>
                      <w:szCs w:val="20"/>
                      <w:highlight w:val="none"/>
                      <w:lang w:val="en-US" w:eastAsia="zh-CN"/>
                    </w:rPr>
                  </w:pPr>
                  <w:r>
                    <w:rPr>
                      <w:rFonts w:hint="eastAsia" w:ascii="Times New Roman" w:hAnsi="Times New Roman" w:eastAsia="宋体" w:cs="Times New Roman"/>
                      <w:b/>
                      <w:bCs w:val="0"/>
                      <w:color w:val="auto"/>
                      <w:sz w:val="20"/>
                      <w:szCs w:val="20"/>
                      <w:highlight w:val="none"/>
                      <w:lang w:val="en-US" w:eastAsia="zh-CN"/>
                    </w:rPr>
                    <w:t>废物</w:t>
                  </w:r>
                </w:p>
                <w:p>
                  <w:pPr>
                    <w:adjustRightInd w:val="0"/>
                    <w:jc w:val="center"/>
                    <w:textAlignment w:val="baseline"/>
                    <w:rPr>
                      <w:rFonts w:hint="default" w:ascii="Times New Roman" w:hAnsi="Times New Roman" w:eastAsia="宋体" w:cs="Times New Roman"/>
                      <w:b/>
                      <w:bCs w:val="0"/>
                      <w:color w:val="auto"/>
                      <w:sz w:val="20"/>
                      <w:szCs w:val="20"/>
                      <w:highlight w:val="none"/>
                      <w:lang w:val="en-US" w:eastAsia="zh-CN"/>
                    </w:rPr>
                  </w:pPr>
                  <w:r>
                    <w:rPr>
                      <w:rFonts w:hint="eastAsia" w:ascii="Times New Roman" w:hAnsi="Times New Roman" w:eastAsia="宋体" w:cs="Times New Roman"/>
                      <w:b/>
                      <w:bCs w:val="0"/>
                      <w:color w:val="auto"/>
                      <w:sz w:val="20"/>
                      <w:szCs w:val="20"/>
                      <w:highlight w:val="none"/>
                      <w:lang w:val="en-US" w:eastAsia="zh-CN"/>
                    </w:rPr>
                    <w:t>代码</w:t>
                  </w:r>
                </w:p>
              </w:tc>
              <w:tc>
                <w:tcPr>
                  <w:tcW w:w="884" w:type="dxa"/>
                  <w:noWrap w:val="0"/>
                  <w:vAlign w:val="center"/>
                </w:tcPr>
                <w:p>
                  <w:pPr>
                    <w:adjustRightInd w:val="0"/>
                    <w:jc w:val="center"/>
                    <w:textAlignment w:val="baseline"/>
                    <w:rPr>
                      <w:rFonts w:hint="eastAsia" w:ascii="Times New Roman" w:hAnsi="Times New Roman" w:eastAsia="宋体" w:cs="Times New Roman"/>
                      <w:b/>
                      <w:bCs w:val="0"/>
                      <w:color w:val="auto"/>
                      <w:sz w:val="20"/>
                      <w:szCs w:val="20"/>
                      <w:highlight w:val="none"/>
                      <w:lang w:val="en-US" w:eastAsia="zh-CN"/>
                    </w:rPr>
                  </w:pPr>
                  <w:r>
                    <w:rPr>
                      <w:rFonts w:hint="eastAsia" w:ascii="Times New Roman" w:hAnsi="Times New Roman" w:eastAsia="宋体" w:cs="Times New Roman"/>
                      <w:b/>
                      <w:bCs w:val="0"/>
                      <w:color w:val="auto"/>
                      <w:sz w:val="20"/>
                      <w:szCs w:val="20"/>
                      <w:highlight w:val="none"/>
                      <w:lang w:val="en-US" w:eastAsia="zh-CN"/>
                    </w:rPr>
                    <w:t>占地</w:t>
                  </w:r>
                </w:p>
                <w:p>
                  <w:pPr>
                    <w:adjustRightInd w:val="0"/>
                    <w:jc w:val="center"/>
                    <w:textAlignment w:val="baseline"/>
                    <w:rPr>
                      <w:rFonts w:hint="default" w:ascii="Times New Roman" w:hAnsi="Times New Roman" w:eastAsia="宋体" w:cs="Times New Roman"/>
                      <w:b/>
                      <w:bCs w:val="0"/>
                      <w:color w:val="auto"/>
                      <w:sz w:val="20"/>
                      <w:szCs w:val="20"/>
                      <w:highlight w:val="none"/>
                      <w:lang w:val="en-US" w:eastAsia="zh-CN"/>
                    </w:rPr>
                  </w:pPr>
                  <w:r>
                    <w:rPr>
                      <w:rFonts w:hint="eastAsia" w:ascii="Times New Roman" w:hAnsi="Times New Roman" w:eastAsia="宋体" w:cs="Times New Roman"/>
                      <w:b/>
                      <w:bCs w:val="0"/>
                      <w:color w:val="auto"/>
                      <w:sz w:val="20"/>
                      <w:szCs w:val="20"/>
                      <w:highlight w:val="none"/>
                      <w:lang w:val="en-US" w:eastAsia="zh-CN"/>
                    </w:rPr>
                    <w:t>面积</w:t>
                  </w:r>
                </w:p>
              </w:tc>
              <w:tc>
                <w:tcPr>
                  <w:tcW w:w="884" w:type="dxa"/>
                  <w:noWrap w:val="0"/>
                  <w:vAlign w:val="center"/>
                </w:tcPr>
                <w:p>
                  <w:pPr>
                    <w:adjustRightInd w:val="0"/>
                    <w:jc w:val="center"/>
                    <w:textAlignment w:val="baseline"/>
                    <w:rPr>
                      <w:rFonts w:hint="eastAsia" w:ascii="Times New Roman" w:hAnsi="Times New Roman" w:eastAsia="宋体" w:cs="Times New Roman"/>
                      <w:b/>
                      <w:bCs w:val="0"/>
                      <w:color w:val="auto"/>
                      <w:sz w:val="20"/>
                      <w:szCs w:val="20"/>
                      <w:highlight w:val="none"/>
                      <w:lang w:val="en-US" w:eastAsia="zh-CN"/>
                    </w:rPr>
                  </w:pPr>
                  <w:r>
                    <w:rPr>
                      <w:rFonts w:hint="eastAsia" w:ascii="Times New Roman" w:hAnsi="Times New Roman" w:eastAsia="宋体" w:cs="Times New Roman"/>
                      <w:b/>
                      <w:bCs w:val="0"/>
                      <w:color w:val="auto"/>
                      <w:sz w:val="20"/>
                      <w:szCs w:val="20"/>
                      <w:highlight w:val="none"/>
                      <w:lang w:val="en-US" w:eastAsia="zh-CN"/>
                    </w:rPr>
                    <w:t>贮存</w:t>
                  </w:r>
                </w:p>
                <w:p>
                  <w:pPr>
                    <w:adjustRightInd w:val="0"/>
                    <w:jc w:val="center"/>
                    <w:textAlignment w:val="baseline"/>
                    <w:rPr>
                      <w:rFonts w:hint="default" w:ascii="Times New Roman" w:hAnsi="Times New Roman" w:eastAsia="宋体" w:cs="Times New Roman"/>
                      <w:b/>
                      <w:bCs w:val="0"/>
                      <w:color w:val="auto"/>
                      <w:sz w:val="20"/>
                      <w:szCs w:val="20"/>
                      <w:highlight w:val="none"/>
                      <w:lang w:val="en-US" w:eastAsia="zh-CN"/>
                    </w:rPr>
                  </w:pPr>
                  <w:r>
                    <w:rPr>
                      <w:rFonts w:hint="eastAsia" w:ascii="Times New Roman" w:hAnsi="Times New Roman" w:eastAsia="宋体" w:cs="Times New Roman"/>
                      <w:b/>
                      <w:bCs w:val="0"/>
                      <w:color w:val="auto"/>
                      <w:sz w:val="20"/>
                      <w:szCs w:val="20"/>
                      <w:highlight w:val="none"/>
                      <w:lang w:val="en-US" w:eastAsia="zh-CN"/>
                    </w:rPr>
                    <w:t>方式</w:t>
                  </w:r>
                </w:p>
              </w:tc>
              <w:tc>
                <w:tcPr>
                  <w:tcW w:w="884" w:type="dxa"/>
                  <w:noWrap w:val="0"/>
                  <w:vAlign w:val="center"/>
                </w:tcPr>
                <w:p>
                  <w:pPr>
                    <w:adjustRightInd w:val="0"/>
                    <w:jc w:val="center"/>
                    <w:textAlignment w:val="baseline"/>
                    <w:rPr>
                      <w:rFonts w:hint="eastAsia" w:ascii="Times New Roman" w:hAnsi="Times New Roman" w:eastAsia="宋体" w:cs="Times New Roman"/>
                      <w:b/>
                      <w:bCs w:val="0"/>
                      <w:color w:val="auto"/>
                      <w:sz w:val="20"/>
                      <w:szCs w:val="20"/>
                      <w:highlight w:val="none"/>
                      <w:lang w:val="en-US" w:eastAsia="zh-CN"/>
                    </w:rPr>
                  </w:pPr>
                  <w:r>
                    <w:rPr>
                      <w:rFonts w:hint="eastAsia" w:ascii="Times New Roman" w:hAnsi="Times New Roman" w:eastAsia="宋体" w:cs="Times New Roman"/>
                      <w:b/>
                      <w:bCs w:val="0"/>
                      <w:color w:val="auto"/>
                      <w:sz w:val="20"/>
                      <w:szCs w:val="20"/>
                      <w:highlight w:val="none"/>
                      <w:lang w:val="en-US" w:eastAsia="zh-CN"/>
                    </w:rPr>
                    <w:t>贮存</w:t>
                  </w:r>
                </w:p>
                <w:p>
                  <w:pPr>
                    <w:adjustRightInd w:val="0"/>
                    <w:jc w:val="center"/>
                    <w:textAlignment w:val="baseline"/>
                    <w:rPr>
                      <w:rFonts w:hint="default" w:ascii="Times New Roman" w:hAnsi="Times New Roman" w:eastAsia="宋体" w:cs="Times New Roman"/>
                      <w:b/>
                      <w:bCs w:val="0"/>
                      <w:color w:val="auto"/>
                      <w:sz w:val="20"/>
                      <w:szCs w:val="20"/>
                      <w:highlight w:val="none"/>
                      <w:lang w:val="en-US" w:eastAsia="zh-CN"/>
                    </w:rPr>
                  </w:pPr>
                  <w:r>
                    <w:rPr>
                      <w:rFonts w:hint="eastAsia" w:ascii="Times New Roman" w:hAnsi="Times New Roman" w:eastAsia="宋体" w:cs="Times New Roman"/>
                      <w:b/>
                      <w:bCs w:val="0"/>
                      <w:color w:val="auto"/>
                      <w:sz w:val="20"/>
                      <w:szCs w:val="20"/>
                      <w:highlight w:val="none"/>
                      <w:lang w:val="en-US" w:eastAsia="zh-CN"/>
                    </w:rPr>
                    <w:t>能力</w:t>
                  </w:r>
                </w:p>
              </w:tc>
              <w:tc>
                <w:tcPr>
                  <w:tcW w:w="884" w:type="dxa"/>
                  <w:noWrap w:val="0"/>
                  <w:vAlign w:val="center"/>
                </w:tcPr>
                <w:p>
                  <w:pPr>
                    <w:adjustRightInd w:val="0"/>
                    <w:jc w:val="center"/>
                    <w:textAlignment w:val="baseline"/>
                    <w:rPr>
                      <w:rFonts w:hint="eastAsia" w:ascii="Times New Roman" w:hAnsi="Times New Roman" w:eastAsia="宋体" w:cs="Times New Roman"/>
                      <w:b/>
                      <w:bCs w:val="0"/>
                      <w:color w:val="auto"/>
                      <w:sz w:val="20"/>
                      <w:szCs w:val="20"/>
                      <w:highlight w:val="none"/>
                      <w:lang w:val="en-US" w:eastAsia="zh-CN"/>
                    </w:rPr>
                  </w:pPr>
                  <w:r>
                    <w:rPr>
                      <w:rFonts w:hint="eastAsia" w:ascii="Times New Roman" w:hAnsi="Times New Roman" w:eastAsia="宋体" w:cs="Times New Roman"/>
                      <w:b/>
                      <w:bCs w:val="0"/>
                      <w:color w:val="auto"/>
                      <w:sz w:val="20"/>
                      <w:szCs w:val="20"/>
                      <w:highlight w:val="none"/>
                      <w:lang w:val="en-US" w:eastAsia="zh-CN"/>
                    </w:rPr>
                    <w:t>贮存</w:t>
                  </w:r>
                </w:p>
                <w:p>
                  <w:pPr>
                    <w:adjustRightInd w:val="0"/>
                    <w:jc w:val="center"/>
                    <w:textAlignment w:val="baseline"/>
                    <w:rPr>
                      <w:rFonts w:hint="default" w:ascii="Times New Roman" w:hAnsi="Times New Roman" w:eastAsia="宋体" w:cs="Times New Roman"/>
                      <w:b/>
                      <w:bCs w:val="0"/>
                      <w:color w:val="auto"/>
                      <w:sz w:val="20"/>
                      <w:szCs w:val="20"/>
                      <w:highlight w:val="none"/>
                      <w:lang w:val="en-US" w:eastAsia="zh-CN"/>
                    </w:rPr>
                  </w:pPr>
                  <w:r>
                    <w:rPr>
                      <w:rFonts w:hint="eastAsia" w:ascii="Times New Roman" w:hAnsi="Times New Roman" w:eastAsia="宋体" w:cs="Times New Roman"/>
                      <w:b/>
                      <w:bCs w:val="0"/>
                      <w:color w:val="auto"/>
                      <w:sz w:val="20"/>
                      <w:szCs w:val="20"/>
                      <w:highlight w:val="none"/>
                      <w:lang w:val="en-US" w:eastAsia="zh-CN"/>
                    </w:rPr>
                    <w:t>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4" w:type="dxa"/>
                  <w:noWrap w:val="0"/>
                  <w:vAlign w:val="center"/>
                </w:tcPr>
                <w:p>
                  <w:pPr>
                    <w:adjustRightInd w:val="0"/>
                    <w:jc w:val="center"/>
                    <w:textAlignment w:val="baseline"/>
                    <w:rPr>
                      <w:rFonts w:hint="default" w:ascii="Times New Roman" w:hAnsi="Times New Roman" w:eastAsia="宋体" w:cs="Times New Roman"/>
                      <w:bCs/>
                      <w:color w:val="auto"/>
                      <w:sz w:val="20"/>
                      <w:szCs w:val="20"/>
                      <w:highlight w:val="none"/>
                      <w:lang w:val="en-US" w:eastAsia="zh-CN"/>
                    </w:rPr>
                  </w:pPr>
                  <w:r>
                    <w:rPr>
                      <w:rFonts w:hint="eastAsia" w:ascii="Times New Roman" w:hAnsi="Times New Roman" w:eastAsia="宋体" w:cs="Times New Roman"/>
                      <w:bCs/>
                      <w:color w:val="auto"/>
                      <w:sz w:val="20"/>
                      <w:szCs w:val="20"/>
                      <w:highlight w:val="none"/>
                      <w:lang w:val="en-US" w:eastAsia="zh-CN"/>
                    </w:rPr>
                    <w:t>1</w:t>
                  </w:r>
                </w:p>
              </w:tc>
              <w:tc>
                <w:tcPr>
                  <w:tcW w:w="870" w:type="dxa"/>
                  <w:vMerge w:val="restart"/>
                  <w:noWrap w:val="0"/>
                  <w:vAlign w:val="center"/>
                </w:tcPr>
                <w:p>
                  <w:pPr>
                    <w:jc w:val="center"/>
                    <w:rPr>
                      <w:rFonts w:hint="eastAsia" w:ascii="Times New Roman" w:hAnsi="Times New Roman" w:eastAsia="宋体" w:cs="Times New Roman"/>
                      <w:bCs/>
                      <w:color w:val="auto"/>
                      <w:sz w:val="20"/>
                      <w:szCs w:val="20"/>
                      <w:highlight w:val="none"/>
                      <w:lang w:val="en-US" w:eastAsia="zh-CN"/>
                    </w:rPr>
                  </w:pPr>
                  <w:r>
                    <w:rPr>
                      <w:rFonts w:hint="eastAsia" w:ascii="Times New Roman" w:hAnsi="Times New Roman" w:eastAsia="宋体" w:cs="Times New Roman"/>
                      <w:bCs/>
                      <w:color w:val="auto"/>
                      <w:sz w:val="20"/>
                      <w:szCs w:val="20"/>
                      <w:highlight w:val="none"/>
                      <w:lang w:val="en-US" w:eastAsia="zh-CN"/>
                    </w:rPr>
                    <w:t>危废暂存间</w:t>
                  </w:r>
                </w:p>
              </w:tc>
              <w:tc>
                <w:tcPr>
                  <w:tcW w:w="1359" w:type="dxa"/>
                  <w:noWrap w:val="0"/>
                  <w:vAlign w:val="center"/>
                </w:tcPr>
                <w:p>
                  <w:pPr>
                    <w:jc w:val="center"/>
                    <w:rPr>
                      <w:rFonts w:hint="eastAsia" w:ascii="Times New Roman" w:hAnsi="Times New Roman" w:eastAsia="宋体" w:cs="Times New Roman"/>
                      <w:bCs/>
                      <w:color w:val="auto"/>
                      <w:kern w:val="2"/>
                      <w:sz w:val="20"/>
                      <w:szCs w:val="20"/>
                      <w:highlight w:val="none"/>
                      <w:lang w:val="en-US" w:eastAsia="zh-CN" w:bidi="ar-SA"/>
                    </w:rPr>
                  </w:pPr>
                  <w:r>
                    <w:rPr>
                      <w:rFonts w:hint="eastAsia" w:ascii="Times New Roman" w:hAnsi="Times New Roman" w:cs="Times New Roman"/>
                      <w:color w:val="auto"/>
                      <w:sz w:val="20"/>
                      <w:szCs w:val="20"/>
                      <w:highlight w:val="none"/>
                      <w:lang w:eastAsia="zh-CN"/>
                    </w:rPr>
                    <w:t>废漆料桶（油漆、稀释剂、固化剂）</w:t>
                  </w:r>
                </w:p>
              </w:tc>
              <w:tc>
                <w:tcPr>
                  <w:tcW w:w="800" w:type="dxa"/>
                  <w:noWrap w:val="0"/>
                  <w:vAlign w:val="center"/>
                </w:tcPr>
                <w:p>
                  <w:pPr>
                    <w:adjustRightInd w:val="0"/>
                    <w:jc w:val="center"/>
                    <w:textAlignment w:val="baseline"/>
                    <w:rPr>
                      <w:rFonts w:hint="default" w:ascii="Times New Roman" w:hAnsi="Times New Roman" w:eastAsia="宋体" w:cs="Times New Roman"/>
                      <w:color w:val="auto"/>
                      <w:sz w:val="20"/>
                      <w:szCs w:val="20"/>
                      <w:highlight w:val="none"/>
                      <w:lang w:val="en-US" w:eastAsia="zh-CN"/>
                    </w:rPr>
                  </w:pPr>
                  <w:r>
                    <w:rPr>
                      <w:rFonts w:hint="eastAsia" w:ascii="Times New Roman" w:hAnsi="Times New Roman" w:eastAsia="宋体" w:cs="Times New Roman"/>
                      <w:color w:val="auto"/>
                      <w:sz w:val="20"/>
                      <w:szCs w:val="20"/>
                      <w:highlight w:val="none"/>
                      <w:lang w:val="en-US" w:eastAsia="zh-CN"/>
                    </w:rPr>
                    <w:t>HW49</w:t>
                  </w:r>
                </w:p>
              </w:tc>
              <w:tc>
                <w:tcPr>
                  <w:tcW w:w="884" w:type="dxa"/>
                  <w:noWrap w:val="0"/>
                  <w:vAlign w:val="center"/>
                </w:tcPr>
                <w:p>
                  <w:pPr>
                    <w:adjustRightInd w:val="0"/>
                    <w:jc w:val="center"/>
                    <w:textAlignment w:val="baseline"/>
                    <w:rPr>
                      <w:rFonts w:hint="eastAsia" w:ascii="Times New Roman" w:hAnsi="Times New Roman" w:eastAsia="宋体" w:cs="Times New Roman"/>
                      <w:color w:val="auto"/>
                      <w:sz w:val="20"/>
                      <w:szCs w:val="20"/>
                      <w:highlight w:val="none"/>
                      <w:lang w:val="en-US" w:eastAsia="zh-CN"/>
                    </w:rPr>
                  </w:pPr>
                  <w:r>
                    <w:rPr>
                      <w:rFonts w:hint="eastAsia" w:ascii="Times New Roman" w:hAnsi="Times New Roman" w:eastAsia="宋体" w:cs="Times New Roman"/>
                      <w:color w:val="auto"/>
                      <w:sz w:val="20"/>
                      <w:szCs w:val="20"/>
                      <w:highlight w:val="none"/>
                      <w:lang w:val="en-US" w:eastAsia="zh-CN"/>
                    </w:rPr>
                    <w:t>900-041-49</w:t>
                  </w:r>
                </w:p>
              </w:tc>
              <w:tc>
                <w:tcPr>
                  <w:tcW w:w="884" w:type="dxa"/>
                  <w:vMerge w:val="restart"/>
                  <w:noWrap w:val="0"/>
                  <w:vAlign w:val="center"/>
                </w:tcPr>
                <w:p>
                  <w:pPr>
                    <w:adjustRightInd w:val="0"/>
                    <w:jc w:val="center"/>
                    <w:textAlignment w:val="baseline"/>
                    <w:rPr>
                      <w:rFonts w:hint="default" w:ascii="Times New Roman" w:hAnsi="Times New Roman" w:eastAsia="宋体" w:cs="Times New Roman"/>
                      <w:bCs/>
                      <w:color w:val="auto"/>
                      <w:kern w:val="2"/>
                      <w:sz w:val="20"/>
                      <w:szCs w:val="20"/>
                      <w:highlight w:val="none"/>
                      <w:lang w:val="en-US" w:eastAsia="zh-CN" w:bidi="ar-SA"/>
                    </w:rPr>
                  </w:pPr>
                  <w:r>
                    <w:rPr>
                      <w:rFonts w:hint="eastAsia" w:ascii="Times New Roman" w:hAnsi="Times New Roman" w:eastAsia="宋体" w:cs="Times New Roman"/>
                      <w:bCs/>
                      <w:color w:val="auto"/>
                      <w:kern w:val="2"/>
                      <w:sz w:val="20"/>
                      <w:szCs w:val="20"/>
                      <w:highlight w:val="none"/>
                      <w:lang w:val="en-US" w:eastAsia="zh-CN" w:bidi="ar-SA"/>
                    </w:rPr>
                    <w:t>5</w:t>
                  </w:r>
                  <w:r>
                    <w:rPr>
                      <w:rFonts w:hint="eastAsia" w:ascii="Times New Roman" w:hAnsi="Times New Roman" w:eastAsia="宋体" w:cs="Times New Roman"/>
                      <w:bCs/>
                      <w:color w:val="auto"/>
                      <w:sz w:val="20"/>
                      <w:szCs w:val="20"/>
                      <w:highlight w:val="none"/>
                      <w:lang w:val="en-US" w:eastAsia="zh-CN"/>
                    </w:rPr>
                    <w:t>m</w:t>
                  </w:r>
                  <w:r>
                    <w:rPr>
                      <w:rFonts w:hint="eastAsia" w:ascii="Times New Roman" w:hAnsi="Times New Roman" w:eastAsia="宋体" w:cs="Times New Roman"/>
                      <w:bCs/>
                      <w:color w:val="auto"/>
                      <w:sz w:val="20"/>
                      <w:szCs w:val="20"/>
                      <w:highlight w:val="none"/>
                      <w:vertAlign w:val="superscript"/>
                      <w:lang w:val="en-US" w:eastAsia="zh-CN"/>
                    </w:rPr>
                    <w:t>2</w:t>
                  </w:r>
                </w:p>
              </w:tc>
              <w:tc>
                <w:tcPr>
                  <w:tcW w:w="884" w:type="dxa"/>
                  <w:noWrap w:val="0"/>
                  <w:vAlign w:val="center"/>
                </w:tcPr>
                <w:p>
                  <w:pPr>
                    <w:adjustRightInd w:val="0"/>
                    <w:jc w:val="center"/>
                    <w:textAlignment w:val="baseline"/>
                    <w:rPr>
                      <w:rFonts w:hint="eastAsia" w:ascii="Times New Roman" w:hAnsi="Times New Roman" w:eastAsia="宋体" w:cs="Times New Roman"/>
                      <w:bCs/>
                      <w:color w:val="auto"/>
                      <w:kern w:val="2"/>
                      <w:sz w:val="20"/>
                      <w:szCs w:val="20"/>
                      <w:highlight w:val="none"/>
                      <w:lang w:val="en-US" w:eastAsia="zh-CN" w:bidi="ar-SA"/>
                    </w:rPr>
                  </w:pPr>
                  <w:r>
                    <w:rPr>
                      <w:rFonts w:hint="eastAsia"/>
                      <w:bCs/>
                      <w:color w:val="auto"/>
                      <w:sz w:val="20"/>
                      <w:szCs w:val="20"/>
                      <w:highlight w:val="none"/>
                      <w:lang w:val="en-US" w:eastAsia="zh-CN"/>
                    </w:rPr>
                    <w:t>/</w:t>
                  </w:r>
                </w:p>
              </w:tc>
              <w:tc>
                <w:tcPr>
                  <w:tcW w:w="884" w:type="dxa"/>
                  <w:noWrap w:val="0"/>
                  <w:vAlign w:val="center"/>
                </w:tcPr>
                <w:p>
                  <w:pPr>
                    <w:adjustRightInd w:val="0"/>
                    <w:jc w:val="center"/>
                    <w:textAlignment w:val="baseline"/>
                    <w:rPr>
                      <w:rFonts w:hint="default" w:ascii="Times New Roman" w:hAnsi="Times New Roman" w:eastAsia="宋体" w:cs="Times New Roman"/>
                      <w:bCs/>
                      <w:color w:val="auto"/>
                      <w:sz w:val="20"/>
                      <w:szCs w:val="20"/>
                      <w:highlight w:val="none"/>
                      <w:lang w:val="en-US" w:eastAsia="zh-CN"/>
                    </w:rPr>
                  </w:pPr>
                  <w:r>
                    <w:rPr>
                      <w:rFonts w:hint="eastAsia" w:ascii="Times New Roman" w:hAnsi="Times New Roman" w:eastAsia="宋体" w:cs="Times New Roman"/>
                      <w:bCs/>
                      <w:color w:val="auto"/>
                      <w:sz w:val="20"/>
                      <w:szCs w:val="20"/>
                      <w:highlight w:val="none"/>
                      <w:lang w:val="en-US" w:eastAsia="zh-CN"/>
                    </w:rPr>
                    <w:t>0.1t</w:t>
                  </w:r>
                </w:p>
              </w:tc>
              <w:tc>
                <w:tcPr>
                  <w:tcW w:w="884" w:type="dxa"/>
                  <w:noWrap w:val="0"/>
                  <w:vAlign w:val="center"/>
                </w:tcPr>
                <w:p>
                  <w:pPr>
                    <w:adjustRightInd w:val="0"/>
                    <w:jc w:val="center"/>
                    <w:textAlignment w:val="baseline"/>
                    <w:rPr>
                      <w:rFonts w:hint="default" w:ascii="Times New Roman" w:hAnsi="Times New Roman" w:eastAsia="宋体" w:cs="Times New Roman"/>
                      <w:bCs/>
                      <w:color w:val="auto"/>
                      <w:sz w:val="20"/>
                      <w:szCs w:val="20"/>
                      <w:highlight w:val="none"/>
                      <w:lang w:val="en-US" w:eastAsia="zh-CN"/>
                    </w:rPr>
                  </w:pPr>
                  <w:r>
                    <w:rPr>
                      <w:rFonts w:hint="eastAsia" w:ascii="Times New Roman" w:hAnsi="Times New Roman" w:eastAsia="宋体" w:cs="Times New Roman"/>
                      <w:bCs/>
                      <w:color w:val="auto"/>
                      <w:sz w:val="20"/>
                      <w:szCs w:val="20"/>
                      <w:highlight w:val="none"/>
                      <w:lang w:val="en-US" w:eastAsia="zh-CN"/>
                    </w:rPr>
                    <w:t>3个月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4" w:type="dxa"/>
                  <w:noWrap w:val="0"/>
                  <w:vAlign w:val="center"/>
                </w:tcPr>
                <w:p>
                  <w:pPr>
                    <w:adjustRightInd w:val="0"/>
                    <w:jc w:val="center"/>
                    <w:textAlignment w:val="baseline"/>
                    <w:rPr>
                      <w:rFonts w:hint="default" w:ascii="Times New Roman" w:hAnsi="Times New Roman" w:eastAsia="宋体" w:cs="Times New Roman"/>
                      <w:bCs/>
                      <w:color w:val="auto"/>
                      <w:sz w:val="20"/>
                      <w:szCs w:val="20"/>
                      <w:highlight w:val="none"/>
                      <w:lang w:val="en-US" w:eastAsia="zh-CN"/>
                    </w:rPr>
                  </w:pPr>
                  <w:r>
                    <w:rPr>
                      <w:rFonts w:hint="eastAsia" w:ascii="Times New Roman" w:hAnsi="Times New Roman" w:eastAsia="宋体" w:cs="Times New Roman"/>
                      <w:bCs/>
                      <w:color w:val="auto"/>
                      <w:sz w:val="20"/>
                      <w:szCs w:val="20"/>
                      <w:highlight w:val="none"/>
                      <w:lang w:val="en-US" w:eastAsia="zh-CN"/>
                    </w:rPr>
                    <w:t>2</w:t>
                  </w:r>
                </w:p>
              </w:tc>
              <w:tc>
                <w:tcPr>
                  <w:tcW w:w="870" w:type="dxa"/>
                  <w:vMerge w:val="continue"/>
                  <w:noWrap w:val="0"/>
                  <w:vAlign w:val="center"/>
                </w:tcPr>
                <w:p>
                  <w:pPr>
                    <w:jc w:val="center"/>
                    <w:rPr>
                      <w:rFonts w:hint="eastAsia" w:ascii="Times New Roman" w:hAnsi="Times New Roman" w:eastAsia="宋体" w:cs="Times New Roman"/>
                      <w:bCs/>
                      <w:color w:val="auto"/>
                      <w:sz w:val="20"/>
                      <w:szCs w:val="20"/>
                      <w:highlight w:val="none"/>
                      <w:lang w:val="en-US" w:eastAsia="zh-CN"/>
                    </w:rPr>
                  </w:pPr>
                </w:p>
              </w:tc>
              <w:tc>
                <w:tcPr>
                  <w:tcW w:w="1359" w:type="dxa"/>
                  <w:noWrap w:val="0"/>
                  <w:vAlign w:val="center"/>
                </w:tcPr>
                <w:p>
                  <w:pPr>
                    <w:adjustRightInd w:val="0"/>
                    <w:jc w:val="center"/>
                    <w:textAlignment w:val="baseline"/>
                    <w:rPr>
                      <w:rFonts w:hint="default" w:ascii="Times New Roman" w:hAnsi="Times New Roman" w:eastAsia="宋体" w:cs="Times New Roman"/>
                      <w:bCs/>
                      <w:color w:val="auto"/>
                      <w:kern w:val="2"/>
                      <w:sz w:val="20"/>
                      <w:szCs w:val="20"/>
                      <w:highlight w:val="none"/>
                      <w:lang w:val="en-US" w:eastAsia="zh-CN" w:bidi="ar-SA"/>
                    </w:rPr>
                  </w:pPr>
                  <w:r>
                    <w:rPr>
                      <w:rFonts w:hint="eastAsia" w:ascii="Times New Roman" w:hAnsi="Times New Roman" w:cs="Times New Roman"/>
                      <w:color w:val="auto"/>
                      <w:sz w:val="20"/>
                      <w:szCs w:val="20"/>
                      <w:highlight w:val="none"/>
                      <w:lang w:eastAsia="zh-CN"/>
                    </w:rPr>
                    <w:t>废滤料</w:t>
                  </w:r>
                </w:p>
              </w:tc>
              <w:tc>
                <w:tcPr>
                  <w:tcW w:w="800" w:type="dxa"/>
                  <w:noWrap w:val="0"/>
                  <w:vAlign w:val="center"/>
                </w:tcPr>
                <w:p>
                  <w:pPr>
                    <w:adjustRightInd w:val="0"/>
                    <w:jc w:val="center"/>
                    <w:textAlignment w:val="baseline"/>
                    <w:rPr>
                      <w:rFonts w:hint="eastAsia" w:ascii="Times New Roman" w:hAnsi="Times New Roman" w:eastAsia="宋体" w:cs="Times New Roman"/>
                      <w:color w:val="auto"/>
                      <w:sz w:val="20"/>
                      <w:szCs w:val="20"/>
                      <w:highlight w:val="none"/>
                      <w:lang w:val="en-US" w:eastAsia="zh-CN"/>
                    </w:rPr>
                  </w:pPr>
                  <w:r>
                    <w:rPr>
                      <w:rFonts w:hint="eastAsia" w:ascii="Times New Roman" w:hAnsi="Times New Roman" w:eastAsia="宋体" w:cs="Times New Roman"/>
                      <w:color w:val="auto"/>
                      <w:sz w:val="20"/>
                      <w:szCs w:val="20"/>
                      <w:highlight w:val="none"/>
                      <w:lang w:val="en-US" w:eastAsia="zh-CN"/>
                    </w:rPr>
                    <w:t>HW49</w:t>
                  </w:r>
                </w:p>
              </w:tc>
              <w:tc>
                <w:tcPr>
                  <w:tcW w:w="884" w:type="dxa"/>
                  <w:noWrap w:val="0"/>
                  <w:vAlign w:val="center"/>
                </w:tcPr>
                <w:p>
                  <w:pPr>
                    <w:adjustRightInd w:val="0"/>
                    <w:jc w:val="center"/>
                    <w:textAlignment w:val="baseline"/>
                    <w:rPr>
                      <w:rFonts w:hint="eastAsia" w:ascii="Times New Roman" w:hAnsi="Times New Roman" w:eastAsia="宋体" w:cs="Times New Roman"/>
                      <w:color w:val="auto"/>
                      <w:sz w:val="20"/>
                      <w:szCs w:val="20"/>
                      <w:highlight w:val="none"/>
                      <w:lang w:val="en-US" w:eastAsia="zh-CN"/>
                    </w:rPr>
                  </w:pPr>
                  <w:r>
                    <w:rPr>
                      <w:rFonts w:hint="eastAsia" w:ascii="Times New Roman" w:hAnsi="Times New Roman" w:eastAsia="宋体" w:cs="Times New Roman"/>
                      <w:color w:val="auto"/>
                      <w:sz w:val="20"/>
                      <w:szCs w:val="20"/>
                      <w:highlight w:val="none"/>
                      <w:lang w:val="en-US" w:eastAsia="zh-CN"/>
                    </w:rPr>
                    <w:t>900-041-49</w:t>
                  </w:r>
                </w:p>
              </w:tc>
              <w:tc>
                <w:tcPr>
                  <w:tcW w:w="884" w:type="dxa"/>
                  <w:vMerge w:val="continue"/>
                  <w:noWrap w:val="0"/>
                  <w:vAlign w:val="center"/>
                </w:tcPr>
                <w:p>
                  <w:pPr>
                    <w:adjustRightInd w:val="0"/>
                    <w:jc w:val="center"/>
                    <w:textAlignment w:val="baseline"/>
                    <w:rPr>
                      <w:rFonts w:hint="eastAsia" w:ascii="Times New Roman" w:hAnsi="Times New Roman" w:eastAsia="宋体" w:cs="Times New Roman"/>
                      <w:bCs/>
                      <w:color w:val="auto"/>
                      <w:kern w:val="2"/>
                      <w:sz w:val="20"/>
                      <w:szCs w:val="20"/>
                      <w:highlight w:val="none"/>
                      <w:lang w:val="en-US" w:eastAsia="zh-CN" w:bidi="ar-SA"/>
                    </w:rPr>
                  </w:pPr>
                </w:p>
              </w:tc>
              <w:tc>
                <w:tcPr>
                  <w:tcW w:w="884" w:type="dxa"/>
                  <w:noWrap w:val="0"/>
                  <w:vAlign w:val="center"/>
                </w:tcPr>
                <w:p>
                  <w:pPr>
                    <w:adjustRightInd w:val="0"/>
                    <w:jc w:val="center"/>
                    <w:textAlignment w:val="baseline"/>
                    <w:rPr>
                      <w:rFonts w:hint="eastAsia" w:ascii="Times New Roman" w:hAnsi="Times New Roman" w:eastAsia="宋体" w:cs="Times New Roman"/>
                      <w:bCs/>
                      <w:color w:val="auto"/>
                      <w:kern w:val="2"/>
                      <w:sz w:val="20"/>
                      <w:szCs w:val="20"/>
                      <w:highlight w:val="none"/>
                      <w:lang w:val="en-US" w:eastAsia="zh-CN" w:bidi="ar-SA"/>
                    </w:rPr>
                  </w:pPr>
                  <w:r>
                    <w:rPr>
                      <w:rFonts w:hint="eastAsia"/>
                      <w:bCs/>
                      <w:color w:val="auto"/>
                      <w:sz w:val="20"/>
                      <w:szCs w:val="20"/>
                      <w:highlight w:val="none"/>
                      <w:lang w:val="en-US" w:eastAsia="zh-CN"/>
                    </w:rPr>
                    <w:t>桶装</w:t>
                  </w:r>
                </w:p>
              </w:tc>
              <w:tc>
                <w:tcPr>
                  <w:tcW w:w="884" w:type="dxa"/>
                  <w:noWrap w:val="0"/>
                  <w:vAlign w:val="center"/>
                </w:tcPr>
                <w:p>
                  <w:pPr>
                    <w:adjustRightInd w:val="0"/>
                    <w:jc w:val="center"/>
                    <w:textAlignment w:val="baseline"/>
                    <w:rPr>
                      <w:rFonts w:hint="default" w:ascii="Times New Roman" w:hAnsi="Times New Roman" w:eastAsia="宋体" w:cs="Times New Roman"/>
                      <w:bCs/>
                      <w:color w:val="auto"/>
                      <w:sz w:val="20"/>
                      <w:szCs w:val="20"/>
                      <w:highlight w:val="none"/>
                      <w:lang w:val="en-US" w:eastAsia="zh-CN"/>
                    </w:rPr>
                  </w:pPr>
                  <w:r>
                    <w:rPr>
                      <w:rFonts w:hint="eastAsia" w:ascii="Times New Roman" w:hAnsi="Times New Roman" w:eastAsia="宋体" w:cs="Times New Roman"/>
                      <w:bCs/>
                      <w:color w:val="auto"/>
                      <w:sz w:val="20"/>
                      <w:szCs w:val="20"/>
                      <w:highlight w:val="none"/>
                      <w:lang w:val="en-US" w:eastAsia="zh-CN"/>
                    </w:rPr>
                    <w:t>0.1t</w:t>
                  </w:r>
                </w:p>
              </w:tc>
              <w:tc>
                <w:tcPr>
                  <w:tcW w:w="884" w:type="dxa"/>
                  <w:noWrap w:val="0"/>
                  <w:vAlign w:val="center"/>
                </w:tcPr>
                <w:p>
                  <w:pPr>
                    <w:adjustRightInd w:val="0"/>
                    <w:jc w:val="center"/>
                    <w:textAlignment w:val="baseline"/>
                    <w:rPr>
                      <w:rFonts w:hint="eastAsia" w:ascii="Times New Roman" w:hAnsi="Times New Roman" w:eastAsia="宋体" w:cs="Times New Roman"/>
                      <w:bCs/>
                      <w:color w:val="auto"/>
                      <w:sz w:val="20"/>
                      <w:szCs w:val="20"/>
                      <w:highlight w:val="none"/>
                      <w:lang w:val="en-US" w:eastAsia="zh-CN"/>
                    </w:rPr>
                  </w:pPr>
                  <w:r>
                    <w:rPr>
                      <w:rFonts w:hint="eastAsia" w:ascii="Times New Roman" w:hAnsi="Times New Roman" w:eastAsia="宋体" w:cs="Times New Roman"/>
                      <w:bCs/>
                      <w:color w:val="auto"/>
                      <w:sz w:val="20"/>
                      <w:szCs w:val="20"/>
                      <w:highlight w:val="none"/>
                      <w:lang w:val="en-US" w:eastAsia="zh-CN"/>
                    </w:rPr>
                    <w:t>3个月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4" w:type="dxa"/>
                  <w:noWrap w:val="0"/>
                  <w:vAlign w:val="center"/>
                </w:tcPr>
                <w:p>
                  <w:pPr>
                    <w:adjustRightInd w:val="0"/>
                    <w:jc w:val="center"/>
                    <w:textAlignment w:val="baseline"/>
                    <w:rPr>
                      <w:rFonts w:hint="eastAsia" w:ascii="Times New Roman" w:hAnsi="Times New Roman" w:eastAsia="宋体" w:cs="Times New Roman"/>
                      <w:bCs/>
                      <w:color w:val="auto"/>
                      <w:sz w:val="20"/>
                      <w:szCs w:val="20"/>
                      <w:highlight w:val="none"/>
                      <w:lang w:val="en-US" w:eastAsia="zh-CN"/>
                    </w:rPr>
                  </w:pPr>
                  <w:r>
                    <w:rPr>
                      <w:rFonts w:hint="eastAsia" w:ascii="Times New Roman" w:hAnsi="Times New Roman" w:eastAsia="宋体" w:cs="Times New Roman"/>
                      <w:bCs/>
                      <w:color w:val="auto"/>
                      <w:sz w:val="20"/>
                      <w:szCs w:val="20"/>
                      <w:highlight w:val="none"/>
                      <w:lang w:val="en-US" w:eastAsia="zh-CN"/>
                    </w:rPr>
                    <w:t>3</w:t>
                  </w:r>
                </w:p>
              </w:tc>
              <w:tc>
                <w:tcPr>
                  <w:tcW w:w="870" w:type="dxa"/>
                  <w:vMerge w:val="continue"/>
                  <w:noWrap w:val="0"/>
                  <w:vAlign w:val="center"/>
                </w:tcPr>
                <w:p>
                  <w:pPr>
                    <w:jc w:val="center"/>
                    <w:rPr>
                      <w:rFonts w:hint="eastAsia" w:ascii="Times New Roman" w:hAnsi="Times New Roman" w:eastAsia="宋体" w:cs="Times New Roman"/>
                      <w:bCs/>
                      <w:color w:val="auto"/>
                      <w:sz w:val="20"/>
                      <w:szCs w:val="20"/>
                      <w:highlight w:val="none"/>
                      <w:lang w:val="en-US" w:eastAsia="zh-CN"/>
                    </w:rPr>
                  </w:pPr>
                </w:p>
              </w:tc>
              <w:tc>
                <w:tcPr>
                  <w:tcW w:w="1359" w:type="dxa"/>
                  <w:noWrap w:val="0"/>
                  <w:vAlign w:val="center"/>
                </w:tcPr>
                <w:p>
                  <w:pPr>
                    <w:adjustRightInd w:val="0"/>
                    <w:jc w:val="center"/>
                    <w:textAlignment w:val="baseline"/>
                    <w:rPr>
                      <w:rFonts w:hint="eastAsia" w:ascii="Times New Roman" w:hAnsi="Times New Roman" w:cs="Times New Roman"/>
                      <w:color w:val="auto"/>
                      <w:sz w:val="20"/>
                      <w:szCs w:val="20"/>
                      <w:highlight w:val="none"/>
                      <w:lang w:eastAsia="zh-CN"/>
                    </w:rPr>
                  </w:pPr>
                  <w:r>
                    <w:rPr>
                      <w:rFonts w:hint="eastAsia" w:ascii="Times New Roman" w:hAnsi="Times New Roman" w:cs="Times New Roman"/>
                      <w:color w:val="auto"/>
                      <w:sz w:val="20"/>
                      <w:szCs w:val="20"/>
                      <w:highlight w:val="none"/>
                      <w:lang w:eastAsia="zh-CN"/>
                    </w:rPr>
                    <w:t>漆渣</w:t>
                  </w:r>
                </w:p>
              </w:tc>
              <w:tc>
                <w:tcPr>
                  <w:tcW w:w="800" w:type="dxa"/>
                  <w:noWrap w:val="0"/>
                  <w:vAlign w:val="center"/>
                </w:tcPr>
                <w:p>
                  <w:pPr>
                    <w:adjustRightInd w:val="0"/>
                    <w:jc w:val="center"/>
                    <w:textAlignment w:val="baseline"/>
                    <w:rPr>
                      <w:rFonts w:hint="default" w:ascii="Times New Roman" w:hAnsi="Times New Roman" w:eastAsia="宋体" w:cs="Times New Roman"/>
                      <w:color w:val="auto"/>
                      <w:sz w:val="20"/>
                      <w:szCs w:val="20"/>
                      <w:highlight w:val="none"/>
                      <w:lang w:val="en-US" w:eastAsia="zh-CN"/>
                    </w:rPr>
                  </w:pPr>
                  <w:r>
                    <w:rPr>
                      <w:rFonts w:hint="eastAsia" w:ascii="Times New Roman" w:hAnsi="Times New Roman" w:eastAsia="宋体" w:cs="Times New Roman"/>
                      <w:color w:val="auto"/>
                      <w:sz w:val="20"/>
                      <w:szCs w:val="20"/>
                      <w:highlight w:val="none"/>
                      <w:lang w:val="en-US" w:eastAsia="zh-CN"/>
                    </w:rPr>
                    <w:t>HW12</w:t>
                  </w:r>
                </w:p>
              </w:tc>
              <w:tc>
                <w:tcPr>
                  <w:tcW w:w="884" w:type="dxa"/>
                  <w:noWrap w:val="0"/>
                  <w:vAlign w:val="center"/>
                </w:tcPr>
                <w:p>
                  <w:pPr>
                    <w:adjustRightInd w:val="0"/>
                    <w:jc w:val="center"/>
                    <w:textAlignment w:val="baseline"/>
                    <w:rPr>
                      <w:rFonts w:hint="eastAsia" w:ascii="Times New Roman" w:hAnsi="Times New Roman" w:eastAsia="宋体" w:cs="Times New Roman"/>
                      <w:color w:val="auto"/>
                      <w:sz w:val="20"/>
                      <w:szCs w:val="20"/>
                      <w:highlight w:val="none"/>
                      <w:lang w:val="en-US" w:eastAsia="zh-CN"/>
                    </w:rPr>
                  </w:pPr>
                  <w:r>
                    <w:rPr>
                      <w:rFonts w:hint="eastAsia"/>
                      <w:color w:val="auto"/>
                      <w:szCs w:val="21"/>
                      <w:highlight w:val="none"/>
                    </w:rPr>
                    <w:t>900-</w:t>
                  </w:r>
                  <w:r>
                    <w:rPr>
                      <w:rFonts w:hint="eastAsia"/>
                      <w:color w:val="auto"/>
                      <w:szCs w:val="21"/>
                      <w:highlight w:val="none"/>
                      <w:lang w:val="en-US" w:eastAsia="zh-CN"/>
                    </w:rPr>
                    <w:t>252-12</w:t>
                  </w:r>
                </w:p>
              </w:tc>
              <w:tc>
                <w:tcPr>
                  <w:tcW w:w="884" w:type="dxa"/>
                  <w:vMerge w:val="continue"/>
                  <w:noWrap w:val="0"/>
                  <w:vAlign w:val="center"/>
                </w:tcPr>
                <w:p>
                  <w:pPr>
                    <w:adjustRightInd w:val="0"/>
                    <w:jc w:val="center"/>
                    <w:textAlignment w:val="baseline"/>
                    <w:rPr>
                      <w:rFonts w:hint="eastAsia" w:ascii="Times New Roman" w:hAnsi="Times New Roman" w:eastAsia="宋体" w:cs="Times New Roman"/>
                      <w:bCs/>
                      <w:color w:val="auto"/>
                      <w:kern w:val="2"/>
                      <w:sz w:val="20"/>
                      <w:szCs w:val="20"/>
                      <w:highlight w:val="none"/>
                      <w:lang w:val="en-US" w:eastAsia="zh-CN" w:bidi="ar-SA"/>
                    </w:rPr>
                  </w:pPr>
                </w:p>
              </w:tc>
              <w:tc>
                <w:tcPr>
                  <w:tcW w:w="884" w:type="dxa"/>
                  <w:noWrap w:val="0"/>
                  <w:vAlign w:val="center"/>
                </w:tcPr>
                <w:p>
                  <w:pPr>
                    <w:adjustRightInd w:val="0"/>
                    <w:jc w:val="center"/>
                    <w:textAlignment w:val="baseline"/>
                    <w:rPr>
                      <w:rFonts w:hint="eastAsia"/>
                      <w:bCs/>
                      <w:color w:val="auto"/>
                      <w:sz w:val="20"/>
                      <w:szCs w:val="20"/>
                      <w:highlight w:val="none"/>
                      <w:lang w:val="en-US" w:eastAsia="zh-CN"/>
                    </w:rPr>
                  </w:pPr>
                  <w:r>
                    <w:rPr>
                      <w:rFonts w:hint="eastAsia"/>
                      <w:bCs/>
                      <w:color w:val="auto"/>
                      <w:sz w:val="20"/>
                      <w:szCs w:val="20"/>
                      <w:highlight w:val="none"/>
                      <w:lang w:val="en-US" w:eastAsia="zh-CN"/>
                    </w:rPr>
                    <w:t>桶装</w:t>
                  </w:r>
                </w:p>
              </w:tc>
              <w:tc>
                <w:tcPr>
                  <w:tcW w:w="884" w:type="dxa"/>
                  <w:noWrap w:val="0"/>
                  <w:vAlign w:val="center"/>
                </w:tcPr>
                <w:p>
                  <w:pPr>
                    <w:adjustRightInd w:val="0"/>
                    <w:jc w:val="center"/>
                    <w:textAlignment w:val="baseline"/>
                    <w:rPr>
                      <w:rFonts w:hint="eastAsia" w:ascii="Times New Roman" w:hAnsi="Times New Roman" w:eastAsia="宋体" w:cs="Times New Roman"/>
                      <w:bCs/>
                      <w:color w:val="auto"/>
                      <w:sz w:val="20"/>
                      <w:szCs w:val="20"/>
                      <w:highlight w:val="none"/>
                      <w:lang w:val="en-US" w:eastAsia="zh-CN"/>
                    </w:rPr>
                  </w:pPr>
                  <w:r>
                    <w:rPr>
                      <w:rFonts w:hint="eastAsia" w:ascii="Times New Roman" w:hAnsi="Times New Roman" w:eastAsia="宋体" w:cs="Times New Roman"/>
                      <w:bCs/>
                      <w:color w:val="auto"/>
                      <w:sz w:val="20"/>
                      <w:szCs w:val="20"/>
                      <w:highlight w:val="none"/>
                      <w:lang w:val="en-US" w:eastAsia="zh-CN"/>
                    </w:rPr>
                    <w:t>0.1t</w:t>
                  </w:r>
                </w:p>
              </w:tc>
              <w:tc>
                <w:tcPr>
                  <w:tcW w:w="884" w:type="dxa"/>
                  <w:noWrap w:val="0"/>
                  <w:vAlign w:val="center"/>
                </w:tcPr>
                <w:p>
                  <w:pPr>
                    <w:adjustRightInd w:val="0"/>
                    <w:jc w:val="center"/>
                    <w:textAlignment w:val="baseline"/>
                    <w:rPr>
                      <w:rFonts w:hint="eastAsia" w:ascii="Times New Roman" w:hAnsi="Times New Roman" w:eastAsia="宋体" w:cs="Times New Roman"/>
                      <w:bCs/>
                      <w:color w:val="auto"/>
                      <w:sz w:val="20"/>
                      <w:szCs w:val="20"/>
                      <w:highlight w:val="none"/>
                      <w:lang w:val="en-US" w:eastAsia="zh-CN"/>
                    </w:rPr>
                  </w:pPr>
                  <w:r>
                    <w:rPr>
                      <w:rFonts w:hint="eastAsia" w:ascii="Times New Roman" w:hAnsi="Times New Roman" w:eastAsia="宋体" w:cs="Times New Roman"/>
                      <w:bCs/>
                      <w:color w:val="auto"/>
                      <w:sz w:val="20"/>
                      <w:szCs w:val="20"/>
                      <w:highlight w:val="none"/>
                      <w:lang w:val="en-US" w:eastAsia="zh-CN"/>
                    </w:rPr>
                    <w:t>3个月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4" w:type="dxa"/>
                  <w:noWrap w:val="0"/>
                  <w:vAlign w:val="center"/>
                </w:tcPr>
                <w:p>
                  <w:pPr>
                    <w:adjustRightInd w:val="0"/>
                    <w:jc w:val="center"/>
                    <w:textAlignment w:val="baseline"/>
                    <w:rPr>
                      <w:rFonts w:hint="default" w:ascii="Times New Roman" w:hAnsi="Times New Roman" w:eastAsia="宋体" w:cs="Times New Roman"/>
                      <w:bCs/>
                      <w:color w:val="auto"/>
                      <w:sz w:val="20"/>
                      <w:szCs w:val="20"/>
                      <w:highlight w:val="none"/>
                      <w:lang w:val="en-US" w:eastAsia="zh-CN"/>
                    </w:rPr>
                  </w:pPr>
                  <w:r>
                    <w:rPr>
                      <w:rFonts w:hint="eastAsia" w:ascii="Times New Roman" w:hAnsi="Times New Roman" w:eastAsia="宋体" w:cs="Times New Roman"/>
                      <w:bCs/>
                      <w:color w:val="auto"/>
                      <w:sz w:val="20"/>
                      <w:szCs w:val="20"/>
                      <w:highlight w:val="none"/>
                      <w:lang w:val="en-US" w:eastAsia="zh-CN"/>
                    </w:rPr>
                    <w:t>4</w:t>
                  </w:r>
                </w:p>
              </w:tc>
              <w:tc>
                <w:tcPr>
                  <w:tcW w:w="870" w:type="dxa"/>
                  <w:vMerge w:val="continue"/>
                  <w:noWrap w:val="0"/>
                  <w:vAlign w:val="center"/>
                </w:tcPr>
                <w:p>
                  <w:pPr>
                    <w:jc w:val="center"/>
                    <w:rPr>
                      <w:rFonts w:hint="eastAsia" w:ascii="Times New Roman" w:hAnsi="Times New Roman" w:eastAsia="宋体" w:cs="Times New Roman"/>
                      <w:bCs/>
                      <w:color w:val="auto"/>
                      <w:sz w:val="20"/>
                      <w:szCs w:val="20"/>
                      <w:highlight w:val="none"/>
                      <w:lang w:val="en-US" w:eastAsia="zh-CN"/>
                    </w:rPr>
                  </w:pPr>
                </w:p>
              </w:tc>
              <w:tc>
                <w:tcPr>
                  <w:tcW w:w="1359" w:type="dxa"/>
                  <w:noWrap w:val="0"/>
                  <w:vAlign w:val="center"/>
                </w:tcPr>
                <w:p>
                  <w:pPr>
                    <w:adjustRightInd w:val="0"/>
                    <w:jc w:val="center"/>
                    <w:textAlignment w:val="baseline"/>
                    <w:rPr>
                      <w:rFonts w:hint="eastAsia" w:ascii="Times New Roman" w:hAnsi="Times New Roman" w:eastAsia="宋体" w:cs="Times New Roman"/>
                      <w:bCs/>
                      <w:color w:val="auto"/>
                      <w:kern w:val="2"/>
                      <w:sz w:val="20"/>
                      <w:szCs w:val="20"/>
                      <w:highlight w:val="none"/>
                      <w:lang w:val="en-US" w:eastAsia="zh-CN" w:bidi="ar-SA"/>
                    </w:rPr>
                  </w:pPr>
                  <w:r>
                    <w:rPr>
                      <w:rFonts w:hint="eastAsia"/>
                      <w:color w:val="auto"/>
                      <w:sz w:val="20"/>
                      <w:szCs w:val="20"/>
                      <w:highlight w:val="none"/>
                      <w:lang w:eastAsia="zh-CN"/>
                    </w:rPr>
                    <w:t>废活性炭</w:t>
                  </w:r>
                </w:p>
              </w:tc>
              <w:tc>
                <w:tcPr>
                  <w:tcW w:w="800" w:type="dxa"/>
                  <w:noWrap w:val="0"/>
                  <w:vAlign w:val="center"/>
                </w:tcPr>
                <w:p>
                  <w:pPr>
                    <w:adjustRightInd w:val="0"/>
                    <w:jc w:val="center"/>
                    <w:textAlignment w:val="baseline"/>
                    <w:rPr>
                      <w:rFonts w:hint="default" w:ascii="Times New Roman" w:hAnsi="Times New Roman" w:eastAsia="宋体" w:cs="Times New Roman"/>
                      <w:color w:val="auto"/>
                      <w:sz w:val="20"/>
                      <w:szCs w:val="20"/>
                      <w:highlight w:val="none"/>
                      <w:lang w:val="en-US" w:eastAsia="zh-CN"/>
                    </w:rPr>
                  </w:pPr>
                  <w:r>
                    <w:rPr>
                      <w:rFonts w:hint="eastAsia" w:ascii="Times New Roman" w:hAnsi="Times New Roman" w:eastAsia="宋体" w:cs="Times New Roman"/>
                      <w:color w:val="auto"/>
                      <w:sz w:val="20"/>
                      <w:szCs w:val="20"/>
                      <w:highlight w:val="none"/>
                      <w:lang w:val="en-US" w:eastAsia="zh-CN"/>
                    </w:rPr>
                    <w:t>HW49</w:t>
                  </w:r>
                </w:p>
              </w:tc>
              <w:tc>
                <w:tcPr>
                  <w:tcW w:w="884" w:type="dxa"/>
                  <w:noWrap w:val="0"/>
                  <w:vAlign w:val="center"/>
                </w:tcPr>
                <w:p>
                  <w:pPr>
                    <w:adjustRightInd w:val="0"/>
                    <w:jc w:val="center"/>
                    <w:textAlignment w:val="baseline"/>
                    <w:rPr>
                      <w:rFonts w:hint="eastAsia" w:ascii="Times New Roman" w:hAnsi="Times New Roman" w:eastAsia="宋体" w:cs="Times New Roman"/>
                      <w:color w:val="auto"/>
                      <w:sz w:val="20"/>
                      <w:szCs w:val="20"/>
                      <w:highlight w:val="none"/>
                      <w:lang w:val="en-US" w:eastAsia="zh-CN"/>
                    </w:rPr>
                  </w:pPr>
                  <w:r>
                    <w:rPr>
                      <w:rFonts w:hint="eastAsia" w:ascii="Times New Roman" w:hAnsi="Times New Roman" w:eastAsia="宋体" w:cs="Times New Roman"/>
                      <w:color w:val="auto"/>
                      <w:sz w:val="20"/>
                      <w:szCs w:val="20"/>
                      <w:highlight w:val="none"/>
                      <w:lang w:val="en-US" w:eastAsia="zh-CN"/>
                    </w:rPr>
                    <w:t>900-039-49</w:t>
                  </w:r>
                </w:p>
              </w:tc>
              <w:tc>
                <w:tcPr>
                  <w:tcW w:w="884" w:type="dxa"/>
                  <w:vMerge w:val="continue"/>
                  <w:noWrap w:val="0"/>
                  <w:vAlign w:val="center"/>
                </w:tcPr>
                <w:p>
                  <w:pPr>
                    <w:adjustRightInd w:val="0"/>
                    <w:jc w:val="center"/>
                    <w:textAlignment w:val="baseline"/>
                    <w:rPr>
                      <w:rFonts w:hint="eastAsia" w:ascii="Times New Roman" w:hAnsi="Times New Roman" w:eastAsia="宋体" w:cs="Times New Roman"/>
                      <w:bCs/>
                      <w:color w:val="auto"/>
                      <w:kern w:val="2"/>
                      <w:sz w:val="20"/>
                      <w:szCs w:val="20"/>
                      <w:highlight w:val="none"/>
                      <w:lang w:val="en-US" w:eastAsia="zh-CN" w:bidi="ar-SA"/>
                    </w:rPr>
                  </w:pPr>
                </w:p>
              </w:tc>
              <w:tc>
                <w:tcPr>
                  <w:tcW w:w="884" w:type="dxa"/>
                  <w:noWrap w:val="0"/>
                  <w:vAlign w:val="center"/>
                </w:tcPr>
                <w:p>
                  <w:pPr>
                    <w:adjustRightInd w:val="0"/>
                    <w:jc w:val="center"/>
                    <w:textAlignment w:val="baseline"/>
                    <w:rPr>
                      <w:rFonts w:hint="eastAsia" w:ascii="Times New Roman" w:hAnsi="Times New Roman" w:eastAsia="宋体" w:cs="Times New Roman"/>
                      <w:bCs/>
                      <w:color w:val="auto"/>
                      <w:kern w:val="2"/>
                      <w:sz w:val="20"/>
                      <w:szCs w:val="20"/>
                      <w:highlight w:val="none"/>
                      <w:lang w:val="en-US" w:eastAsia="zh-CN" w:bidi="ar-SA"/>
                    </w:rPr>
                  </w:pPr>
                  <w:r>
                    <w:rPr>
                      <w:rFonts w:hint="eastAsia"/>
                      <w:bCs/>
                      <w:color w:val="auto"/>
                      <w:sz w:val="20"/>
                      <w:szCs w:val="20"/>
                      <w:highlight w:val="none"/>
                      <w:lang w:val="en-US" w:eastAsia="zh-CN"/>
                    </w:rPr>
                    <w:t>桶装</w:t>
                  </w:r>
                </w:p>
              </w:tc>
              <w:tc>
                <w:tcPr>
                  <w:tcW w:w="884" w:type="dxa"/>
                  <w:noWrap w:val="0"/>
                  <w:vAlign w:val="center"/>
                </w:tcPr>
                <w:p>
                  <w:pPr>
                    <w:adjustRightInd w:val="0"/>
                    <w:jc w:val="center"/>
                    <w:textAlignment w:val="baseline"/>
                    <w:rPr>
                      <w:rFonts w:hint="default" w:ascii="Times New Roman" w:hAnsi="Times New Roman" w:eastAsia="宋体" w:cs="Times New Roman"/>
                      <w:bCs/>
                      <w:color w:val="auto"/>
                      <w:sz w:val="20"/>
                      <w:szCs w:val="20"/>
                      <w:highlight w:val="none"/>
                      <w:lang w:val="en-US" w:eastAsia="zh-CN"/>
                    </w:rPr>
                  </w:pPr>
                  <w:r>
                    <w:rPr>
                      <w:rFonts w:hint="eastAsia" w:ascii="Times New Roman" w:hAnsi="Times New Roman" w:eastAsia="宋体" w:cs="Times New Roman"/>
                      <w:bCs/>
                      <w:color w:val="auto"/>
                      <w:sz w:val="20"/>
                      <w:szCs w:val="20"/>
                      <w:highlight w:val="none"/>
                      <w:lang w:val="en-US" w:eastAsia="zh-CN"/>
                    </w:rPr>
                    <w:t>0.1t</w:t>
                  </w:r>
                </w:p>
              </w:tc>
              <w:tc>
                <w:tcPr>
                  <w:tcW w:w="884" w:type="dxa"/>
                  <w:noWrap w:val="0"/>
                  <w:vAlign w:val="center"/>
                </w:tcPr>
                <w:p>
                  <w:pPr>
                    <w:adjustRightInd w:val="0"/>
                    <w:jc w:val="center"/>
                    <w:textAlignment w:val="baseline"/>
                    <w:rPr>
                      <w:rFonts w:hint="default" w:ascii="Times New Roman" w:hAnsi="Times New Roman" w:eastAsia="宋体" w:cs="Times New Roman"/>
                      <w:bCs/>
                      <w:color w:val="auto"/>
                      <w:sz w:val="20"/>
                      <w:szCs w:val="20"/>
                      <w:highlight w:val="none"/>
                      <w:lang w:val="en-US" w:eastAsia="zh-CN"/>
                    </w:rPr>
                  </w:pPr>
                  <w:r>
                    <w:rPr>
                      <w:rFonts w:hint="eastAsia" w:ascii="Times New Roman" w:hAnsi="Times New Roman" w:eastAsia="宋体" w:cs="Times New Roman"/>
                      <w:bCs/>
                      <w:color w:val="auto"/>
                      <w:sz w:val="20"/>
                      <w:szCs w:val="20"/>
                      <w:highlight w:val="none"/>
                      <w:lang w:val="en-US" w:eastAsia="zh-CN"/>
                    </w:rPr>
                    <w:t>3个月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4" w:type="dxa"/>
                  <w:noWrap w:val="0"/>
                  <w:vAlign w:val="center"/>
                </w:tcPr>
                <w:p>
                  <w:pPr>
                    <w:adjustRightInd w:val="0"/>
                    <w:jc w:val="center"/>
                    <w:textAlignment w:val="baseline"/>
                    <w:rPr>
                      <w:rFonts w:hint="default" w:ascii="Times New Roman" w:hAnsi="Times New Roman" w:eastAsia="宋体" w:cs="Times New Roman"/>
                      <w:bCs/>
                      <w:color w:val="auto"/>
                      <w:sz w:val="20"/>
                      <w:szCs w:val="20"/>
                      <w:highlight w:val="none"/>
                      <w:lang w:val="en-US" w:eastAsia="zh-CN"/>
                    </w:rPr>
                  </w:pPr>
                  <w:r>
                    <w:rPr>
                      <w:rFonts w:hint="eastAsia" w:ascii="Times New Roman" w:hAnsi="Times New Roman" w:eastAsia="宋体" w:cs="Times New Roman"/>
                      <w:bCs/>
                      <w:color w:val="auto"/>
                      <w:sz w:val="20"/>
                      <w:szCs w:val="20"/>
                      <w:highlight w:val="none"/>
                      <w:lang w:val="en-US" w:eastAsia="zh-CN"/>
                    </w:rPr>
                    <w:t>5</w:t>
                  </w:r>
                </w:p>
              </w:tc>
              <w:tc>
                <w:tcPr>
                  <w:tcW w:w="870" w:type="dxa"/>
                  <w:vMerge w:val="continue"/>
                  <w:noWrap w:val="0"/>
                  <w:vAlign w:val="center"/>
                </w:tcPr>
                <w:p>
                  <w:pPr>
                    <w:jc w:val="center"/>
                    <w:rPr>
                      <w:rFonts w:hint="eastAsia" w:ascii="Times New Roman" w:hAnsi="Times New Roman" w:eastAsia="宋体" w:cs="Times New Roman"/>
                      <w:bCs/>
                      <w:color w:val="auto"/>
                      <w:sz w:val="20"/>
                      <w:szCs w:val="20"/>
                      <w:highlight w:val="none"/>
                      <w:lang w:val="en-US" w:eastAsia="zh-CN"/>
                    </w:rPr>
                  </w:pPr>
                </w:p>
              </w:tc>
              <w:tc>
                <w:tcPr>
                  <w:tcW w:w="1359" w:type="dxa"/>
                  <w:noWrap w:val="0"/>
                  <w:vAlign w:val="center"/>
                </w:tcPr>
                <w:p>
                  <w:pPr>
                    <w:adjustRightInd w:val="0"/>
                    <w:jc w:val="center"/>
                    <w:textAlignment w:val="baseline"/>
                    <w:rPr>
                      <w:rFonts w:hint="eastAsia" w:ascii="Times New Roman" w:hAnsi="Times New Roman" w:eastAsia="宋体" w:cs="Times New Roman"/>
                      <w:bCs/>
                      <w:color w:val="auto"/>
                      <w:kern w:val="2"/>
                      <w:sz w:val="20"/>
                      <w:szCs w:val="20"/>
                      <w:highlight w:val="none"/>
                      <w:lang w:val="en-US" w:eastAsia="zh-CN" w:bidi="ar-SA"/>
                    </w:rPr>
                  </w:pPr>
                  <w:r>
                    <w:rPr>
                      <w:rFonts w:hint="eastAsia"/>
                      <w:color w:val="auto"/>
                      <w:sz w:val="20"/>
                      <w:szCs w:val="20"/>
                      <w:highlight w:val="none"/>
                      <w:lang w:eastAsia="zh-CN"/>
                    </w:rPr>
                    <w:t>废机油</w:t>
                  </w:r>
                </w:p>
              </w:tc>
              <w:tc>
                <w:tcPr>
                  <w:tcW w:w="800" w:type="dxa"/>
                  <w:noWrap w:val="0"/>
                  <w:vAlign w:val="center"/>
                </w:tcPr>
                <w:p>
                  <w:pPr>
                    <w:adjustRightInd w:val="0"/>
                    <w:jc w:val="center"/>
                    <w:textAlignment w:val="baseline"/>
                    <w:rPr>
                      <w:rFonts w:hint="default" w:ascii="Times New Roman" w:hAnsi="Times New Roman" w:eastAsia="宋体" w:cs="Times New Roman"/>
                      <w:color w:val="auto"/>
                      <w:sz w:val="20"/>
                      <w:szCs w:val="20"/>
                      <w:highlight w:val="none"/>
                      <w:lang w:val="en-US" w:eastAsia="zh-CN"/>
                    </w:rPr>
                  </w:pPr>
                  <w:r>
                    <w:rPr>
                      <w:rFonts w:hint="eastAsia" w:ascii="Times New Roman" w:hAnsi="Times New Roman" w:eastAsia="宋体" w:cs="Times New Roman"/>
                      <w:color w:val="auto"/>
                      <w:sz w:val="20"/>
                      <w:szCs w:val="20"/>
                      <w:highlight w:val="none"/>
                      <w:lang w:val="en-US" w:eastAsia="zh-CN"/>
                    </w:rPr>
                    <w:t>HW08</w:t>
                  </w:r>
                </w:p>
              </w:tc>
              <w:tc>
                <w:tcPr>
                  <w:tcW w:w="884" w:type="dxa"/>
                  <w:noWrap w:val="0"/>
                  <w:vAlign w:val="center"/>
                </w:tcPr>
                <w:p>
                  <w:pPr>
                    <w:adjustRightInd w:val="0"/>
                    <w:jc w:val="center"/>
                    <w:textAlignment w:val="baseline"/>
                    <w:rPr>
                      <w:rFonts w:hint="default" w:ascii="Times New Roman" w:hAnsi="Times New Roman" w:eastAsia="宋体" w:cs="Times New Roman"/>
                      <w:color w:val="auto"/>
                      <w:sz w:val="20"/>
                      <w:szCs w:val="20"/>
                      <w:highlight w:val="none"/>
                      <w:lang w:val="en-US" w:eastAsia="zh-CN"/>
                    </w:rPr>
                  </w:pPr>
                  <w:r>
                    <w:rPr>
                      <w:rFonts w:hint="eastAsia" w:ascii="Times New Roman" w:hAnsi="Times New Roman" w:eastAsia="宋体" w:cs="Times New Roman"/>
                      <w:color w:val="auto"/>
                      <w:sz w:val="20"/>
                      <w:szCs w:val="20"/>
                      <w:highlight w:val="none"/>
                      <w:lang w:val="en-US" w:eastAsia="zh-CN"/>
                    </w:rPr>
                    <w:t>900-249-08</w:t>
                  </w:r>
                </w:p>
              </w:tc>
              <w:tc>
                <w:tcPr>
                  <w:tcW w:w="884" w:type="dxa"/>
                  <w:vMerge w:val="continue"/>
                  <w:noWrap w:val="0"/>
                  <w:vAlign w:val="center"/>
                </w:tcPr>
                <w:p>
                  <w:pPr>
                    <w:adjustRightInd w:val="0"/>
                    <w:jc w:val="center"/>
                    <w:textAlignment w:val="baseline"/>
                    <w:rPr>
                      <w:rFonts w:hint="eastAsia" w:ascii="Times New Roman" w:hAnsi="Times New Roman" w:eastAsia="宋体" w:cs="Times New Roman"/>
                      <w:bCs/>
                      <w:color w:val="auto"/>
                      <w:kern w:val="2"/>
                      <w:sz w:val="20"/>
                      <w:szCs w:val="20"/>
                      <w:highlight w:val="none"/>
                      <w:lang w:val="en-US" w:eastAsia="zh-CN" w:bidi="ar-SA"/>
                    </w:rPr>
                  </w:pPr>
                </w:p>
              </w:tc>
              <w:tc>
                <w:tcPr>
                  <w:tcW w:w="884" w:type="dxa"/>
                  <w:noWrap w:val="0"/>
                  <w:vAlign w:val="center"/>
                </w:tcPr>
                <w:p>
                  <w:pPr>
                    <w:adjustRightInd w:val="0"/>
                    <w:jc w:val="center"/>
                    <w:textAlignment w:val="baseline"/>
                    <w:rPr>
                      <w:rFonts w:hint="eastAsia" w:ascii="Times New Roman" w:hAnsi="Times New Roman" w:eastAsia="宋体" w:cs="Times New Roman"/>
                      <w:bCs/>
                      <w:color w:val="auto"/>
                      <w:kern w:val="2"/>
                      <w:sz w:val="20"/>
                      <w:szCs w:val="20"/>
                      <w:highlight w:val="none"/>
                      <w:lang w:val="en-US" w:eastAsia="zh-CN" w:bidi="ar-SA"/>
                    </w:rPr>
                  </w:pPr>
                  <w:r>
                    <w:rPr>
                      <w:rFonts w:hint="eastAsia"/>
                      <w:bCs/>
                      <w:color w:val="auto"/>
                      <w:sz w:val="20"/>
                      <w:szCs w:val="20"/>
                      <w:highlight w:val="none"/>
                      <w:lang w:val="en-US" w:eastAsia="zh-CN"/>
                    </w:rPr>
                    <w:t>桶装</w:t>
                  </w:r>
                </w:p>
              </w:tc>
              <w:tc>
                <w:tcPr>
                  <w:tcW w:w="884" w:type="dxa"/>
                  <w:noWrap w:val="0"/>
                  <w:vAlign w:val="center"/>
                </w:tcPr>
                <w:p>
                  <w:pPr>
                    <w:adjustRightInd w:val="0"/>
                    <w:jc w:val="center"/>
                    <w:textAlignment w:val="baseline"/>
                    <w:rPr>
                      <w:rFonts w:hint="default" w:ascii="Times New Roman" w:hAnsi="Times New Roman" w:eastAsia="宋体" w:cs="Times New Roman"/>
                      <w:bCs/>
                      <w:color w:val="auto"/>
                      <w:sz w:val="20"/>
                      <w:szCs w:val="20"/>
                      <w:highlight w:val="none"/>
                      <w:lang w:val="en-US" w:eastAsia="zh-CN"/>
                    </w:rPr>
                  </w:pPr>
                  <w:r>
                    <w:rPr>
                      <w:rFonts w:hint="eastAsia" w:ascii="Times New Roman" w:hAnsi="Times New Roman" w:eastAsia="宋体" w:cs="Times New Roman"/>
                      <w:bCs/>
                      <w:color w:val="auto"/>
                      <w:sz w:val="20"/>
                      <w:szCs w:val="20"/>
                      <w:highlight w:val="none"/>
                      <w:lang w:val="en-US" w:eastAsia="zh-CN"/>
                    </w:rPr>
                    <w:t>0.1t</w:t>
                  </w:r>
                </w:p>
              </w:tc>
              <w:tc>
                <w:tcPr>
                  <w:tcW w:w="884" w:type="dxa"/>
                  <w:noWrap w:val="0"/>
                  <w:vAlign w:val="center"/>
                </w:tcPr>
                <w:p>
                  <w:pPr>
                    <w:adjustRightInd w:val="0"/>
                    <w:jc w:val="center"/>
                    <w:textAlignment w:val="baseline"/>
                    <w:rPr>
                      <w:rFonts w:hint="eastAsia" w:ascii="Times New Roman" w:hAnsi="Times New Roman" w:eastAsia="宋体" w:cs="Times New Roman"/>
                      <w:bCs/>
                      <w:color w:val="auto"/>
                      <w:sz w:val="20"/>
                      <w:szCs w:val="20"/>
                      <w:highlight w:val="none"/>
                      <w:lang w:val="en-US" w:eastAsia="zh-CN"/>
                    </w:rPr>
                  </w:pPr>
                  <w:r>
                    <w:rPr>
                      <w:rFonts w:hint="eastAsia" w:ascii="Times New Roman" w:hAnsi="Times New Roman" w:eastAsia="宋体" w:cs="Times New Roman"/>
                      <w:bCs/>
                      <w:color w:val="auto"/>
                      <w:sz w:val="20"/>
                      <w:szCs w:val="20"/>
                      <w:highlight w:val="none"/>
                      <w:lang w:val="en-US" w:eastAsia="zh-CN"/>
                    </w:rPr>
                    <w:t>3个月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4" w:type="dxa"/>
                  <w:noWrap w:val="0"/>
                  <w:vAlign w:val="center"/>
                </w:tcPr>
                <w:p>
                  <w:pPr>
                    <w:adjustRightInd w:val="0"/>
                    <w:jc w:val="center"/>
                    <w:textAlignment w:val="baseline"/>
                    <w:rPr>
                      <w:rFonts w:hint="default" w:ascii="Times New Roman" w:hAnsi="Times New Roman" w:eastAsia="宋体" w:cs="Times New Roman"/>
                      <w:bCs/>
                      <w:color w:val="auto"/>
                      <w:sz w:val="20"/>
                      <w:szCs w:val="20"/>
                      <w:highlight w:val="none"/>
                      <w:lang w:val="en-US" w:eastAsia="zh-CN"/>
                    </w:rPr>
                  </w:pPr>
                  <w:r>
                    <w:rPr>
                      <w:rFonts w:hint="eastAsia" w:ascii="Times New Roman" w:hAnsi="Times New Roman" w:eastAsia="宋体" w:cs="Times New Roman"/>
                      <w:bCs/>
                      <w:color w:val="auto"/>
                      <w:sz w:val="20"/>
                      <w:szCs w:val="20"/>
                      <w:highlight w:val="none"/>
                      <w:lang w:val="en-US" w:eastAsia="zh-CN"/>
                    </w:rPr>
                    <w:t>6</w:t>
                  </w:r>
                </w:p>
              </w:tc>
              <w:tc>
                <w:tcPr>
                  <w:tcW w:w="870" w:type="dxa"/>
                  <w:vMerge w:val="continue"/>
                  <w:noWrap w:val="0"/>
                  <w:vAlign w:val="center"/>
                </w:tcPr>
                <w:p>
                  <w:pPr>
                    <w:jc w:val="center"/>
                    <w:rPr>
                      <w:rFonts w:hint="eastAsia" w:ascii="Times New Roman" w:hAnsi="Times New Roman" w:eastAsia="宋体" w:cs="Times New Roman"/>
                      <w:bCs/>
                      <w:color w:val="auto"/>
                      <w:sz w:val="20"/>
                      <w:szCs w:val="20"/>
                      <w:highlight w:val="none"/>
                      <w:lang w:val="en-US" w:eastAsia="zh-CN"/>
                    </w:rPr>
                  </w:pPr>
                </w:p>
              </w:tc>
              <w:tc>
                <w:tcPr>
                  <w:tcW w:w="1359" w:type="dxa"/>
                  <w:noWrap w:val="0"/>
                  <w:vAlign w:val="center"/>
                </w:tcPr>
                <w:p>
                  <w:pPr>
                    <w:adjustRightInd w:val="0"/>
                    <w:jc w:val="center"/>
                    <w:textAlignment w:val="baseline"/>
                    <w:rPr>
                      <w:rFonts w:hint="default"/>
                      <w:color w:val="auto"/>
                      <w:sz w:val="20"/>
                      <w:szCs w:val="20"/>
                      <w:highlight w:val="none"/>
                      <w:lang w:val="en-US" w:eastAsia="zh-CN"/>
                    </w:rPr>
                  </w:pPr>
                  <w:r>
                    <w:rPr>
                      <w:rFonts w:hint="eastAsia"/>
                      <w:color w:val="auto"/>
                      <w:sz w:val="20"/>
                      <w:szCs w:val="20"/>
                      <w:highlight w:val="none"/>
                      <w:lang w:val="en-US" w:eastAsia="zh-CN"/>
                    </w:rPr>
                    <w:t>含油棉纱手套</w:t>
                  </w:r>
                </w:p>
              </w:tc>
              <w:tc>
                <w:tcPr>
                  <w:tcW w:w="800" w:type="dxa"/>
                  <w:noWrap w:val="0"/>
                  <w:vAlign w:val="center"/>
                </w:tcPr>
                <w:p>
                  <w:pPr>
                    <w:adjustRightInd w:val="0"/>
                    <w:jc w:val="center"/>
                    <w:textAlignment w:val="baseline"/>
                    <w:rPr>
                      <w:rFonts w:hint="eastAsia" w:ascii="Times New Roman" w:hAnsi="Times New Roman" w:eastAsia="宋体" w:cs="Times New Roman"/>
                      <w:color w:val="auto"/>
                      <w:sz w:val="20"/>
                      <w:szCs w:val="20"/>
                      <w:highlight w:val="none"/>
                      <w:lang w:val="en-US" w:eastAsia="zh-CN"/>
                    </w:rPr>
                  </w:pPr>
                  <w:r>
                    <w:rPr>
                      <w:rFonts w:hint="eastAsia" w:ascii="Times New Roman" w:hAnsi="Times New Roman" w:eastAsia="宋体" w:cs="Times New Roman"/>
                      <w:color w:val="auto"/>
                      <w:sz w:val="20"/>
                      <w:szCs w:val="20"/>
                      <w:highlight w:val="none"/>
                      <w:lang w:val="en-US" w:eastAsia="zh-CN"/>
                    </w:rPr>
                    <w:t>HW49</w:t>
                  </w:r>
                </w:p>
              </w:tc>
              <w:tc>
                <w:tcPr>
                  <w:tcW w:w="884" w:type="dxa"/>
                  <w:noWrap w:val="0"/>
                  <w:vAlign w:val="center"/>
                </w:tcPr>
                <w:p>
                  <w:pPr>
                    <w:adjustRightInd w:val="0"/>
                    <w:jc w:val="center"/>
                    <w:textAlignment w:val="baseline"/>
                    <w:rPr>
                      <w:rFonts w:hint="eastAsia" w:ascii="Times New Roman" w:hAnsi="Times New Roman" w:eastAsia="宋体" w:cs="Times New Roman"/>
                      <w:color w:val="auto"/>
                      <w:sz w:val="20"/>
                      <w:szCs w:val="20"/>
                      <w:highlight w:val="none"/>
                      <w:lang w:val="en-US" w:eastAsia="zh-CN"/>
                    </w:rPr>
                  </w:pPr>
                  <w:r>
                    <w:rPr>
                      <w:rFonts w:hint="eastAsia"/>
                      <w:color w:val="auto"/>
                      <w:szCs w:val="21"/>
                      <w:highlight w:val="none"/>
                    </w:rPr>
                    <w:t>900-041-49</w:t>
                  </w:r>
                </w:p>
              </w:tc>
              <w:tc>
                <w:tcPr>
                  <w:tcW w:w="884" w:type="dxa"/>
                  <w:vMerge w:val="continue"/>
                  <w:noWrap w:val="0"/>
                  <w:vAlign w:val="center"/>
                </w:tcPr>
                <w:p>
                  <w:pPr>
                    <w:adjustRightInd w:val="0"/>
                    <w:jc w:val="center"/>
                    <w:textAlignment w:val="baseline"/>
                    <w:rPr>
                      <w:rFonts w:hint="eastAsia" w:ascii="Times New Roman" w:hAnsi="Times New Roman" w:eastAsia="宋体" w:cs="Times New Roman"/>
                      <w:bCs/>
                      <w:color w:val="auto"/>
                      <w:kern w:val="2"/>
                      <w:sz w:val="20"/>
                      <w:szCs w:val="20"/>
                      <w:highlight w:val="none"/>
                      <w:lang w:val="en-US" w:eastAsia="zh-CN" w:bidi="ar-SA"/>
                    </w:rPr>
                  </w:pPr>
                </w:p>
              </w:tc>
              <w:tc>
                <w:tcPr>
                  <w:tcW w:w="884" w:type="dxa"/>
                  <w:noWrap w:val="0"/>
                  <w:vAlign w:val="center"/>
                </w:tcPr>
                <w:p>
                  <w:pPr>
                    <w:adjustRightInd w:val="0"/>
                    <w:jc w:val="center"/>
                    <w:textAlignment w:val="baseline"/>
                    <w:rPr>
                      <w:rFonts w:hint="eastAsia"/>
                      <w:bCs/>
                      <w:color w:val="auto"/>
                      <w:sz w:val="20"/>
                      <w:szCs w:val="20"/>
                      <w:highlight w:val="none"/>
                      <w:lang w:val="en-US" w:eastAsia="zh-CN"/>
                    </w:rPr>
                  </w:pPr>
                  <w:r>
                    <w:rPr>
                      <w:rFonts w:hint="eastAsia"/>
                      <w:bCs/>
                      <w:color w:val="auto"/>
                      <w:sz w:val="20"/>
                      <w:szCs w:val="20"/>
                      <w:highlight w:val="none"/>
                      <w:lang w:val="en-US" w:eastAsia="zh-CN"/>
                    </w:rPr>
                    <w:t>桶装</w:t>
                  </w:r>
                </w:p>
              </w:tc>
              <w:tc>
                <w:tcPr>
                  <w:tcW w:w="884" w:type="dxa"/>
                  <w:noWrap w:val="0"/>
                  <w:vAlign w:val="center"/>
                </w:tcPr>
                <w:p>
                  <w:pPr>
                    <w:adjustRightInd w:val="0"/>
                    <w:jc w:val="center"/>
                    <w:textAlignment w:val="baseline"/>
                    <w:rPr>
                      <w:rFonts w:hint="eastAsia" w:ascii="Times New Roman" w:hAnsi="Times New Roman" w:eastAsia="宋体" w:cs="Times New Roman"/>
                      <w:bCs/>
                      <w:color w:val="auto"/>
                      <w:sz w:val="20"/>
                      <w:szCs w:val="20"/>
                      <w:highlight w:val="none"/>
                      <w:lang w:val="en-US" w:eastAsia="zh-CN"/>
                    </w:rPr>
                  </w:pPr>
                  <w:r>
                    <w:rPr>
                      <w:rFonts w:hint="eastAsia" w:ascii="Times New Roman" w:hAnsi="Times New Roman" w:eastAsia="宋体" w:cs="Times New Roman"/>
                      <w:bCs/>
                      <w:color w:val="auto"/>
                      <w:sz w:val="20"/>
                      <w:szCs w:val="20"/>
                      <w:highlight w:val="none"/>
                      <w:lang w:val="en-US" w:eastAsia="zh-CN"/>
                    </w:rPr>
                    <w:t>0.1t</w:t>
                  </w:r>
                </w:p>
              </w:tc>
              <w:tc>
                <w:tcPr>
                  <w:tcW w:w="884" w:type="dxa"/>
                  <w:noWrap w:val="0"/>
                  <w:vAlign w:val="center"/>
                </w:tcPr>
                <w:p>
                  <w:pPr>
                    <w:adjustRightInd w:val="0"/>
                    <w:jc w:val="center"/>
                    <w:textAlignment w:val="baseline"/>
                    <w:rPr>
                      <w:rFonts w:hint="eastAsia" w:ascii="Times New Roman" w:hAnsi="Times New Roman" w:eastAsia="宋体" w:cs="Times New Roman"/>
                      <w:bCs/>
                      <w:color w:val="auto"/>
                      <w:sz w:val="20"/>
                      <w:szCs w:val="20"/>
                      <w:highlight w:val="none"/>
                      <w:lang w:val="en-US" w:eastAsia="zh-CN"/>
                    </w:rPr>
                  </w:pPr>
                  <w:r>
                    <w:rPr>
                      <w:rFonts w:hint="eastAsia" w:ascii="Times New Roman" w:hAnsi="Times New Roman" w:eastAsia="宋体" w:cs="Times New Roman"/>
                      <w:bCs/>
                      <w:color w:val="auto"/>
                      <w:sz w:val="20"/>
                      <w:szCs w:val="20"/>
                      <w:highlight w:val="none"/>
                      <w:lang w:val="en-US" w:eastAsia="zh-CN"/>
                    </w:rPr>
                    <w:t>3个月</w:t>
                  </w:r>
                </w:p>
              </w:tc>
            </w:tr>
          </w:tbl>
          <w:p>
            <w:pPr>
              <w:spacing w:line="360" w:lineRule="auto"/>
              <w:ind w:firstLine="440" w:firstLineChars="200"/>
              <w:rPr>
                <w:rFonts w:hint="default"/>
                <w:color w:val="auto"/>
                <w:sz w:val="22"/>
                <w:szCs w:val="22"/>
                <w:highlight w:val="none"/>
                <w:lang w:val="en-US" w:eastAsia="zh-CN"/>
              </w:rPr>
            </w:pPr>
            <w:r>
              <w:rPr>
                <w:rFonts w:hint="eastAsia"/>
                <w:color w:val="auto"/>
                <w:sz w:val="22"/>
                <w:szCs w:val="22"/>
                <w:highlight w:val="none"/>
                <w:lang w:eastAsia="zh-CN"/>
              </w:rPr>
              <w:t>（</w:t>
            </w:r>
            <w:r>
              <w:rPr>
                <w:rFonts w:hint="eastAsia"/>
                <w:color w:val="auto"/>
                <w:sz w:val="22"/>
                <w:szCs w:val="22"/>
                <w:highlight w:val="none"/>
                <w:lang w:val="en-US" w:eastAsia="zh-CN"/>
              </w:rPr>
              <w:t>2</w:t>
            </w:r>
            <w:r>
              <w:rPr>
                <w:rFonts w:hint="eastAsia"/>
                <w:color w:val="auto"/>
                <w:sz w:val="22"/>
                <w:szCs w:val="22"/>
                <w:highlight w:val="none"/>
                <w:lang w:eastAsia="zh-CN"/>
              </w:rPr>
              <w:t>）</w:t>
            </w:r>
            <w:r>
              <w:rPr>
                <w:rFonts w:hint="eastAsia"/>
                <w:color w:val="auto"/>
                <w:sz w:val="22"/>
                <w:szCs w:val="22"/>
                <w:highlight w:val="none"/>
                <w:lang w:val="en-US" w:eastAsia="zh-CN"/>
              </w:rPr>
              <w:t>转运要求</w:t>
            </w:r>
          </w:p>
          <w:p>
            <w:pPr>
              <w:spacing w:line="360" w:lineRule="auto"/>
              <w:ind w:firstLine="440" w:firstLineChars="200"/>
              <w:rPr>
                <w:rFonts w:hint="default" w:ascii="Times New Roman" w:hAnsi="Times New Roman" w:cs="Times New Roman"/>
                <w:b/>
                <w:bCs/>
                <w:color w:val="auto"/>
                <w:sz w:val="22"/>
                <w:szCs w:val="22"/>
                <w:highlight w:val="none"/>
              </w:rPr>
            </w:pPr>
            <w:r>
              <w:rPr>
                <w:color w:val="auto"/>
                <w:sz w:val="22"/>
                <w:szCs w:val="22"/>
                <w:highlight w:val="none"/>
              </w:rPr>
              <w:t>危险废物的处置需严格按照</w:t>
            </w:r>
            <w:r>
              <w:rPr>
                <w:rFonts w:hint="eastAsia"/>
                <w:color w:val="auto"/>
                <w:sz w:val="22"/>
                <w:szCs w:val="22"/>
                <w:highlight w:val="none"/>
                <w:lang w:eastAsia="zh-CN"/>
              </w:rPr>
              <w:t>《危险废物转移管理办法》</w:t>
            </w:r>
            <w:r>
              <w:rPr>
                <w:color w:val="auto"/>
                <w:sz w:val="22"/>
                <w:szCs w:val="22"/>
                <w:highlight w:val="none"/>
              </w:rPr>
              <w:t>规定办理危险废物转移手续，并严格执行</w:t>
            </w:r>
            <w:r>
              <w:rPr>
                <w:rFonts w:hint="eastAsia"/>
                <w:color w:val="auto"/>
                <w:sz w:val="22"/>
                <w:szCs w:val="22"/>
                <w:highlight w:val="none"/>
                <w:lang w:eastAsia="zh-CN"/>
              </w:rPr>
              <w:t>《危险废物转移管理办法》</w:t>
            </w:r>
            <w:r>
              <w:rPr>
                <w:color w:val="auto"/>
                <w:sz w:val="22"/>
                <w:szCs w:val="22"/>
                <w:highlight w:val="none"/>
              </w:rPr>
              <w:t>规定，防止二次污染。</w:t>
            </w:r>
            <w:r>
              <w:rPr>
                <w:rFonts w:hint="eastAsia" w:eastAsia="宋体"/>
                <w:color w:val="auto"/>
                <w:sz w:val="22"/>
                <w:szCs w:val="22"/>
                <w:highlight w:val="none"/>
                <w:lang w:val="en-US" w:eastAsia="zh-CN"/>
              </w:rPr>
              <w:t>危险废物每次外运处置均需做好运输登记，认真填写危险废物转移联单和危险废物管理台账，台账记录需真实填写废物运出的日期、时间、数量、交接的人员等相关信息。</w:t>
            </w:r>
          </w:p>
          <w:p>
            <w:pPr>
              <w:spacing w:line="360" w:lineRule="auto"/>
              <w:ind w:firstLine="442" w:firstLineChars="200"/>
              <w:rPr>
                <w:rFonts w:hint="default" w:ascii="Times New Roman" w:hAnsi="Times New Roman" w:cs="Times New Roman"/>
                <w:b/>
                <w:bCs/>
                <w:color w:val="auto"/>
                <w:sz w:val="22"/>
                <w:szCs w:val="22"/>
                <w:highlight w:val="none"/>
              </w:rPr>
            </w:pPr>
            <w:r>
              <w:rPr>
                <w:rFonts w:hint="default" w:ascii="Times New Roman" w:hAnsi="Times New Roman" w:cs="Times New Roman"/>
                <w:b/>
                <w:bCs/>
                <w:color w:val="auto"/>
                <w:sz w:val="22"/>
                <w:szCs w:val="22"/>
                <w:highlight w:val="none"/>
              </w:rPr>
              <w:t>5、地下水、土壤</w:t>
            </w:r>
          </w:p>
          <w:p>
            <w:pPr>
              <w:spacing w:line="360" w:lineRule="auto"/>
              <w:ind w:firstLine="442" w:firstLineChars="200"/>
              <w:rPr>
                <w:rFonts w:hint="default" w:ascii="Times New Roman" w:hAnsi="Times New Roman" w:cs="Times New Roman"/>
                <w:b/>
                <w:bCs/>
                <w:color w:val="auto"/>
                <w:sz w:val="22"/>
                <w:szCs w:val="22"/>
                <w:highlight w:val="none"/>
              </w:rPr>
            </w:pPr>
            <w:r>
              <w:rPr>
                <w:rFonts w:hint="default" w:ascii="Times New Roman" w:hAnsi="Times New Roman" w:cs="Times New Roman"/>
                <w:b/>
                <w:bCs/>
                <w:color w:val="auto"/>
                <w:sz w:val="22"/>
                <w:szCs w:val="22"/>
                <w:highlight w:val="none"/>
              </w:rPr>
              <w:t>5.1 污染源、污染物类型及污染途径</w:t>
            </w:r>
          </w:p>
          <w:p>
            <w:pPr>
              <w:spacing w:line="360" w:lineRule="auto"/>
              <w:ind w:firstLine="440" w:firstLineChars="200"/>
              <w:rPr>
                <w:rFonts w:hint="default" w:ascii="Times New Roman" w:hAnsi="Times New Roman" w:cs="Times New Roman"/>
                <w:color w:val="auto"/>
                <w:sz w:val="22"/>
                <w:szCs w:val="22"/>
                <w:highlight w:val="none"/>
              </w:rPr>
            </w:pPr>
            <w:r>
              <w:rPr>
                <w:rFonts w:hint="eastAsia" w:ascii="Times New Roman" w:hAnsi="Times New Roman" w:eastAsia="宋体" w:cs="Times New Roman"/>
                <w:bCs/>
                <w:color w:val="auto"/>
                <w:sz w:val="22"/>
                <w:szCs w:val="22"/>
                <w:highlight w:val="none"/>
                <w:lang w:eastAsia="zh-CN"/>
              </w:rPr>
              <w:t>本项目</w:t>
            </w:r>
            <w:r>
              <w:rPr>
                <w:rFonts w:hint="default" w:ascii="Times New Roman" w:hAnsi="Times New Roman" w:eastAsia="宋体" w:cs="Times New Roman"/>
                <w:bCs/>
                <w:color w:val="auto"/>
                <w:sz w:val="22"/>
                <w:szCs w:val="22"/>
                <w:highlight w:val="none"/>
                <w:lang w:eastAsia="zh-CN"/>
              </w:rPr>
              <w:t>磨边、清洗、冷却水循环使用，不外排；水帘柜废水循环使用，一年更换一次，排入乐山市工业集中区污水处理厂；生活污水经预处理后排入乐山市工业集中区污水处理厂处理后达标排放。</w:t>
            </w:r>
            <w:r>
              <w:rPr>
                <w:rFonts w:hint="eastAsia" w:ascii="Times New Roman" w:hAnsi="Times New Roman" w:eastAsia="宋体" w:cs="Times New Roman"/>
                <w:bCs/>
                <w:color w:val="auto"/>
                <w:sz w:val="22"/>
                <w:szCs w:val="22"/>
                <w:highlight w:val="none"/>
                <w:lang w:val="en-US" w:eastAsia="zh-CN"/>
              </w:rPr>
              <w:t>整个调漆、喷漆、晾干工序均在密闭空间进行，仅在喷漆开始和结束时，员工进出开门造成房内的少量残余废气逸散，基本无大气沉降影响，</w:t>
            </w:r>
            <w:r>
              <w:rPr>
                <w:rFonts w:hint="default" w:ascii="Times New Roman" w:hAnsi="Times New Roman" w:eastAsia="宋体" w:cs="Times New Roman"/>
                <w:bCs/>
                <w:color w:val="auto"/>
                <w:sz w:val="22"/>
                <w:szCs w:val="22"/>
                <w:highlight w:val="none"/>
                <w:lang w:eastAsia="zh-CN"/>
              </w:rPr>
              <w:t>项目营运期正常情况无地下水、土壤污染途径，事故状态下如</w:t>
            </w:r>
            <w:r>
              <w:rPr>
                <w:rFonts w:hint="eastAsia" w:ascii="Times New Roman" w:hAnsi="Times New Roman" w:eastAsia="宋体" w:cs="Times New Roman"/>
                <w:bCs/>
                <w:color w:val="auto"/>
                <w:sz w:val="22"/>
                <w:szCs w:val="22"/>
                <w:highlight w:val="none"/>
                <w:lang w:val="en-US" w:eastAsia="zh-CN"/>
              </w:rPr>
              <w:t>油漆</w:t>
            </w:r>
            <w:r>
              <w:rPr>
                <w:rFonts w:hint="default" w:ascii="Times New Roman" w:hAnsi="Times New Roman" w:eastAsia="宋体" w:cs="Times New Roman"/>
                <w:bCs/>
                <w:color w:val="auto"/>
                <w:sz w:val="22"/>
                <w:szCs w:val="22"/>
                <w:highlight w:val="none"/>
                <w:lang w:eastAsia="zh-CN"/>
              </w:rPr>
              <w:t>、机油泄漏，将存在地下水</w:t>
            </w:r>
            <w:r>
              <w:rPr>
                <w:rFonts w:hint="eastAsia" w:ascii="Times New Roman" w:hAnsi="Times New Roman" w:eastAsia="宋体" w:cs="Times New Roman"/>
                <w:bCs/>
                <w:color w:val="auto"/>
                <w:sz w:val="22"/>
                <w:szCs w:val="22"/>
                <w:highlight w:val="none"/>
                <w:lang w:eastAsia="zh-CN"/>
              </w:rPr>
              <w:t>、</w:t>
            </w:r>
            <w:r>
              <w:rPr>
                <w:rFonts w:hint="eastAsia" w:ascii="Times New Roman" w:hAnsi="Times New Roman" w:eastAsia="宋体" w:cs="Times New Roman"/>
                <w:bCs/>
                <w:color w:val="auto"/>
                <w:sz w:val="22"/>
                <w:szCs w:val="22"/>
                <w:highlight w:val="none"/>
                <w:lang w:val="en-US" w:eastAsia="zh-CN"/>
              </w:rPr>
              <w:t>土壤</w:t>
            </w:r>
            <w:r>
              <w:rPr>
                <w:rFonts w:hint="default" w:ascii="Times New Roman" w:hAnsi="Times New Roman" w:eastAsia="宋体" w:cs="Times New Roman"/>
                <w:bCs/>
                <w:color w:val="auto"/>
                <w:sz w:val="22"/>
                <w:szCs w:val="22"/>
                <w:highlight w:val="none"/>
                <w:lang w:eastAsia="zh-CN"/>
              </w:rPr>
              <w:t>污染的风险。</w:t>
            </w:r>
          </w:p>
          <w:p>
            <w:pPr>
              <w:adjustRightInd w:val="0"/>
              <w:jc w:val="center"/>
              <w:textAlignment w:val="baseline"/>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4-1</w:t>
            </w:r>
            <w:r>
              <w:rPr>
                <w:rFonts w:hint="eastAsia" w:ascii="Times New Roman" w:hAnsi="Times New Roman" w:cs="Times New Roman"/>
                <w:b/>
                <w:bCs/>
                <w:color w:val="auto"/>
                <w:highlight w:val="none"/>
                <w:lang w:val="en-US" w:eastAsia="zh-CN"/>
              </w:rPr>
              <w:t xml:space="preserve">4 </w:t>
            </w:r>
            <w:r>
              <w:rPr>
                <w:rFonts w:hint="default" w:ascii="Times New Roman" w:hAnsi="Times New Roman" w:cs="Times New Roman"/>
                <w:b/>
                <w:bCs/>
                <w:color w:val="auto"/>
                <w:highlight w:val="none"/>
                <w:lang w:val="zh-CN"/>
              </w:rPr>
              <w:t>污染源及影响因子识别</w:t>
            </w:r>
          </w:p>
          <w:tbl>
            <w:tblPr>
              <w:tblStyle w:val="42"/>
              <w:tblW w:w="79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9"/>
              <w:gridCol w:w="2996"/>
              <w:gridCol w:w="1598"/>
              <w:gridCol w:w="1268"/>
              <w:gridCol w:w="9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139" w:type="dxa"/>
                  <w:noWrap w:val="0"/>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环境要素</w:t>
                  </w:r>
                </w:p>
              </w:tc>
              <w:tc>
                <w:tcPr>
                  <w:tcW w:w="2996" w:type="dxa"/>
                  <w:noWrap w:val="0"/>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污染源</w:t>
                  </w:r>
                </w:p>
              </w:tc>
              <w:tc>
                <w:tcPr>
                  <w:tcW w:w="1598" w:type="dxa"/>
                  <w:noWrap w:val="0"/>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污染物类型</w:t>
                  </w:r>
                </w:p>
              </w:tc>
              <w:tc>
                <w:tcPr>
                  <w:tcW w:w="1268" w:type="dxa"/>
                  <w:noWrap w:val="0"/>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污染途径</w:t>
                  </w:r>
                </w:p>
              </w:tc>
              <w:tc>
                <w:tcPr>
                  <w:tcW w:w="979" w:type="dxa"/>
                  <w:noWrap w:val="0"/>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trPr>
              <w:tc>
                <w:tcPr>
                  <w:tcW w:w="1139" w:type="dxa"/>
                  <w:noWrap w:val="0"/>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地下水</w:t>
                  </w:r>
                </w:p>
              </w:tc>
              <w:tc>
                <w:tcPr>
                  <w:tcW w:w="2996" w:type="dxa"/>
                  <w:noWrap w:val="0"/>
                  <w:vAlign w:val="center"/>
                </w:tcPr>
                <w:p>
                  <w:pPr>
                    <w:jc w:val="center"/>
                    <w:rPr>
                      <w:rFonts w:hint="default" w:ascii="Times New Roman" w:hAnsi="Times New Roman" w:cs="Times New Roman"/>
                      <w:color w:val="auto"/>
                      <w:highlight w:val="none"/>
                      <w:lang w:val="en-US"/>
                    </w:rPr>
                  </w:pPr>
                  <w:r>
                    <w:rPr>
                      <w:rFonts w:hint="eastAsia" w:ascii="Times New Roman" w:hAnsi="Times New Roman" w:cs="Times New Roman"/>
                      <w:color w:val="auto"/>
                      <w:highlight w:val="none"/>
                      <w:lang w:eastAsia="zh-CN"/>
                    </w:rPr>
                    <w:t>危废暂存间、</w:t>
                  </w:r>
                  <w:r>
                    <w:rPr>
                      <w:rFonts w:hint="eastAsia" w:ascii="Times New Roman" w:hAnsi="Times New Roman" w:cs="Times New Roman"/>
                      <w:color w:val="auto"/>
                      <w:highlight w:val="none"/>
                      <w:lang w:val="en-US" w:eastAsia="zh-CN"/>
                    </w:rPr>
                    <w:t>喷漆房、漆库房</w:t>
                  </w:r>
                </w:p>
              </w:tc>
              <w:tc>
                <w:tcPr>
                  <w:tcW w:w="1598" w:type="dxa"/>
                  <w:noWrap w:val="0"/>
                  <w:vAlign w:val="center"/>
                </w:tcPr>
                <w:p>
                  <w:pPr>
                    <w:jc w:val="center"/>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eastAsia="zh-CN"/>
                    </w:rPr>
                    <w:t>石油类</w:t>
                  </w:r>
                  <w:r>
                    <w:rPr>
                      <w:rFonts w:hint="eastAsia" w:ascii="Times New Roman" w:hAnsi="Times New Roman" w:cs="Times New Roman"/>
                      <w:color w:val="auto"/>
                      <w:highlight w:val="none"/>
                      <w:lang w:val="en-US" w:eastAsia="zh-CN"/>
                    </w:rPr>
                    <w:t>、有机物</w:t>
                  </w:r>
                </w:p>
              </w:tc>
              <w:tc>
                <w:tcPr>
                  <w:tcW w:w="1268" w:type="dxa"/>
                  <w:noWrap w:val="0"/>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垂直渗透</w:t>
                  </w:r>
                </w:p>
              </w:tc>
              <w:tc>
                <w:tcPr>
                  <w:tcW w:w="979" w:type="dxa"/>
                  <w:noWrap w:val="0"/>
                  <w:vAlign w:val="center"/>
                </w:tcPr>
                <w:p>
                  <w:pPr>
                    <w:jc w:val="center"/>
                    <w:rPr>
                      <w:rFonts w:hint="eastAsia" w:ascii="Times New Roman" w:hAnsi="Times New Roman" w:eastAsia="宋体" w:cs="Times New Roman"/>
                      <w:color w:val="auto"/>
                      <w:highlight w:val="none"/>
                      <w:lang w:eastAsia="zh-CN"/>
                    </w:rPr>
                  </w:pPr>
                  <w:r>
                    <w:rPr>
                      <w:rFonts w:hint="eastAsia" w:ascii="Times New Roman" w:hAnsi="Times New Roman" w:cs="Times New Roman"/>
                      <w:color w:val="auto"/>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trPr>
              <w:tc>
                <w:tcPr>
                  <w:tcW w:w="1139" w:type="dxa"/>
                  <w:noWrap w:val="0"/>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土壤</w:t>
                  </w:r>
                </w:p>
              </w:tc>
              <w:tc>
                <w:tcPr>
                  <w:tcW w:w="2996" w:type="dxa"/>
                  <w:noWrap w:val="0"/>
                  <w:vAlign w:val="center"/>
                </w:tcPr>
                <w:p>
                  <w:pPr>
                    <w:jc w:val="center"/>
                    <w:rPr>
                      <w:rFonts w:hint="default" w:ascii="Times New Roman" w:hAnsi="Times New Roman" w:cs="Times New Roman"/>
                      <w:color w:val="auto"/>
                      <w:highlight w:val="none"/>
                    </w:rPr>
                  </w:pPr>
                  <w:r>
                    <w:rPr>
                      <w:rFonts w:hint="eastAsia" w:ascii="Times New Roman" w:hAnsi="Times New Roman" w:cs="Times New Roman"/>
                      <w:color w:val="auto"/>
                      <w:highlight w:val="none"/>
                      <w:lang w:eastAsia="zh-CN"/>
                    </w:rPr>
                    <w:t>危废暂存间、</w:t>
                  </w:r>
                  <w:r>
                    <w:rPr>
                      <w:rFonts w:hint="eastAsia" w:ascii="Times New Roman" w:hAnsi="Times New Roman" w:cs="Times New Roman"/>
                      <w:color w:val="auto"/>
                      <w:highlight w:val="none"/>
                      <w:lang w:val="en-US" w:eastAsia="zh-CN"/>
                    </w:rPr>
                    <w:t>喷漆房、漆库房</w:t>
                  </w:r>
                </w:p>
              </w:tc>
              <w:tc>
                <w:tcPr>
                  <w:tcW w:w="1598" w:type="dxa"/>
                  <w:noWrap w:val="0"/>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石油类</w:t>
                  </w:r>
                  <w:r>
                    <w:rPr>
                      <w:rFonts w:hint="eastAsia" w:ascii="Times New Roman" w:hAnsi="Times New Roman" w:cs="Times New Roman"/>
                      <w:color w:val="auto"/>
                      <w:highlight w:val="none"/>
                      <w:lang w:val="en-US" w:eastAsia="zh-CN"/>
                    </w:rPr>
                    <w:t>、有机物</w:t>
                  </w:r>
                </w:p>
              </w:tc>
              <w:tc>
                <w:tcPr>
                  <w:tcW w:w="1268" w:type="dxa"/>
                  <w:noWrap w:val="0"/>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垂直渗透</w:t>
                  </w:r>
                </w:p>
              </w:tc>
              <w:tc>
                <w:tcPr>
                  <w:tcW w:w="979" w:type="dxa"/>
                  <w:noWrap w:val="0"/>
                  <w:vAlign w:val="center"/>
                </w:tcPr>
                <w:p>
                  <w:pPr>
                    <w:jc w:val="center"/>
                    <w:rPr>
                      <w:rFonts w:hint="eastAsia" w:ascii="Times New Roman" w:hAnsi="Times New Roman" w:eastAsia="宋体" w:cs="Times New Roman"/>
                      <w:color w:val="auto"/>
                      <w:highlight w:val="none"/>
                      <w:lang w:eastAsia="zh-CN"/>
                    </w:rPr>
                  </w:pPr>
                  <w:r>
                    <w:rPr>
                      <w:rFonts w:hint="eastAsia" w:ascii="Times New Roman" w:hAnsi="Times New Roman" w:cs="Times New Roman"/>
                      <w:color w:val="auto"/>
                      <w:highlight w:val="none"/>
                      <w:lang w:val="en-US" w:eastAsia="zh-CN"/>
                    </w:rPr>
                    <w:t>/</w:t>
                  </w:r>
                </w:p>
              </w:tc>
            </w:tr>
          </w:tbl>
          <w:p>
            <w:pPr>
              <w:spacing w:line="360" w:lineRule="auto"/>
              <w:ind w:firstLine="442" w:firstLineChars="200"/>
              <w:rPr>
                <w:rFonts w:hint="default" w:ascii="Times New Roman" w:hAnsi="Times New Roman" w:cs="Times New Roman"/>
                <w:b/>
                <w:bCs w:val="0"/>
                <w:color w:val="auto"/>
                <w:sz w:val="22"/>
                <w:szCs w:val="22"/>
                <w:highlight w:val="none"/>
                <w:lang w:eastAsia="zh-CN"/>
              </w:rPr>
            </w:pPr>
            <w:r>
              <w:rPr>
                <w:rFonts w:hint="default" w:ascii="Times New Roman" w:hAnsi="Times New Roman" w:cs="Times New Roman"/>
                <w:b/>
                <w:bCs w:val="0"/>
                <w:color w:val="auto"/>
                <w:sz w:val="22"/>
                <w:szCs w:val="22"/>
                <w:highlight w:val="none"/>
                <w:lang w:eastAsia="zh-CN"/>
              </w:rPr>
              <w:t>5.2防控措施</w:t>
            </w:r>
          </w:p>
          <w:p>
            <w:pPr>
              <w:spacing w:line="360" w:lineRule="auto"/>
              <w:ind w:firstLine="440" w:firstLineChars="200"/>
              <w:rPr>
                <w:rFonts w:hint="default" w:ascii="Times New Roman" w:hAnsi="Times New Roman" w:eastAsia="宋体" w:cs="Times New Roman"/>
                <w:bCs/>
                <w:color w:val="000000"/>
                <w:sz w:val="22"/>
                <w:szCs w:val="22"/>
                <w:highlight w:val="none"/>
                <w:lang w:eastAsia="zh-CN"/>
              </w:rPr>
            </w:pPr>
            <w:r>
              <w:rPr>
                <w:rFonts w:hint="default" w:ascii="Times New Roman" w:hAnsi="Times New Roman" w:cs="Times New Roman"/>
                <w:bCs/>
                <w:color w:val="auto"/>
                <w:sz w:val="22"/>
                <w:szCs w:val="22"/>
                <w:highlight w:val="none"/>
                <w:lang w:eastAsia="zh-CN"/>
              </w:rPr>
              <w:t>严格划分防渗区域，针对各防渗区采取相应的防渗措施。</w:t>
            </w:r>
            <w:r>
              <w:rPr>
                <w:rFonts w:hint="eastAsia" w:ascii="Times New Roman" w:hAnsi="Times New Roman" w:cs="Times New Roman"/>
                <w:bCs/>
                <w:color w:val="auto"/>
                <w:sz w:val="22"/>
                <w:szCs w:val="22"/>
                <w:highlight w:val="none"/>
                <w:lang w:eastAsia="zh-CN"/>
              </w:rPr>
              <w:t>项目在厂房内东侧设置危废暂存间（约10m</w:t>
            </w:r>
            <w:r>
              <w:rPr>
                <w:rFonts w:hint="eastAsia" w:ascii="Times New Roman" w:hAnsi="Times New Roman" w:cs="Times New Roman"/>
                <w:bCs/>
                <w:color w:val="auto"/>
                <w:sz w:val="22"/>
                <w:szCs w:val="22"/>
                <w:highlight w:val="none"/>
                <w:vertAlign w:val="superscript"/>
                <w:lang w:eastAsia="zh-CN"/>
              </w:rPr>
              <w:t>2</w:t>
            </w:r>
            <w:r>
              <w:rPr>
                <w:rFonts w:hint="eastAsia" w:ascii="Times New Roman" w:hAnsi="Times New Roman" w:cs="Times New Roman"/>
                <w:bCs/>
                <w:color w:val="auto"/>
                <w:sz w:val="22"/>
                <w:szCs w:val="22"/>
                <w:highlight w:val="none"/>
                <w:lang w:eastAsia="zh-CN"/>
              </w:rPr>
              <w:t>），作重点防渗处理，</w:t>
            </w:r>
            <w:r>
              <w:rPr>
                <w:rFonts w:hint="eastAsia" w:eastAsia="宋体" w:cs="Times New Roman"/>
                <w:bCs/>
                <w:color w:val="auto"/>
                <w:sz w:val="22"/>
                <w:szCs w:val="22"/>
                <w:highlight w:val="none"/>
                <w:lang w:eastAsia="zh-CN"/>
              </w:rPr>
              <w:t>按照《危险废物贮存污染控制标准》（GB18597-2023）进行建设：防渗层为至少1 m厚黏土层（渗透系数不大于10</w:t>
            </w:r>
            <w:r>
              <w:rPr>
                <w:rFonts w:hint="eastAsia" w:eastAsia="宋体" w:cs="Times New Roman"/>
                <w:bCs/>
                <w:color w:val="auto"/>
                <w:sz w:val="22"/>
                <w:szCs w:val="22"/>
                <w:highlight w:val="none"/>
                <w:vertAlign w:val="superscript"/>
                <w:lang w:eastAsia="zh-CN"/>
              </w:rPr>
              <w:t>-7</w:t>
            </w:r>
            <w:r>
              <w:rPr>
                <w:rFonts w:hint="eastAsia" w:eastAsia="宋体" w:cs="Times New Roman"/>
                <w:bCs/>
                <w:color w:val="auto"/>
                <w:sz w:val="22"/>
                <w:szCs w:val="22"/>
                <w:highlight w:val="none"/>
                <w:lang w:eastAsia="zh-CN"/>
              </w:rPr>
              <w:t>cm/s），或至少2mm厚高密度聚乙烯膜等人工防渗材料（渗透系数不大于10</w:t>
            </w:r>
            <w:r>
              <w:rPr>
                <w:rFonts w:hint="eastAsia" w:eastAsia="宋体" w:cs="Times New Roman"/>
                <w:bCs/>
                <w:color w:val="auto"/>
                <w:sz w:val="22"/>
                <w:szCs w:val="22"/>
                <w:highlight w:val="none"/>
                <w:vertAlign w:val="superscript"/>
                <w:lang w:eastAsia="zh-CN"/>
              </w:rPr>
              <w:t>-10</w:t>
            </w:r>
            <w:r>
              <w:rPr>
                <w:rFonts w:hint="eastAsia" w:eastAsia="宋体" w:cs="Times New Roman"/>
                <w:bCs/>
                <w:color w:val="auto"/>
                <w:sz w:val="22"/>
                <w:szCs w:val="22"/>
                <w:highlight w:val="none"/>
                <w:lang w:eastAsia="zh-CN"/>
              </w:rPr>
              <w:t>cm/s），或其他防渗性能等效的材料。</w:t>
            </w:r>
          </w:p>
          <w:p>
            <w:pPr>
              <w:spacing w:line="360" w:lineRule="auto"/>
              <w:ind w:firstLine="442" w:firstLineChars="200"/>
              <w:rPr>
                <w:rFonts w:hint="default" w:ascii="Times New Roman" w:hAnsi="Times New Roman" w:cs="Times New Roman"/>
                <w:b/>
                <w:bCs w:val="0"/>
                <w:color w:val="000000"/>
                <w:sz w:val="22"/>
                <w:szCs w:val="22"/>
                <w:highlight w:val="none"/>
                <w:lang w:eastAsia="zh-CN"/>
              </w:rPr>
            </w:pPr>
            <w:r>
              <w:rPr>
                <w:rFonts w:hint="eastAsia" w:ascii="Times New Roman" w:hAnsi="Times New Roman" w:cs="Times New Roman"/>
                <w:b/>
                <w:bCs w:val="0"/>
                <w:color w:val="000000"/>
                <w:sz w:val="22"/>
                <w:szCs w:val="22"/>
                <w:highlight w:val="none"/>
                <w:lang w:val="en-US" w:eastAsia="zh-CN"/>
              </w:rPr>
              <w:t>5.3</w:t>
            </w:r>
            <w:r>
              <w:rPr>
                <w:rFonts w:hint="default" w:ascii="Times New Roman" w:hAnsi="Times New Roman" w:cs="Times New Roman"/>
                <w:b/>
                <w:bCs w:val="0"/>
                <w:color w:val="000000"/>
                <w:sz w:val="22"/>
                <w:szCs w:val="22"/>
                <w:highlight w:val="none"/>
                <w:lang w:eastAsia="zh-CN"/>
              </w:rPr>
              <w:t>分区防渗</w:t>
            </w:r>
          </w:p>
          <w:p>
            <w:pPr>
              <w:spacing w:line="360" w:lineRule="auto"/>
              <w:ind w:firstLine="440" w:firstLineChars="200"/>
              <w:rPr>
                <w:rFonts w:hint="default" w:ascii="Times New Roman" w:hAnsi="Times New Roman" w:eastAsia="宋体" w:cs="Times New Roman"/>
                <w:bCs/>
                <w:color w:val="auto"/>
                <w:sz w:val="22"/>
                <w:szCs w:val="22"/>
                <w:highlight w:val="none"/>
                <w:lang w:eastAsia="zh-CN"/>
              </w:rPr>
            </w:pPr>
            <w:r>
              <w:rPr>
                <w:rFonts w:hint="default" w:ascii="Times New Roman" w:hAnsi="Times New Roman" w:cs="Times New Roman"/>
                <w:bCs/>
                <w:color w:val="auto"/>
                <w:sz w:val="22"/>
                <w:szCs w:val="22"/>
                <w:highlight w:val="none"/>
                <w:lang w:eastAsia="zh-CN"/>
              </w:rPr>
              <w:t>严格划分防渗区域，针对各防渗区采取相应的防渗措施。</w:t>
            </w:r>
          </w:p>
          <w:p>
            <w:pPr>
              <w:pStyle w:val="124"/>
              <w:spacing w:afterLines="0"/>
              <w:rPr>
                <w:rFonts w:hint="default" w:ascii="Times New Roman" w:hAnsi="Times New Roman" w:cs="Times New Roman"/>
                <w:color w:val="auto"/>
                <w:highlight w:val="none"/>
              </w:rPr>
            </w:pPr>
            <w:r>
              <w:rPr>
                <w:rFonts w:hint="default" w:ascii="Times New Roman" w:hAnsi="Times New Roman" w:cs="Times New Roman"/>
                <w:color w:val="auto"/>
                <w:highlight w:val="none"/>
              </w:rPr>
              <w:t>表4-</w:t>
            </w:r>
            <w:r>
              <w:rPr>
                <w:rFonts w:hint="default" w:ascii="Times New Roman" w:hAnsi="Times New Roman" w:cs="Times New Roman"/>
                <w:color w:val="auto"/>
                <w:highlight w:val="none"/>
                <w:lang w:val="en-US" w:eastAsia="zh-CN"/>
              </w:rPr>
              <w:t>1</w:t>
            </w:r>
            <w:r>
              <w:rPr>
                <w:rFonts w:hint="eastAsia" w:ascii="Times New Roman" w:hAnsi="Times New Roman" w:cs="Times New Roman"/>
                <w:color w:val="auto"/>
                <w:highlight w:val="none"/>
                <w:lang w:val="en-US" w:eastAsia="zh-CN"/>
              </w:rPr>
              <w:t>5</w:t>
            </w:r>
            <w:r>
              <w:rPr>
                <w:rFonts w:hint="default" w:ascii="Times New Roman" w:hAnsi="Times New Roman" w:cs="Times New Roman"/>
                <w:color w:val="auto"/>
                <w:highlight w:val="none"/>
              </w:rPr>
              <w:t xml:space="preserve"> 本项目防渗分区及措施</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5"/>
              <w:gridCol w:w="1309"/>
              <w:gridCol w:w="2242"/>
              <w:gridCol w:w="36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685" w:type="dxa"/>
                  <w:noWrap w:val="0"/>
                  <w:vAlign w:val="center"/>
                </w:tcPr>
                <w:p>
                  <w:pPr>
                    <w:jc w:val="center"/>
                    <w:rPr>
                      <w:rFonts w:hint="default" w:ascii="Times New Roman" w:hAnsi="Times New Roman" w:cs="Times New Roman"/>
                      <w:color w:val="000000"/>
                      <w:highlight w:val="none"/>
                    </w:rPr>
                  </w:pPr>
                  <w:r>
                    <w:rPr>
                      <w:rFonts w:hint="default" w:ascii="Times New Roman" w:hAnsi="Times New Roman" w:cs="Times New Roman"/>
                      <w:color w:val="000000"/>
                      <w:highlight w:val="none"/>
                    </w:rPr>
                    <w:t>序号</w:t>
                  </w:r>
                </w:p>
              </w:tc>
              <w:tc>
                <w:tcPr>
                  <w:tcW w:w="1309" w:type="dxa"/>
                  <w:noWrap w:val="0"/>
                  <w:vAlign w:val="center"/>
                </w:tcPr>
                <w:p>
                  <w:pPr>
                    <w:jc w:val="center"/>
                    <w:rPr>
                      <w:rFonts w:hint="default" w:ascii="Times New Roman" w:hAnsi="Times New Roman" w:cs="Times New Roman"/>
                      <w:color w:val="000000"/>
                      <w:highlight w:val="none"/>
                    </w:rPr>
                  </w:pPr>
                  <w:r>
                    <w:rPr>
                      <w:rFonts w:hint="default" w:ascii="Times New Roman" w:hAnsi="Times New Roman" w:cs="Times New Roman"/>
                      <w:color w:val="000000"/>
                      <w:highlight w:val="none"/>
                    </w:rPr>
                    <w:t>防渗分区</w:t>
                  </w:r>
                </w:p>
              </w:tc>
              <w:tc>
                <w:tcPr>
                  <w:tcW w:w="2242" w:type="dxa"/>
                  <w:noWrap w:val="0"/>
                  <w:vAlign w:val="center"/>
                </w:tcPr>
                <w:p>
                  <w:pPr>
                    <w:jc w:val="center"/>
                    <w:rPr>
                      <w:rFonts w:hint="default" w:ascii="Times New Roman" w:hAnsi="Times New Roman" w:cs="Times New Roman"/>
                      <w:color w:val="000000"/>
                      <w:highlight w:val="none"/>
                    </w:rPr>
                  </w:pPr>
                  <w:r>
                    <w:rPr>
                      <w:rFonts w:hint="default" w:ascii="Times New Roman" w:hAnsi="Times New Roman" w:cs="Times New Roman"/>
                      <w:color w:val="000000"/>
                      <w:highlight w:val="none"/>
                    </w:rPr>
                    <w:t>具体范围</w:t>
                  </w:r>
                </w:p>
              </w:tc>
              <w:tc>
                <w:tcPr>
                  <w:tcW w:w="3684" w:type="dxa"/>
                  <w:noWrap w:val="0"/>
                  <w:vAlign w:val="center"/>
                </w:tcPr>
                <w:p>
                  <w:pPr>
                    <w:jc w:val="center"/>
                    <w:rPr>
                      <w:rFonts w:hint="default" w:ascii="Times New Roman" w:hAnsi="Times New Roman" w:cs="Times New Roman"/>
                      <w:color w:val="000000"/>
                      <w:highlight w:val="none"/>
                    </w:rPr>
                  </w:pPr>
                  <w:r>
                    <w:rPr>
                      <w:rFonts w:hint="default" w:ascii="Times New Roman" w:hAnsi="Times New Roman" w:cs="Times New Roman"/>
                      <w:color w:val="000000"/>
                      <w:highlight w:val="none"/>
                    </w:rPr>
                    <w:t>防渗技术要求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85" w:type="dxa"/>
                  <w:vMerge w:val="restart"/>
                  <w:noWrap w:val="0"/>
                  <w:vAlign w:val="center"/>
                </w:tcPr>
                <w:p>
                  <w:pPr>
                    <w:jc w:val="center"/>
                    <w:rPr>
                      <w:rFonts w:hint="default" w:ascii="Times New Roman" w:hAnsi="Times New Roman" w:cs="Times New Roman"/>
                      <w:color w:val="000000"/>
                      <w:highlight w:val="none"/>
                    </w:rPr>
                  </w:pPr>
                  <w:r>
                    <w:rPr>
                      <w:rFonts w:hint="default" w:ascii="Times New Roman" w:hAnsi="Times New Roman" w:cs="Times New Roman"/>
                      <w:color w:val="000000"/>
                      <w:highlight w:val="none"/>
                    </w:rPr>
                    <w:t>1</w:t>
                  </w:r>
                </w:p>
              </w:tc>
              <w:tc>
                <w:tcPr>
                  <w:tcW w:w="1309" w:type="dxa"/>
                  <w:vMerge w:val="restart"/>
                  <w:noWrap w:val="0"/>
                  <w:vAlign w:val="center"/>
                </w:tcPr>
                <w:p>
                  <w:pPr>
                    <w:jc w:val="center"/>
                    <w:rPr>
                      <w:rFonts w:hint="default" w:ascii="Times New Roman" w:hAnsi="Times New Roman" w:cs="Times New Roman"/>
                      <w:color w:val="000000"/>
                      <w:highlight w:val="none"/>
                    </w:rPr>
                  </w:pPr>
                  <w:r>
                    <w:rPr>
                      <w:rFonts w:hint="default" w:ascii="Times New Roman" w:hAnsi="Times New Roman" w:cs="Times New Roman"/>
                      <w:color w:val="000000"/>
                      <w:highlight w:val="none"/>
                    </w:rPr>
                    <w:t>重点防渗区</w:t>
                  </w:r>
                </w:p>
              </w:tc>
              <w:tc>
                <w:tcPr>
                  <w:tcW w:w="2242" w:type="dxa"/>
                  <w:noWrap w:val="0"/>
                  <w:vAlign w:val="center"/>
                </w:tcPr>
                <w:p>
                  <w:pPr>
                    <w:jc w:val="center"/>
                    <w:rPr>
                      <w:rFonts w:hint="default" w:ascii="Times New Roman" w:hAnsi="Times New Roman" w:cs="Times New Roman"/>
                      <w:color w:val="000000"/>
                      <w:highlight w:val="none"/>
                    </w:rPr>
                  </w:pPr>
                  <w:r>
                    <w:rPr>
                      <w:rFonts w:hint="default" w:ascii="Times New Roman" w:hAnsi="Times New Roman" w:cs="Times New Roman"/>
                      <w:color w:val="000000"/>
                      <w:highlight w:val="none"/>
                      <w:lang w:eastAsia="zh-CN"/>
                    </w:rPr>
                    <w:t>危废暂存间</w:t>
                  </w:r>
                </w:p>
              </w:tc>
              <w:tc>
                <w:tcPr>
                  <w:tcW w:w="3684" w:type="dxa"/>
                  <w:noWrap w:val="0"/>
                  <w:vAlign w:val="center"/>
                </w:tcPr>
                <w:p>
                  <w:pPr>
                    <w:jc w:val="center"/>
                    <w:rPr>
                      <w:rFonts w:hint="default" w:ascii="Times New Roman" w:hAnsi="Times New Roman" w:cs="Times New Roman"/>
                      <w:color w:val="000000"/>
                      <w:highlight w:val="none"/>
                    </w:rPr>
                  </w:pPr>
                  <w:r>
                    <w:rPr>
                      <w:rFonts w:hint="default" w:ascii="Times New Roman" w:hAnsi="Times New Roman" w:cs="Times New Roman"/>
                      <w:color w:val="000000"/>
                      <w:highlight w:val="none"/>
                    </w:rPr>
                    <w:t>防渗层为至少1 m厚黏土层（渗透系数不大于10</w:t>
                  </w:r>
                  <w:r>
                    <w:rPr>
                      <w:rFonts w:hint="default" w:ascii="Times New Roman" w:hAnsi="Times New Roman" w:cs="Times New Roman"/>
                      <w:color w:val="000000"/>
                      <w:highlight w:val="none"/>
                      <w:vertAlign w:val="superscript"/>
                    </w:rPr>
                    <w:t>-7</w:t>
                  </w:r>
                  <w:r>
                    <w:rPr>
                      <w:rFonts w:hint="default" w:ascii="Times New Roman" w:hAnsi="Times New Roman" w:cs="Times New Roman"/>
                      <w:color w:val="000000"/>
                      <w:highlight w:val="none"/>
                    </w:rPr>
                    <w:t>cm/s），或至少2mm厚高密度聚乙烯膜等人工防渗材料（渗透系数不大于10</w:t>
                  </w:r>
                  <w:r>
                    <w:rPr>
                      <w:rFonts w:hint="default" w:ascii="Times New Roman" w:hAnsi="Times New Roman" w:cs="Times New Roman"/>
                      <w:color w:val="000000"/>
                      <w:highlight w:val="none"/>
                      <w:vertAlign w:val="superscript"/>
                    </w:rPr>
                    <w:t>-10</w:t>
                  </w:r>
                  <w:r>
                    <w:rPr>
                      <w:rFonts w:hint="default" w:ascii="Times New Roman" w:hAnsi="Times New Roman" w:cs="Times New Roman"/>
                      <w:color w:val="000000"/>
                      <w:highlight w:val="none"/>
                    </w:rPr>
                    <w:t>cm/s），或其他防渗性能等效的材料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85" w:type="dxa"/>
                  <w:vMerge w:val="continue"/>
                  <w:noWrap w:val="0"/>
                  <w:vAlign w:val="center"/>
                </w:tcPr>
                <w:p>
                  <w:pPr>
                    <w:jc w:val="center"/>
                    <w:rPr>
                      <w:rFonts w:hint="default" w:ascii="Times New Roman" w:hAnsi="Times New Roman" w:cs="Times New Roman"/>
                      <w:color w:val="000000"/>
                      <w:highlight w:val="none"/>
                    </w:rPr>
                  </w:pPr>
                </w:p>
              </w:tc>
              <w:tc>
                <w:tcPr>
                  <w:tcW w:w="1309" w:type="dxa"/>
                  <w:vMerge w:val="continue"/>
                  <w:noWrap w:val="0"/>
                  <w:vAlign w:val="center"/>
                </w:tcPr>
                <w:p>
                  <w:pPr>
                    <w:jc w:val="center"/>
                    <w:rPr>
                      <w:rFonts w:hint="default" w:ascii="Times New Roman" w:hAnsi="Times New Roman" w:cs="Times New Roman"/>
                      <w:color w:val="000000"/>
                      <w:highlight w:val="none"/>
                    </w:rPr>
                  </w:pPr>
                </w:p>
              </w:tc>
              <w:tc>
                <w:tcPr>
                  <w:tcW w:w="2242" w:type="dxa"/>
                  <w:noWrap w:val="0"/>
                  <w:vAlign w:val="center"/>
                </w:tcPr>
                <w:p>
                  <w:pPr>
                    <w:jc w:val="center"/>
                    <w:rPr>
                      <w:rFonts w:hint="default" w:ascii="Times New Roman" w:hAnsi="Times New Roman" w:cs="Times New Roman"/>
                      <w:color w:val="000000"/>
                      <w:highlight w:val="none"/>
                      <w:lang w:val="en-US" w:eastAsia="zh-CN"/>
                    </w:rPr>
                  </w:pPr>
                  <w:r>
                    <w:rPr>
                      <w:rFonts w:hint="eastAsia" w:ascii="Times New Roman" w:hAnsi="Times New Roman" w:cs="Times New Roman"/>
                      <w:color w:val="auto"/>
                      <w:highlight w:val="none"/>
                      <w:lang w:eastAsia="zh-CN"/>
                    </w:rPr>
                    <w:t>漆库房、喷漆房</w:t>
                  </w:r>
                </w:p>
              </w:tc>
              <w:tc>
                <w:tcPr>
                  <w:tcW w:w="3684" w:type="dxa"/>
                  <w:noWrap w:val="0"/>
                  <w:vAlign w:val="center"/>
                </w:tcPr>
                <w:p>
                  <w:pPr>
                    <w:jc w:val="center"/>
                    <w:rPr>
                      <w:rFonts w:hint="default" w:ascii="Times New Roman" w:hAnsi="Times New Roman" w:cs="Times New Roman"/>
                      <w:color w:val="000000"/>
                      <w:highlight w:val="none"/>
                    </w:rPr>
                  </w:pPr>
                  <w:r>
                    <w:rPr>
                      <w:rFonts w:hint="default" w:ascii="Times New Roman" w:hAnsi="Times New Roman" w:cs="Times New Roman"/>
                      <w:color w:val="auto"/>
                      <w:highlight w:val="none"/>
                    </w:rPr>
                    <w:t>等效黏土防渗层MB≥6.0m，K≤1×10</w:t>
                  </w:r>
                  <w:r>
                    <w:rPr>
                      <w:rFonts w:hint="default" w:ascii="Times New Roman" w:hAnsi="Times New Roman" w:cs="Times New Roman"/>
                      <w:color w:val="auto"/>
                      <w:highlight w:val="none"/>
                      <w:vertAlign w:val="superscript"/>
                    </w:rPr>
                    <w:t>-7</w:t>
                  </w:r>
                  <w:r>
                    <w:rPr>
                      <w:rFonts w:hint="default" w:ascii="Times New Roman" w:hAnsi="Times New Roman" w:cs="Times New Roman"/>
                      <w:color w:val="auto"/>
                      <w:highlight w:val="none"/>
                    </w:rPr>
                    <w:t>cm/s；或参照GB18598执行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685" w:type="dxa"/>
                  <w:noWrap w:val="0"/>
                  <w:vAlign w:val="center"/>
                </w:tcPr>
                <w:p>
                  <w:pPr>
                    <w:jc w:val="center"/>
                    <w:rPr>
                      <w:rFonts w:hint="default" w:ascii="Times New Roman" w:hAnsi="Times New Roman" w:cs="Times New Roman"/>
                      <w:color w:val="000000"/>
                      <w:highlight w:val="none"/>
                    </w:rPr>
                  </w:pPr>
                  <w:r>
                    <w:rPr>
                      <w:rFonts w:hint="default" w:ascii="Times New Roman" w:hAnsi="Times New Roman" w:cs="Times New Roman"/>
                      <w:color w:val="000000"/>
                      <w:highlight w:val="none"/>
                    </w:rPr>
                    <w:t>2</w:t>
                  </w:r>
                </w:p>
              </w:tc>
              <w:tc>
                <w:tcPr>
                  <w:tcW w:w="1309" w:type="dxa"/>
                  <w:noWrap w:val="0"/>
                  <w:vAlign w:val="center"/>
                </w:tcPr>
                <w:p>
                  <w:pPr>
                    <w:jc w:val="center"/>
                    <w:rPr>
                      <w:rFonts w:hint="default" w:ascii="Times New Roman" w:hAnsi="Times New Roman" w:cs="Times New Roman"/>
                      <w:color w:val="000000"/>
                      <w:highlight w:val="none"/>
                    </w:rPr>
                  </w:pPr>
                  <w:r>
                    <w:rPr>
                      <w:rFonts w:hint="default" w:ascii="Times New Roman" w:hAnsi="Times New Roman" w:cs="Times New Roman"/>
                      <w:color w:val="000000"/>
                      <w:highlight w:val="none"/>
                    </w:rPr>
                    <w:t>一般防渗区</w:t>
                  </w:r>
                </w:p>
              </w:tc>
              <w:tc>
                <w:tcPr>
                  <w:tcW w:w="2242" w:type="dxa"/>
                  <w:noWrap w:val="0"/>
                  <w:vAlign w:val="center"/>
                </w:tcPr>
                <w:p>
                  <w:pPr>
                    <w:jc w:val="center"/>
                    <w:rPr>
                      <w:rFonts w:hint="default" w:ascii="Times New Roman" w:hAnsi="Times New Roman" w:cs="Times New Roman"/>
                      <w:color w:val="000000"/>
                      <w:highlight w:val="none"/>
                      <w:lang w:val="en-US"/>
                    </w:rPr>
                  </w:pPr>
                  <w:r>
                    <w:rPr>
                      <w:rFonts w:hint="eastAsia" w:ascii="Times New Roman" w:hAnsi="Times New Roman" w:cs="Times New Roman"/>
                      <w:color w:val="auto"/>
                      <w:szCs w:val="21"/>
                      <w:highlight w:val="none"/>
                      <w:lang w:val="en-US" w:eastAsia="zh-CN"/>
                    </w:rPr>
                    <w:t>循环水池、生产区</w:t>
                  </w:r>
                </w:p>
              </w:tc>
              <w:tc>
                <w:tcPr>
                  <w:tcW w:w="3684" w:type="dxa"/>
                  <w:noWrap w:val="0"/>
                  <w:vAlign w:val="center"/>
                </w:tcPr>
                <w:p>
                  <w:pPr>
                    <w:jc w:val="center"/>
                    <w:rPr>
                      <w:rFonts w:hint="default" w:ascii="Times New Roman" w:hAnsi="Times New Roman" w:cs="Times New Roman"/>
                      <w:color w:val="000000"/>
                      <w:highlight w:val="none"/>
                    </w:rPr>
                  </w:pPr>
                  <w:r>
                    <w:rPr>
                      <w:rFonts w:hint="default" w:ascii="Times New Roman" w:hAnsi="Times New Roman" w:cs="Times New Roman"/>
                      <w:color w:val="auto"/>
                      <w:highlight w:val="none"/>
                    </w:rPr>
                    <w:t>等效黏土防渗层MB≥1.5m，K≤1×10</w:t>
                  </w:r>
                  <w:r>
                    <w:rPr>
                      <w:rFonts w:hint="default" w:ascii="Times New Roman" w:hAnsi="Times New Roman" w:cs="Times New Roman"/>
                      <w:color w:val="auto"/>
                      <w:highlight w:val="none"/>
                      <w:vertAlign w:val="superscript"/>
                    </w:rPr>
                    <w:t>-7</w:t>
                  </w:r>
                  <w:r>
                    <w:rPr>
                      <w:rFonts w:hint="default" w:ascii="Times New Roman" w:hAnsi="Times New Roman" w:cs="Times New Roman"/>
                      <w:color w:val="auto"/>
                      <w:highlight w:val="none"/>
                    </w:rPr>
                    <w:t>cm/s；或参照GB16889执行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685" w:type="dxa"/>
                  <w:noWrap w:val="0"/>
                  <w:vAlign w:val="center"/>
                </w:tcPr>
                <w:p>
                  <w:pPr>
                    <w:jc w:val="center"/>
                    <w:rPr>
                      <w:rFonts w:hint="default" w:ascii="Times New Roman" w:hAnsi="Times New Roman" w:eastAsia="宋体" w:cs="Times New Roman"/>
                      <w:color w:val="000000"/>
                      <w:highlight w:val="none"/>
                      <w:lang w:val="en-US" w:eastAsia="zh-CN"/>
                    </w:rPr>
                  </w:pPr>
                  <w:r>
                    <w:rPr>
                      <w:rFonts w:hint="default" w:ascii="Times New Roman" w:hAnsi="Times New Roman" w:cs="Times New Roman"/>
                      <w:color w:val="000000"/>
                      <w:highlight w:val="none"/>
                      <w:lang w:val="en-US" w:eastAsia="zh-CN"/>
                    </w:rPr>
                    <w:t>3</w:t>
                  </w:r>
                </w:p>
              </w:tc>
              <w:tc>
                <w:tcPr>
                  <w:tcW w:w="1309" w:type="dxa"/>
                  <w:noWrap w:val="0"/>
                  <w:vAlign w:val="center"/>
                </w:tcPr>
                <w:p>
                  <w:pPr>
                    <w:jc w:val="center"/>
                    <w:rPr>
                      <w:rFonts w:hint="default" w:ascii="Times New Roman" w:hAnsi="Times New Roman" w:eastAsia="宋体" w:cs="Times New Roman"/>
                      <w:color w:val="000000"/>
                      <w:highlight w:val="none"/>
                      <w:lang w:val="en-US" w:eastAsia="zh-CN"/>
                    </w:rPr>
                  </w:pPr>
                  <w:r>
                    <w:rPr>
                      <w:rFonts w:hint="default" w:ascii="Times New Roman" w:hAnsi="Times New Roman" w:cs="Times New Roman"/>
                      <w:color w:val="000000"/>
                      <w:highlight w:val="none"/>
                      <w:lang w:val="en-US" w:eastAsia="zh-CN"/>
                    </w:rPr>
                    <w:t>简单防渗区</w:t>
                  </w:r>
                </w:p>
              </w:tc>
              <w:tc>
                <w:tcPr>
                  <w:tcW w:w="2242" w:type="dxa"/>
                  <w:noWrap w:val="0"/>
                  <w:vAlign w:val="center"/>
                </w:tcPr>
                <w:p>
                  <w:pPr>
                    <w:jc w:val="center"/>
                    <w:rPr>
                      <w:rFonts w:hint="default" w:ascii="Times New Roman" w:hAnsi="Times New Roman" w:cs="Times New Roman"/>
                      <w:color w:val="000000"/>
                      <w:highlight w:val="none"/>
                    </w:rPr>
                  </w:pPr>
                  <w:r>
                    <w:rPr>
                      <w:rFonts w:hint="default" w:ascii="Times New Roman" w:hAnsi="Times New Roman" w:cs="Times New Roman"/>
                      <w:color w:val="000000"/>
                      <w:highlight w:val="none"/>
                    </w:rPr>
                    <w:t>生活办公等其他区域</w:t>
                  </w:r>
                </w:p>
              </w:tc>
              <w:tc>
                <w:tcPr>
                  <w:tcW w:w="3684" w:type="dxa"/>
                  <w:noWrap w:val="0"/>
                  <w:vAlign w:val="center"/>
                </w:tcPr>
                <w:p>
                  <w:pPr>
                    <w:jc w:val="center"/>
                    <w:rPr>
                      <w:rFonts w:hint="default" w:ascii="Times New Roman" w:hAnsi="Times New Roman" w:cs="Times New Roman"/>
                      <w:color w:val="000000"/>
                      <w:highlight w:val="none"/>
                    </w:rPr>
                  </w:pPr>
                  <w:r>
                    <w:rPr>
                      <w:rFonts w:hint="default" w:ascii="Times New Roman" w:hAnsi="Times New Roman" w:cs="Times New Roman"/>
                      <w:color w:val="000000"/>
                      <w:highlight w:val="none"/>
                    </w:rPr>
                    <w:t>一般地面硬化</w:t>
                  </w:r>
                </w:p>
              </w:tc>
            </w:tr>
          </w:tbl>
          <w:p>
            <w:pPr>
              <w:spacing w:line="360" w:lineRule="auto"/>
              <w:ind w:firstLine="442" w:firstLineChars="200"/>
              <w:rPr>
                <w:rFonts w:hint="default" w:ascii="Times New Roman" w:hAnsi="Times New Roman" w:cs="Times New Roman"/>
                <w:b/>
                <w:bCs/>
                <w:color w:val="auto"/>
                <w:sz w:val="22"/>
                <w:szCs w:val="22"/>
                <w:highlight w:val="none"/>
              </w:rPr>
            </w:pPr>
            <w:r>
              <w:rPr>
                <w:rFonts w:hint="default" w:ascii="Times New Roman" w:hAnsi="Times New Roman" w:cs="Times New Roman"/>
                <w:b/>
                <w:bCs/>
                <w:color w:val="auto"/>
                <w:sz w:val="22"/>
                <w:szCs w:val="22"/>
                <w:highlight w:val="none"/>
              </w:rPr>
              <w:t>5.4 跟踪监测要求</w:t>
            </w:r>
          </w:p>
          <w:p>
            <w:pPr>
              <w:spacing w:line="360" w:lineRule="auto"/>
              <w:ind w:firstLine="440" w:firstLineChars="200"/>
              <w:rPr>
                <w:rFonts w:hint="eastAsia" w:ascii="Times New Roman" w:hAnsi="Times New Roman" w:cs="Times New Roman"/>
                <w:color w:val="auto"/>
                <w:sz w:val="22"/>
                <w:szCs w:val="22"/>
                <w:highlight w:val="none"/>
                <w:lang w:eastAsia="zh-CN"/>
              </w:rPr>
            </w:pPr>
            <w:r>
              <w:rPr>
                <w:rFonts w:hint="eastAsia" w:ascii="Times New Roman" w:hAnsi="Times New Roman" w:cs="Times New Roman"/>
                <w:color w:val="auto"/>
                <w:sz w:val="22"/>
                <w:szCs w:val="22"/>
                <w:highlight w:val="none"/>
                <w:lang w:eastAsia="zh-CN"/>
              </w:rPr>
              <w:t>项目按照环评要求采取了“源头控制、分区防渗”的措施，对厂区内可能发生入渗污染的单位元采取了防渗措施，正常运营时，不会对地下水及土壤环境造成影响，因此项目不设置跟踪监测计划。</w:t>
            </w:r>
          </w:p>
          <w:p>
            <w:pPr>
              <w:spacing w:line="360" w:lineRule="auto"/>
              <w:ind w:firstLine="442" w:firstLineChars="200"/>
              <w:rPr>
                <w:rFonts w:hint="eastAsia" w:ascii="Times New Roman" w:hAnsi="Times New Roman" w:eastAsia="宋体" w:cs="Times New Roman"/>
                <w:b/>
                <w:bCs/>
                <w:color w:val="auto"/>
                <w:sz w:val="22"/>
                <w:szCs w:val="22"/>
                <w:highlight w:val="none"/>
                <w:lang w:val="en-US" w:eastAsia="zh-CN"/>
              </w:rPr>
            </w:pPr>
            <w:r>
              <w:rPr>
                <w:rFonts w:hint="eastAsia" w:ascii="Times New Roman" w:hAnsi="Times New Roman" w:cs="Times New Roman"/>
                <w:b/>
                <w:bCs/>
                <w:color w:val="auto"/>
                <w:sz w:val="22"/>
                <w:szCs w:val="22"/>
                <w:highlight w:val="none"/>
                <w:lang w:val="en-US" w:eastAsia="zh-CN"/>
              </w:rPr>
              <w:t>6、生态环境</w:t>
            </w:r>
          </w:p>
          <w:p>
            <w:pPr>
              <w:spacing w:line="360" w:lineRule="auto"/>
              <w:ind w:firstLine="440" w:firstLineChars="200"/>
              <w:rPr>
                <w:rFonts w:hint="default" w:ascii="Times New Roman" w:hAnsi="Times New Roman" w:cs="Times New Roman"/>
                <w:b/>
                <w:bCs/>
                <w:color w:val="auto"/>
                <w:sz w:val="22"/>
                <w:szCs w:val="22"/>
                <w:highlight w:val="none"/>
              </w:rPr>
            </w:pPr>
            <w:r>
              <w:rPr>
                <w:rFonts w:hint="default" w:ascii="Times New Roman" w:hAnsi="Times New Roman" w:cs="Times New Roman"/>
                <w:b w:val="0"/>
                <w:bCs w:val="0"/>
                <w:color w:val="auto"/>
                <w:sz w:val="22"/>
                <w:szCs w:val="22"/>
                <w:highlight w:val="none"/>
              </w:rPr>
              <w:t>本项目</w:t>
            </w:r>
            <w:r>
              <w:rPr>
                <w:rFonts w:hint="eastAsia" w:ascii="Times New Roman" w:hAnsi="Times New Roman" w:cs="Times New Roman"/>
                <w:b w:val="0"/>
                <w:bCs w:val="0"/>
                <w:color w:val="auto"/>
                <w:sz w:val="22"/>
                <w:szCs w:val="22"/>
                <w:highlight w:val="none"/>
                <w:lang w:eastAsia="zh-CN"/>
              </w:rPr>
              <w:t>位于工业园区内，</w:t>
            </w:r>
            <w:r>
              <w:rPr>
                <w:rFonts w:hint="default" w:ascii="Times New Roman" w:hAnsi="Times New Roman" w:cs="Times New Roman"/>
                <w:b w:val="0"/>
                <w:bCs w:val="0"/>
                <w:color w:val="auto"/>
                <w:sz w:val="22"/>
                <w:szCs w:val="22"/>
                <w:highlight w:val="none"/>
              </w:rPr>
              <w:t>用地范围内无生态环境保护目标，故不进行生态影响分析。</w:t>
            </w:r>
          </w:p>
          <w:p>
            <w:pPr>
              <w:spacing w:line="360" w:lineRule="auto"/>
              <w:ind w:firstLine="442" w:firstLineChars="200"/>
              <w:rPr>
                <w:rFonts w:hint="default" w:ascii="Times New Roman" w:hAnsi="Times New Roman" w:cs="Times New Roman"/>
                <w:b/>
                <w:bCs/>
                <w:color w:val="auto"/>
                <w:sz w:val="22"/>
                <w:szCs w:val="22"/>
                <w:highlight w:val="none"/>
              </w:rPr>
            </w:pPr>
            <w:r>
              <w:rPr>
                <w:rFonts w:hint="eastAsia" w:ascii="Times New Roman" w:hAnsi="Times New Roman" w:cs="Times New Roman"/>
                <w:b/>
                <w:bCs/>
                <w:color w:val="auto"/>
                <w:sz w:val="22"/>
                <w:szCs w:val="22"/>
                <w:highlight w:val="none"/>
                <w:lang w:val="en-US" w:eastAsia="zh-CN"/>
              </w:rPr>
              <w:t>7</w:t>
            </w:r>
            <w:r>
              <w:rPr>
                <w:rFonts w:hint="default" w:ascii="Times New Roman" w:hAnsi="Times New Roman" w:cs="Times New Roman"/>
                <w:b/>
                <w:bCs/>
                <w:color w:val="auto"/>
                <w:sz w:val="22"/>
                <w:szCs w:val="22"/>
                <w:highlight w:val="none"/>
              </w:rPr>
              <w:t>、环境风险</w:t>
            </w:r>
          </w:p>
          <w:p>
            <w:pPr>
              <w:spacing w:line="360" w:lineRule="auto"/>
              <w:ind w:firstLine="442" w:firstLineChars="200"/>
              <w:rPr>
                <w:rFonts w:hint="default" w:ascii="Times New Roman" w:hAnsi="Times New Roman" w:cs="Times New Roman"/>
                <w:b/>
                <w:bCs/>
                <w:color w:val="auto"/>
                <w:sz w:val="22"/>
                <w:szCs w:val="22"/>
                <w:highlight w:val="none"/>
              </w:rPr>
            </w:pPr>
            <w:r>
              <w:rPr>
                <w:rFonts w:hint="eastAsia" w:ascii="Times New Roman" w:hAnsi="Times New Roman" w:cs="Times New Roman"/>
                <w:b/>
                <w:bCs/>
                <w:color w:val="auto"/>
                <w:sz w:val="22"/>
                <w:szCs w:val="22"/>
                <w:highlight w:val="none"/>
                <w:lang w:val="en-US" w:eastAsia="zh-CN"/>
              </w:rPr>
              <w:t>7</w:t>
            </w:r>
            <w:r>
              <w:rPr>
                <w:rFonts w:hint="default" w:ascii="Times New Roman" w:hAnsi="Times New Roman" w:cs="Times New Roman"/>
                <w:b/>
                <w:bCs/>
                <w:color w:val="auto"/>
                <w:sz w:val="22"/>
                <w:szCs w:val="22"/>
                <w:highlight w:val="none"/>
              </w:rPr>
              <w:t>.1 风险调查</w:t>
            </w:r>
          </w:p>
          <w:p>
            <w:pPr>
              <w:autoSpaceDE w:val="0"/>
              <w:autoSpaceDN w:val="0"/>
              <w:adjustRightInd w:val="0"/>
              <w:spacing w:line="360" w:lineRule="auto"/>
              <w:ind w:firstLine="440" w:firstLineChars="200"/>
              <w:rPr>
                <w:rFonts w:hint="default" w:ascii="Times New Roman" w:hAnsi="Times New Roman" w:cs="Times New Roman"/>
                <w:color w:val="auto"/>
                <w:highlight w:val="yellow"/>
              </w:rPr>
            </w:pPr>
            <w:r>
              <w:rPr>
                <w:rFonts w:hint="default" w:ascii="Times New Roman" w:hAnsi="Times New Roman" w:cs="Times New Roman"/>
                <w:color w:val="auto"/>
                <w:sz w:val="22"/>
                <w:szCs w:val="22"/>
                <w:highlight w:val="none"/>
              </w:rPr>
              <w:t>根据《建设项目环境风险评价技术导则》（HJ 169-2018）附录B和《</w:t>
            </w:r>
            <w:r>
              <w:rPr>
                <w:rFonts w:hint="eastAsia" w:ascii="Times New Roman" w:hAnsi="Times New Roman" w:cs="Times New Roman"/>
                <w:color w:val="auto"/>
                <w:sz w:val="22"/>
                <w:szCs w:val="22"/>
                <w:highlight w:val="none"/>
                <w:lang w:eastAsia="zh-CN"/>
              </w:rPr>
              <w:t>化学品分类和标签规范</w:t>
            </w:r>
            <w:r>
              <w:rPr>
                <w:rFonts w:hint="eastAsia" w:ascii="Times New Roman" w:hAnsi="Times New Roman" w:cs="Times New Roman"/>
                <w:color w:val="auto"/>
                <w:sz w:val="22"/>
                <w:szCs w:val="22"/>
                <w:highlight w:val="none"/>
                <w:lang w:val="en-US" w:eastAsia="zh-CN"/>
              </w:rPr>
              <w:t xml:space="preserve"> 第18部分：急性毒性</w:t>
            </w:r>
            <w:r>
              <w:rPr>
                <w:rFonts w:hint="default" w:ascii="Times New Roman" w:hAnsi="Times New Roman" w:cs="Times New Roman"/>
                <w:color w:val="auto"/>
                <w:sz w:val="22"/>
                <w:szCs w:val="22"/>
                <w:highlight w:val="none"/>
              </w:rPr>
              <w:t>》（</w:t>
            </w:r>
            <w:r>
              <w:rPr>
                <w:rFonts w:hint="eastAsia" w:ascii="Times New Roman" w:hAnsi="Times New Roman" w:cs="Times New Roman"/>
                <w:color w:val="auto"/>
                <w:sz w:val="22"/>
                <w:szCs w:val="22"/>
                <w:highlight w:val="none"/>
                <w:lang w:val="en-US" w:eastAsia="zh-CN"/>
              </w:rPr>
              <w:t>GB 30000.18-2013</w:t>
            </w:r>
            <w:r>
              <w:rPr>
                <w:rFonts w:hint="default" w:ascii="Times New Roman" w:hAnsi="Times New Roman" w:cs="Times New Roman"/>
                <w:color w:val="auto"/>
                <w:sz w:val="22"/>
                <w:szCs w:val="22"/>
                <w:highlight w:val="none"/>
              </w:rPr>
              <w:t>），本项目涉及到的</w:t>
            </w:r>
            <w:r>
              <w:rPr>
                <w:rFonts w:hint="default" w:ascii="Times New Roman" w:hAnsi="Times New Roman" w:cs="Times New Roman"/>
                <w:color w:val="auto"/>
                <w:sz w:val="22"/>
                <w:szCs w:val="22"/>
                <w:highlight w:val="none"/>
                <w:lang w:eastAsia="zh-CN"/>
              </w:rPr>
              <w:t>风险</w:t>
            </w:r>
            <w:r>
              <w:rPr>
                <w:rFonts w:hint="default" w:ascii="Times New Roman" w:hAnsi="Times New Roman" w:cs="Times New Roman"/>
                <w:color w:val="auto"/>
                <w:sz w:val="22"/>
                <w:szCs w:val="22"/>
                <w:highlight w:val="none"/>
              </w:rPr>
              <w:t>物质</w:t>
            </w:r>
            <w:r>
              <w:rPr>
                <w:rFonts w:hint="default" w:ascii="Times New Roman" w:hAnsi="Times New Roman" w:cs="Times New Roman"/>
                <w:color w:val="auto"/>
                <w:sz w:val="22"/>
                <w:szCs w:val="22"/>
                <w:highlight w:val="none"/>
                <w:lang w:eastAsia="zh-CN"/>
              </w:rPr>
              <w:t>主要为</w:t>
            </w:r>
            <w:r>
              <w:rPr>
                <w:rFonts w:hint="eastAsia" w:ascii="Times New Roman" w:hAnsi="Times New Roman" w:cs="Times New Roman"/>
                <w:color w:val="auto"/>
                <w:sz w:val="22"/>
                <w:szCs w:val="22"/>
                <w:highlight w:val="none"/>
                <w:lang w:val="en-US" w:eastAsia="zh-CN"/>
              </w:rPr>
              <w:t>油基钻井液中油类成分、润滑油</w:t>
            </w:r>
            <w:r>
              <w:rPr>
                <w:rFonts w:hint="eastAsia" w:ascii="Times New Roman" w:hAnsi="Times New Roman" w:cs="Times New Roman"/>
                <w:color w:val="auto"/>
                <w:sz w:val="22"/>
                <w:szCs w:val="22"/>
                <w:highlight w:val="none"/>
                <w:lang w:eastAsia="zh-CN"/>
              </w:rPr>
              <w:t>、废活性炭和废润滑油，废活性炭临界量参照健康危害急性毒性物质（类别</w:t>
            </w:r>
            <w:r>
              <w:rPr>
                <w:rFonts w:hint="eastAsia" w:ascii="Times New Roman" w:hAnsi="Times New Roman" w:cs="Times New Roman"/>
                <w:color w:val="auto"/>
                <w:sz w:val="22"/>
                <w:szCs w:val="22"/>
                <w:highlight w:val="none"/>
                <w:lang w:val="en-US" w:eastAsia="zh-CN"/>
              </w:rPr>
              <w:t>2、类别3</w:t>
            </w:r>
            <w:r>
              <w:rPr>
                <w:rFonts w:hint="eastAsia" w:ascii="Times New Roman" w:hAnsi="Times New Roman" w:cs="Times New Roman"/>
                <w:color w:val="auto"/>
                <w:sz w:val="22"/>
                <w:szCs w:val="22"/>
                <w:highlight w:val="none"/>
                <w:lang w:eastAsia="zh-CN"/>
              </w:rPr>
              <w:t>）推荐临界量</w:t>
            </w:r>
            <w:r>
              <w:rPr>
                <w:rFonts w:hint="default" w:ascii="Times New Roman" w:hAnsi="Times New Roman" w:cs="Times New Roman"/>
                <w:color w:val="auto"/>
                <w:sz w:val="22"/>
                <w:szCs w:val="22"/>
                <w:highlight w:val="none"/>
                <w:lang w:val="en-US" w:eastAsia="zh-CN"/>
              </w:rPr>
              <w:t>。</w:t>
            </w:r>
            <w:r>
              <w:rPr>
                <w:rFonts w:hint="default" w:ascii="Times New Roman" w:hAnsi="Times New Roman" w:cs="Times New Roman"/>
                <w:color w:val="auto"/>
                <w:sz w:val="22"/>
                <w:szCs w:val="22"/>
                <w:highlight w:val="none"/>
                <w:lang w:eastAsia="zh-CN"/>
              </w:rPr>
              <w:t>具体</w:t>
            </w:r>
            <w:r>
              <w:rPr>
                <w:rFonts w:hint="default" w:ascii="Times New Roman" w:hAnsi="Times New Roman" w:cs="Times New Roman"/>
                <w:color w:val="auto"/>
                <w:sz w:val="22"/>
                <w:szCs w:val="22"/>
                <w:highlight w:val="none"/>
              </w:rPr>
              <w:t>情况见下表：</w:t>
            </w:r>
          </w:p>
          <w:p>
            <w:pPr>
              <w:pStyle w:val="124"/>
              <w:spacing w:afterLines="0"/>
              <w:rPr>
                <w:rFonts w:hint="default" w:ascii="Times New Roman" w:hAnsi="Times New Roman" w:cs="Times New Roman"/>
                <w:color w:val="auto"/>
                <w:sz w:val="18"/>
                <w:szCs w:val="18"/>
                <w:highlight w:val="none"/>
              </w:rPr>
            </w:pPr>
            <w:r>
              <w:rPr>
                <w:rFonts w:hint="default" w:ascii="Times New Roman" w:hAnsi="Times New Roman" w:cs="Times New Roman"/>
                <w:color w:val="auto"/>
                <w:sz w:val="21"/>
                <w:szCs w:val="21"/>
                <w:highlight w:val="none"/>
              </w:rPr>
              <w:t>表4-</w:t>
            </w:r>
            <w:r>
              <w:rPr>
                <w:rFonts w:hint="eastAsia" w:ascii="Times New Roman" w:hAnsi="Times New Roman" w:cs="Times New Roman"/>
                <w:color w:val="auto"/>
                <w:sz w:val="21"/>
                <w:szCs w:val="21"/>
                <w:highlight w:val="none"/>
                <w:lang w:val="en-US" w:eastAsia="zh-CN"/>
              </w:rPr>
              <w:t>16</w:t>
            </w:r>
            <w:r>
              <w:rPr>
                <w:rFonts w:hint="default" w:ascii="Times New Roman" w:hAnsi="Times New Roman" w:cs="Times New Roman"/>
                <w:color w:val="auto"/>
                <w:sz w:val="21"/>
                <w:szCs w:val="21"/>
                <w:highlight w:val="none"/>
              </w:rPr>
              <w:t xml:space="preserve">  企业所涉及的环境风险物质识别统计表</w:t>
            </w:r>
          </w:p>
          <w:tbl>
            <w:tblPr>
              <w:tblStyle w:val="42"/>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563"/>
              <w:gridCol w:w="1517"/>
              <w:gridCol w:w="1554"/>
              <w:gridCol w:w="1337"/>
              <w:gridCol w:w="1445"/>
              <w:gridCol w:w="116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51" w:hRule="atLeast"/>
                <w:tblHeader/>
                <w:jc w:val="center"/>
              </w:trPr>
              <w:tc>
                <w:tcPr>
                  <w:tcW w:w="563" w:type="dxa"/>
                  <w:noWrap w:val="0"/>
                  <w:vAlign w:val="center"/>
                </w:tcPr>
                <w:p>
                  <w:pPr>
                    <w:widowControl/>
                    <w:adjustRightInd w:val="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序号</w:t>
                  </w:r>
                </w:p>
              </w:tc>
              <w:tc>
                <w:tcPr>
                  <w:tcW w:w="1517" w:type="dxa"/>
                  <w:noWrap w:val="0"/>
                  <w:vAlign w:val="center"/>
                </w:tcPr>
                <w:p>
                  <w:pPr>
                    <w:widowControl/>
                    <w:adjustRightInd w:val="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物质名称</w:t>
                  </w:r>
                </w:p>
              </w:tc>
              <w:tc>
                <w:tcPr>
                  <w:tcW w:w="1554" w:type="dxa"/>
                  <w:noWrap w:val="0"/>
                  <w:vAlign w:val="center"/>
                </w:tcPr>
                <w:p>
                  <w:pPr>
                    <w:adjustRightInd w:val="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最大储存量（t）</w:t>
                  </w:r>
                </w:p>
              </w:tc>
              <w:tc>
                <w:tcPr>
                  <w:tcW w:w="1337" w:type="dxa"/>
                  <w:noWrap w:val="0"/>
                  <w:vAlign w:val="center"/>
                </w:tcPr>
                <w:p>
                  <w:pPr>
                    <w:adjustRightInd w:val="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临界量（t）</w:t>
                  </w:r>
                </w:p>
              </w:tc>
              <w:tc>
                <w:tcPr>
                  <w:tcW w:w="1445" w:type="dxa"/>
                  <w:noWrap w:val="0"/>
                  <w:vAlign w:val="center"/>
                </w:tcPr>
                <w:p>
                  <w:pPr>
                    <w:adjustRightInd w:val="0"/>
                    <w:jc w:val="center"/>
                    <w:textAlignment w:val="baseline"/>
                    <w:rPr>
                      <w:rFonts w:hint="eastAsia"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eastAsia="zh-CN"/>
                    </w:rPr>
                    <w:t>贮存位置</w:t>
                  </w:r>
                </w:p>
              </w:tc>
              <w:tc>
                <w:tcPr>
                  <w:tcW w:w="1164" w:type="dxa"/>
                  <w:noWrap w:val="0"/>
                  <w:vAlign w:val="center"/>
                </w:tcPr>
                <w:p>
                  <w:pPr>
                    <w:adjustRightInd w:val="0"/>
                    <w:jc w:val="center"/>
                    <w:textAlignment w:val="baseline"/>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Q值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51" w:hRule="atLeast"/>
                <w:jc w:val="center"/>
              </w:trPr>
              <w:tc>
                <w:tcPr>
                  <w:tcW w:w="563" w:type="dxa"/>
                  <w:noWrap w:val="0"/>
                  <w:vAlign w:val="center"/>
                </w:tcPr>
                <w:p>
                  <w:pPr>
                    <w:widowControl/>
                    <w:adjustRightInd w:val="0"/>
                    <w:jc w:val="center"/>
                    <w:textAlignment w:val="baseline"/>
                    <w:rPr>
                      <w:rFonts w:hint="default" w:ascii="Times New Roman" w:hAnsi="Times New Roman" w:cs="Times New Roman"/>
                      <w:color w:val="auto"/>
                      <w:sz w:val="21"/>
                      <w:szCs w:val="21"/>
                      <w:highlight w:val="none"/>
                      <w:lang w:eastAsia="zh-CN"/>
                    </w:rPr>
                  </w:pPr>
                  <w:r>
                    <w:rPr>
                      <w:rFonts w:hint="eastAsia" w:ascii="Times New Roman" w:hAnsi="Times New Roman" w:cs="Times New Roman"/>
                      <w:color w:val="auto"/>
                      <w:sz w:val="21"/>
                      <w:szCs w:val="21"/>
                      <w:highlight w:val="none"/>
                      <w:lang w:val="en-US" w:eastAsia="zh-CN"/>
                    </w:rPr>
                    <w:t>1</w:t>
                  </w:r>
                </w:p>
              </w:tc>
              <w:tc>
                <w:tcPr>
                  <w:tcW w:w="1517" w:type="dxa"/>
                  <w:noWrap w:val="0"/>
                  <w:vAlign w:val="center"/>
                </w:tcPr>
                <w:p>
                  <w:pPr>
                    <w:autoSpaceDE w:val="0"/>
                    <w:autoSpaceDN w:val="0"/>
                    <w:adjustRightInd w:val="0"/>
                    <w:jc w:val="center"/>
                    <w:textAlignment w:val="baseline"/>
                    <w:rPr>
                      <w:rFonts w:hint="default" w:ascii="Times New Roman" w:hAnsi="Times New Roman" w:cs="Times New Roman"/>
                      <w:color w:val="auto"/>
                      <w:sz w:val="21"/>
                      <w:szCs w:val="21"/>
                      <w:highlight w:val="none"/>
                      <w:lang w:eastAsia="zh-CN"/>
                    </w:rPr>
                  </w:pPr>
                  <w:r>
                    <w:rPr>
                      <w:rFonts w:hint="eastAsia" w:ascii="Times New Roman" w:hAnsi="Times New Roman" w:cs="Times New Roman"/>
                      <w:color w:val="auto"/>
                      <w:sz w:val="21"/>
                      <w:szCs w:val="21"/>
                      <w:highlight w:val="none"/>
                      <w:lang w:eastAsia="zh-CN"/>
                    </w:rPr>
                    <w:t>废机油</w:t>
                  </w:r>
                </w:p>
              </w:tc>
              <w:tc>
                <w:tcPr>
                  <w:tcW w:w="1554" w:type="dxa"/>
                  <w:noWrap w:val="0"/>
                  <w:vAlign w:val="center"/>
                </w:tcPr>
                <w:p>
                  <w:pPr>
                    <w:adjustRightInd w:val="0"/>
                    <w:jc w:val="center"/>
                    <w:textAlignment w:val="baseline"/>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0.01</w:t>
                  </w:r>
                </w:p>
              </w:tc>
              <w:tc>
                <w:tcPr>
                  <w:tcW w:w="1337" w:type="dxa"/>
                  <w:noWrap w:val="0"/>
                  <w:vAlign w:val="center"/>
                </w:tcPr>
                <w:p>
                  <w:pPr>
                    <w:widowControl/>
                    <w:adjustRightInd w:val="0"/>
                    <w:jc w:val="center"/>
                    <w:textAlignment w:val="baseline"/>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2500</w:t>
                  </w:r>
                </w:p>
              </w:tc>
              <w:tc>
                <w:tcPr>
                  <w:tcW w:w="1445" w:type="dxa"/>
                  <w:noWrap w:val="0"/>
                  <w:vAlign w:val="center"/>
                </w:tcPr>
                <w:p>
                  <w:pPr>
                    <w:widowControl/>
                    <w:adjustRightInd w:val="0"/>
                    <w:jc w:val="center"/>
                    <w:textAlignment w:val="baseline"/>
                    <w:rPr>
                      <w:rFonts w:hint="eastAsia"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eastAsia="zh-CN"/>
                    </w:rPr>
                    <w:t>危废暂存间</w:t>
                  </w:r>
                </w:p>
              </w:tc>
              <w:tc>
                <w:tcPr>
                  <w:tcW w:w="1164" w:type="dxa"/>
                  <w:noWrap w:val="0"/>
                  <w:vAlign w:val="center"/>
                </w:tcPr>
                <w:p>
                  <w:pPr>
                    <w:widowControl/>
                    <w:adjustRightInd w:val="0"/>
                    <w:jc w:val="center"/>
                    <w:textAlignment w:val="baseline"/>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0.000004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51" w:hRule="atLeast"/>
                <w:jc w:val="center"/>
              </w:trPr>
              <w:tc>
                <w:tcPr>
                  <w:tcW w:w="563" w:type="dxa"/>
                  <w:noWrap w:val="0"/>
                  <w:vAlign w:val="center"/>
                </w:tcPr>
                <w:p>
                  <w:pPr>
                    <w:widowControl/>
                    <w:adjustRightInd w:val="0"/>
                    <w:jc w:val="center"/>
                    <w:textAlignment w:val="baseline"/>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w:t>
                  </w:r>
                </w:p>
              </w:tc>
              <w:tc>
                <w:tcPr>
                  <w:tcW w:w="1517" w:type="dxa"/>
                  <w:noWrap w:val="0"/>
                  <w:vAlign w:val="center"/>
                </w:tcPr>
                <w:p>
                  <w:pPr>
                    <w:autoSpaceDE w:val="0"/>
                    <w:autoSpaceDN w:val="0"/>
                    <w:adjustRightInd w:val="0"/>
                    <w:jc w:val="center"/>
                    <w:textAlignment w:val="baseline"/>
                    <w:rPr>
                      <w:rFonts w:hint="default" w:ascii="Times New Roman" w:hAnsi="Times New Roman" w:cs="Times New Roman"/>
                      <w:color w:val="auto"/>
                      <w:sz w:val="21"/>
                      <w:szCs w:val="21"/>
                      <w:highlight w:val="none"/>
                      <w:lang w:eastAsia="zh-CN"/>
                    </w:rPr>
                  </w:pPr>
                  <w:r>
                    <w:rPr>
                      <w:rFonts w:hint="eastAsia" w:ascii="Times New Roman" w:hAnsi="Times New Roman" w:cs="Times New Roman"/>
                      <w:color w:val="auto"/>
                      <w:sz w:val="21"/>
                      <w:szCs w:val="21"/>
                      <w:highlight w:val="none"/>
                      <w:lang w:eastAsia="zh-CN"/>
                    </w:rPr>
                    <w:t>废活性炭</w:t>
                  </w:r>
                </w:p>
              </w:tc>
              <w:tc>
                <w:tcPr>
                  <w:tcW w:w="1554" w:type="dxa"/>
                  <w:noWrap w:val="0"/>
                  <w:vAlign w:val="center"/>
                </w:tcPr>
                <w:p>
                  <w:pPr>
                    <w:adjustRightInd w:val="0"/>
                    <w:jc w:val="center"/>
                    <w:textAlignment w:val="baseline"/>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0.067</w:t>
                  </w:r>
                </w:p>
              </w:tc>
              <w:tc>
                <w:tcPr>
                  <w:tcW w:w="1337" w:type="dxa"/>
                  <w:noWrap w:val="0"/>
                  <w:vAlign w:val="center"/>
                </w:tcPr>
                <w:p>
                  <w:pPr>
                    <w:widowControl/>
                    <w:adjustRightInd w:val="0"/>
                    <w:jc w:val="center"/>
                    <w:textAlignment w:val="baseline"/>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50</w:t>
                  </w:r>
                </w:p>
              </w:tc>
              <w:tc>
                <w:tcPr>
                  <w:tcW w:w="1445" w:type="dxa"/>
                  <w:noWrap w:val="0"/>
                  <w:vAlign w:val="center"/>
                </w:tcPr>
                <w:p>
                  <w:pPr>
                    <w:widowControl/>
                    <w:adjustRightInd w:val="0"/>
                    <w:jc w:val="center"/>
                    <w:textAlignment w:val="baseline"/>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eastAsia="zh-CN"/>
                    </w:rPr>
                    <w:t>危废暂存间</w:t>
                  </w:r>
                </w:p>
              </w:tc>
              <w:tc>
                <w:tcPr>
                  <w:tcW w:w="1164" w:type="dxa"/>
                  <w:noWrap w:val="0"/>
                  <w:vAlign w:val="center"/>
                </w:tcPr>
                <w:p>
                  <w:pPr>
                    <w:widowControl/>
                    <w:adjustRightInd w:val="0"/>
                    <w:jc w:val="center"/>
                    <w:textAlignment w:val="baseline"/>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0.00134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72" w:hRule="atLeast"/>
                <w:jc w:val="center"/>
              </w:trPr>
              <w:tc>
                <w:tcPr>
                  <w:tcW w:w="6416" w:type="dxa"/>
                  <w:gridSpan w:val="5"/>
                  <w:noWrap w:val="0"/>
                  <w:vAlign w:val="center"/>
                </w:tcPr>
                <w:p>
                  <w:pPr>
                    <w:widowControl/>
                    <w:adjustRightInd w:val="0"/>
                    <w:jc w:val="center"/>
                    <w:textAlignment w:val="baseline"/>
                    <w:rPr>
                      <w:rFonts w:hint="eastAsia" w:ascii="Times New Roman" w:hAnsi="Times New Roman" w:cs="Times New Roman"/>
                      <w:color w:val="auto"/>
                      <w:sz w:val="21"/>
                      <w:szCs w:val="21"/>
                      <w:highlight w:val="none"/>
                      <w:lang w:eastAsia="zh-CN"/>
                    </w:rPr>
                  </w:pPr>
                  <w:r>
                    <w:rPr>
                      <w:rFonts w:hint="eastAsia" w:ascii="Times New Roman" w:hAnsi="Times New Roman" w:cs="Times New Roman"/>
                      <w:color w:val="auto"/>
                      <w:sz w:val="21"/>
                      <w:szCs w:val="21"/>
                      <w:highlight w:val="none"/>
                      <w:lang w:val="en-US" w:eastAsia="zh-CN"/>
                    </w:rPr>
                    <w:t>合计</w:t>
                  </w:r>
                </w:p>
              </w:tc>
              <w:tc>
                <w:tcPr>
                  <w:tcW w:w="1164" w:type="dxa"/>
                  <w:noWrap w:val="0"/>
                  <w:vAlign w:val="center"/>
                </w:tcPr>
                <w:p>
                  <w:pPr>
                    <w:widowControl/>
                    <w:adjustRightInd w:val="0"/>
                    <w:jc w:val="center"/>
                    <w:textAlignment w:val="baseline"/>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0.001344</w:t>
                  </w:r>
                </w:p>
              </w:tc>
            </w:tr>
          </w:tbl>
          <w:p>
            <w:pPr>
              <w:spacing w:line="360" w:lineRule="auto"/>
              <w:ind w:firstLine="442" w:firstLineChars="200"/>
              <w:rPr>
                <w:rFonts w:hint="default" w:ascii="Times New Roman" w:hAnsi="Times New Roman" w:cs="Times New Roman"/>
                <w:b/>
                <w:bCs/>
                <w:color w:val="auto"/>
                <w:sz w:val="22"/>
                <w:szCs w:val="22"/>
                <w:highlight w:val="none"/>
              </w:rPr>
            </w:pPr>
            <w:r>
              <w:rPr>
                <w:rFonts w:hint="eastAsia" w:ascii="Times New Roman" w:hAnsi="Times New Roman" w:cs="Times New Roman"/>
                <w:b/>
                <w:bCs/>
                <w:color w:val="auto"/>
                <w:sz w:val="22"/>
                <w:szCs w:val="22"/>
                <w:highlight w:val="none"/>
                <w:lang w:val="en-US" w:eastAsia="zh-CN"/>
              </w:rPr>
              <w:t>7</w:t>
            </w:r>
            <w:r>
              <w:rPr>
                <w:rFonts w:hint="default" w:ascii="Times New Roman" w:hAnsi="Times New Roman" w:cs="Times New Roman"/>
                <w:b/>
                <w:bCs/>
                <w:color w:val="auto"/>
                <w:sz w:val="22"/>
                <w:szCs w:val="22"/>
                <w:highlight w:val="none"/>
              </w:rPr>
              <w:t>.2环境风险潜势初判</w:t>
            </w:r>
          </w:p>
          <w:p>
            <w:pPr>
              <w:autoSpaceDE w:val="0"/>
              <w:autoSpaceDN w:val="0"/>
              <w:adjustRightInd w:val="0"/>
              <w:spacing w:line="360" w:lineRule="auto"/>
              <w:ind w:firstLine="440" w:firstLineChars="200"/>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建设项目环境风险潜势划分为Ⅰ、Ⅱ、Ⅲ、Ⅳ/Ⅳ+ 级。根据建设项目涉及的物质和工艺系统的危险性及其所在地的环境敏感程度，结合事故情形下环境影响途径，对建设项目潜在环境危害程度进行概化分析，环境风险潜势划分详见下表。</w:t>
            </w:r>
          </w:p>
          <w:p>
            <w:pPr>
              <w:pStyle w:val="124"/>
              <w:spacing w:afterLine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表4-</w:t>
            </w:r>
            <w:r>
              <w:rPr>
                <w:rFonts w:hint="eastAsia" w:ascii="Times New Roman" w:hAnsi="Times New Roman" w:cs="Times New Roman"/>
                <w:color w:val="auto"/>
                <w:sz w:val="21"/>
                <w:szCs w:val="21"/>
                <w:highlight w:val="none"/>
                <w:lang w:val="en-US" w:eastAsia="zh-CN"/>
              </w:rPr>
              <w:t>17</w:t>
            </w:r>
            <w:r>
              <w:rPr>
                <w:rFonts w:hint="default" w:ascii="Times New Roman" w:hAnsi="Times New Roman" w:cs="Times New Roman"/>
                <w:color w:val="auto"/>
                <w:sz w:val="21"/>
                <w:szCs w:val="21"/>
                <w:highlight w:val="none"/>
              </w:rPr>
              <w:t xml:space="preserve">  建设项目环境风险潜势划分</w:t>
            </w:r>
          </w:p>
          <w:tbl>
            <w:tblPr>
              <w:tblStyle w:val="42"/>
              <w:tblW w:w="0" w:type="auto"/>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818"/>
              <w:gridCol w:w="1511"/>
              <w:gridCol w:w="1611"/>
              <w:gridCol w:w="1488"/>
              <w:gridCol w:w="1612"/>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4" w:hRule="atLeast"/>
                <w:jc w:val="center"/>
              </w:trPr>
              <w:tc>
                <w:tcPr>
                  <w:tcW w:w="1818" w:type="dxa"/>
                  <w:vMerge w:val="restart"/>
                  <w:noWrap w:val="0"/>
                  <w:vAlign w:val="center"/>
                </w:tcPr>
                <w:p>
                  <w:pPr>
                    <w:adjustRightInd w:val="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环境敏感程度（E）</w:t>
                  </w:r>
                </w:p>
              </w:tc>
              <w:tc>
                <w:tcPr>
                  <w:tcW w:w="6222" w:type="dxa"/>
                  <w:gridSpan w:val="4"/>
                  <w:noWrap w:val="0"/>
                  <w:vAlign w:val="center"/>
                </w:tcPr>
                <w:p>
                  <w:pPr>
                    <w:adjustRightInd w:val="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危险物质及工艺系统危险性（P）</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5" w:hRule="atLeast"/>
                <w:jc w:val="center"/>
              </w:trPr>
              <w:tc>
                <w:tcPr>
                  <w:tcW w:w="1818" w:type="dxa"/>
                  <w:vMerge w:val="continue"/>
                  <w:noWrap w:val="0"/>
                  <w:vAlign w:val="center"/>
                </w:tcPr>
                <w:p>
                  <w:pPr>
                    <w:adjustRightInd w:val="0"/>
                    <w:jc w:val="center"/>
                    <w:textAlignment w:val="baseline"/>
                    <w:rPr>
                      <w:rFonts w:hint="default" w:ascii="Times New Roman" w:hAnsi="Times New Roman" w:cs="Times New Roman"/>
                      <w:color w:val="auto"/>
                      <w:sz w:val="21"/>
                      <w:szCs w:val="21"/>
                      <w:highlight w:val="none"/>
                    </w:rPr>
                  </w:pPr>
                </w:p>
              </w:tc>
              <w:tc>
                <w:tcPr>
                  <w:tcW w:w="1511" w:type="dxa"/>
                  <w:noWrap w:val="0"/>
                  <w:vAlign w:val="center"/>
                </w:tcPr>
                <w:p>
                  <w:pPr>
                    <w:adjustRightInd w:val="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极高危害（P1）</w:t>
                  </w:r>
                </w:p>
              </w:tc>
              <w:tc>
                <w:tcPr>
                  <w:tcW w:w="1611" w:type="dxa"/>
                  <w:noWrap w:val="0"/>
                  <w:vAlign w:val="center"/>
                </w:tcPr>
                <w:p>
                  <w:pPr>
                    <w:adjustRightInd w:val="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高度危害（P2）</w:t>
                  </w:r>
                </w:p>
              </w:tc>
              <w:tc>
                <w:tcPr>
                  <w:tcW w:w="1488" w:type="dxa"/>
                  <w:noWrap w:val="0"/>
                  <w:vAlign w:val="center"/>
                </w:tcPr>
                <w:p>
                  <w:pPr>
                    <w:adjustRightInd w:val="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中度危害（P3）</w:t>
                  </w:r>
                </w:p>
              </w:tc>
              <w:tc>
                <w:tcPr>
                  <w:tcW w:w="1612" w:type="dxa"/>
                  <w:noWrap w:val="0"/>
                  <w:vAlign w:val="center"/>
                </w:tcPr>
                <w:p>
                  <w:pPr>
                    <w:adjustRightInd w:val="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轻度危害（P4）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40" w:hRule="atLeast"/>
                <w:jc w:val="center"/>
              </w:trPr>
              <w:tc>
                <w:tcPr>
                  <w:tcW w:w="1818" w:type="dxa"/>
                  <w:noWrap w:val="0"/>
                  <w:vAlign w:val="center"/>
                </w:tcPr>
                <w:p>
                  <w:pPr>
                    <w:adjustRightInd w:val="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环境高度敏感区（E1）</w:t>
                  </w:r>
                </w:p>
              </w:tc>
              <w:tc>
                <w:tcPr>
                  <w:tcW w:w="1511" w:type="dxa"/>
                  <w:noWrap w:val="0"/>
                  <w:vAlign w:val="center"/>
                </w:tcPr>
                <w:p>
                  <w:pPr>
                    <w:adjustRightInd w:val="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Ⅳ+</w:t>
                  </w:r>
                </w:p>
              </w:tc>
              <w:tc>
                <w:tcPr>
                  <w:tcW w:w="1611" w:type="dxa"/>
                  <w:noWrap w:val="0"/>
                  <w:vAlign w:val="center"/>
                </w:tcPr>
                <w:p>
                  <w:pPr>
                    <w:adjustRightInd w:val="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Ⅳ</w:t>
                  </w:r>
                </w:p>
              </w:tc>
              <w:tc>
                <w:tcPr>
                  <w:tcW w:w="1488" w:type="dxa"/>
                  <w:noWrap w:val="0"/>
                  <w:vAlign w:val="center"/>
                </w:tcPr>
                <w:p>
                  <w:pPr>
                    <w:adjustRightInd w:val="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Ⅲ</w:t>
                  </w:r>
                </w:p>
              </w:tc>
              <w:tc>
                <w:tcPr>
                  <w:tcW w:w="1612" w:type="dxa"/>
                  <w:noWrap w:val="0"/>
                  <w:vAlign w:val="center"/>
                </w:tcPr>
                <w:p>
                  <w:pPr>
                    <w:adjustRightInd w:val="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Ⅲ</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40" w:hRule="atLeast"/>
                <w:jc w:val="center"/>
              </w:trPr>
              <w:tc>
                <w:tcPr>
                  <w:tcW w:w="1818" w:type="dxa"/>
                  <w:noWrap w:val="0"/>
                  <w:vAlign w:val="center"/>
                </w:tcPr>
                <w:p>
                  <w:pPr>
                    <w:adjustRightInd w:val="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环境中度敏感区（E2）</w:t>
                  </w:r>
                </w:p>
              </w:tc>
              <w:tc>
                <w:tcPr>
                  <w:tcW w:w="1511" w:type="dxa"/>
                  <w:noWrap w:val="0"/>
                  <w:vAlign w:val="center"/>
                </w:tcPr>
                <w:p>
                  <w:pPr>
                    <w:adjustRightInd w:val="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Ⅳ</w:t>
                  </w:r>
                </w:p>
              </w:tc>
              <w:tc>
                <w:tcPr>
                  <w:tcW w:w="1611" w:type="dxa"/>
                  <w:noWrap w:val="0"/>
                  <w:vAlign w:val="center"/>
                </w:tcPr>
                <w:p>
                  <w:pPr>
                    <w:adjustRightInd w:val="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Ⅲ</w:t>
                  </w:r>
                </w:p>
              </w:tc>
              <w:tc>
                <w:tcPr>
                  <w:tcW w:w="1488" w:type="dxa"/>
                  <w:noWrap w:val="0"/>
                  <w:vAlign w:val="center"/>
                </w:tcPr>
                <w:p>
                  <w:pPr>
                    <w:adjustRightInd w:val="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Ⅲ</w:t>
                  </w:r>
                </w:p>
              </w:tc>
              <w:tc>
                <w:tcPr>
                  <w:tcW w:w="1612" w:type="dxa"/>
                  <w:noWrap w:val="0"/>
                  <w:vAlign w:val="center"/>
                </w:tcPr>
                <w:p>
                  <w:pPr>
                    <w:adjustRightInd w:val="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Ⅱ</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40" w:hRule="atLeast"/>
                <w:jc w:val="center"/>
              </w:trPr>
              <w:tc>
                <w:tcPr>
                  <w:tcW w:w="1818" w:type="dxa"/>
                  <w:noWrap w:val="0"/>
                  <w:vAlign w:val="center"/>
                </w:tcPr>
                <w:p>
                  <w:pPr>
                    <w:adjustRightInd w:val="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环境低度敏感区（E3）</w:t>
                  </w:r>
                </w:p>
              </w:tc>
              <w:tc>
                <w:tcPr>
                  <w:tcW w:w="1511" w:type="dxa"/>
                  <w:noWrap w:val="0"/>
                  <w:vAlign w:val="center"/>
                </w:tcPr>
                <w:p>
                  <w:pPr>
                    <w:adjustRightInd w:val="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Ⅲ</w:t>
                  </w:r>
                </w:p>
              </w:tc>
              <w:tc>
                <w:tcPr>
                  <w:tcW w:w="1611" w:type="dxa"/>
                  <w:noWrap w:val="0"/>
                  <w:vAlign w:val="center"/>
                </w:tcPr>
                <w:p>
                  <w:pPr>
                    <w:adjustRightInd w:val="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Ⅲ</w:t>
                  </w:r>
                </w:p>
              </w:tc>
              <w:tc>
                <w:tcPr>
                  <w:tcW w:w="1488" w:type="dxa"/>
                  <w:noWrap w:val="0"/>
                  <w:vAlign w:val="center"/>
                </w:tcPr>
                <w:p>
                  <w:pPr>
                    <w:adjustRightInd w:val="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Ⅱ</w:t>
                  </w:r>
                </w:p>
              </w:tc>
              <w:tc>
                <w:tcPr>
                  <w:tcW w:w="1612" w:type="dxa"/>
                  <w:noWrap w:val="0"/>
                  <w:vAlign w:val="center"/>
                </w:tcPr>
                <w:p>
                  <w:pPr>
                    <w:adjustRightInd w:val="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8040" w:type="dxa"/>
                  <w:gridSpan w:val="5"/>
                  <w:noWrap w:val="0"/>
                  <w:vAlign w:val="center"/>
                </w:tcPr>
                <w:p>
                  <w:pPr>
                    <w:adjustRightInd w:val="0"/>
                    <w:jc w:val="left"/>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注：Ⅳ+为极高环境风险</w:t>
                  </w:r>
                </w:p>
              </w:tc>
            </w:tr>
          </w:tbl>
          <w:p>
            <w:pPr>
              <w:autoSpaceDE w:val="0"/>
              <w:autoSpaceDN w:val="0"/>
              <w:adjustRightInd w:val="0"/>
              <w:spacing w:line="360" w:lineRule="auto"/>
              <w:ind w:firstLine="440" w:firstLineChars="200"/>
              <w:jc w:val="left"/>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计算所涉及的每种危险物质在厂界内的最大存在总量与其在《建设项目环境风险评价技术导则》（HJ169-2018）附录B中对应临界量的比值Q：</w:t>
            </w:r>
          </w:p>
          <w:p>
            <w:pPr>
              <w:autoSpaceDE w:val="0"/>
              <w:autoSpaceDN w:val="0"/>
              <w:adjustRightInd w:val="0"/>
              <w:spacing w:line="360" w:lineRule="auto"/>
              <w:ind w:firstLine="440" w:firstLineChars="200"/>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fldChar w:fldCharType="begin"/>
            </w:r>
            <w:r>
              <w:rPr>
                <w:rFonts w:hint="default" w:ascii="Times New Roman" w:hAnsi="Times New Roman" w:cs="Times New Roman"/>
                <w:color w:val="auto"/>
                <w:sz w:val="22"/>
                <w:szCs w:val="22"/>
                <w:highlight w:val="none"/>
              </w:rPr>
              <w:instrText xml:space="preserve"> INCLUDEPICTURE "C:\\Users\\快盘\\工作（重要）\\正在进行的项目\\2015-01G-83 崇州 成都蜀渝万江塑胶材料有限公司环境风险评估\\AppData\\Roaming\\Tencent\\Users\\651403831\\QQ\\WinTemp\\RichOle\\1RTAZYY$B(CDU50X8A6F`GX.png" \* MERGEFORMAT </w:instrText>
            </w:r>
            <w:r>
              <w:rPr>
                <w:rFonts w:hint="default" w:ascii="Times New Roman" w:hAnsi="Times New Roman" w:cs="Times New Roman"/>
                <w:color w:val="auto"/>
                <w:sz w:val="22"/>
                <w:szCs w:val="22"/>
                <w:highlight w:val="none"/>
              </w:rPr>
              <w:fldChar w:fldCharType="separate"/>
            </w:r>
            <w:r>
              <w:rPr>
                <w:rFonts w:hint="default" w:ascii="Times New Roman" w:hAnsi="Times New Roman" w:cs="Times New Roman"/>
                <w:color w:val="auto"/>
                <w:sz w:val="22"/>
                <w:szCs w:val="22"/>
                <w:highlight w:val="none"/>
              </w:rPr>
              <w:drawing>
                <wp:inline distT="0" distB="0" distL="114300" distR="114300">
                  <wp:extent cx="2077720" cy="668020"/>
                  <wp:effectExtent l="0" t="0" r="17780" b="17780"/>
                  <wp:docPr id="2" name="图片 29" descr="1RTAZYY$B(CDU50X8A6F`G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9" descr="1RTAZYY$B(CDU50X8A6F`GX"/>
                          <pic:cNvPicPr>
                            <a:picLocks noChangeAspect="1"/>
                          </pic:cNvPicPr>
                        </pic:nvPicPr>
                        <pic:blipFill>
                          <a:blip r:embed="rId39"/>
                          <a:stretch>
                            <a:fillRect/>
                          </a:stretch>
                        </pic:blipFill>
                        <pic:spPr>
                          <a:xfrm>
                            <a:off x="0" y="0"/>
                            <a:ext cx="2077720" cy="668020"/>
                          </a:xfrm>
                          <a:prstGeom prst="rect">
                            <a:avLst/>
                          </a:prstGeom>
                          <a:noFill/>
                          <a:ln>
                            <a:noFill/>
                          </a:ln>
                        </pic:spPr>
                      </pic:pic>
                    </a:graphicData>
                  </a:graphic>
                </wp:inline>
              </w:drawing>
            </w:r>
            <w:r>
              <w:rPr>
                <w:rFonts w:hint="default" w:ascii="Times New Roman" w:hAnsi="Times New Roman" w:cs="Times New Roman"/>
                <w:color w:val="auto"/>
                <w:sz w:val="22"/>
                <w:szCs w:val="22"/>
                <w:highlight w:val="none"/>
              </w:rPr>
              <w:fldChar w:fldCharType="end"/>
            </w:r>
          </w:p>
          <w:p>
            <w:pPr>
              <w:autoSpaceDE w:val="0"/>
              <w:autoSpaceDN w:val="0"/>
              <w:adjustRightInd w:val="0"/>
              <w:spacing w:line="360" w:lineRule="auto"/>
              <w:ind w:firstLine="440" w:firstLineChars="200"/>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式中：q</w:t>
            </w:r>
            <w:r>
              <w:rPr>
                <w:rFonts w:hint="default" w:ascii="Times New Roman" w:hAnsi="Times New Roman" w:cs="Times New Roman"/>
                <w:color w:val="auto"/>
                <w:sz w:val="22"/>
                <w:szCs w:val="22"/>
                <w:highlight w:val="none"/>
                <w:vertAlign w:val="subscript"/>
              </w:rPr>
              <w:t>1</w:t>
            </w:r>
            <w:r>
              <w:rPr>
                <w:rFonts w:hint="default" w:ascii="Times New Roman" w:hAnsi="Times New Roman" w:cs="Times New Roman"/>
                <w:color w:val="auto"/>
                <w:sz w:val="22"/>
                <w:szCs w:val="22"/>
                <w:highlight w:val="none"/>
                <w:lang w:eastAsia="zh-CN"/>
              </w:rPr>
              <w:t>，</w:t>
            </w:r>
            <w:r>
              <w:rPr>
                <w:rFonts w:hint="default" w:ascii="Times New Roman" w:hAnsi="Times New Roman" w:cs="Times New Roman"/>
                <w:color w:val="auto"/>
                <w:sz w:val="22"/>
                <w:szCs w:val="22"/>
                <w:highlight w:val="none"/>
              </w:rPr>
              <w:t>q</w:t>
            </w:r>
            <w:r>
              <w:rPr>
                <w:rFonts w:hint="default" w:ascii="Times New Roman" w:hAnsi="Times New Roman" w:cs="Times New Roman"/>
                <w:color w:val="auto"/>
                <w:sz w:val="22"/>
                <w:szCs w:val="22"/>
                <w:highlight w:val="none"/>
                <w:vertAlign w:val="subscript"/>
              </w:rPr>
              <w:t>2</w:t>
            </w:r>
            <w:r>
              <w:rPr>
                <w:rFonts w:hint="default" w:ascii="Times New Roman" w:hAnsi="Times New Roman" w:cs="Times New Roman"/>
                <w:color w:val="auto"/>
                <w:sz w:val="22"/>
                <w:szCs w:val="22"/>
                <w:highlight w:val="none"/>
                <w:lang w:eastAsia="zh-CN"/>
              </w:rPr>
              <w:t>，</w:t>
            </w:r>
            <w:r>
              <w:rPr>
                <w:rFonts w:hint="default" w:ascii="Times New Roman" w:hAnsi="Times New Roman" w:cs="Times New Roman"/>
                <w:color w:val="auto"/>
                <w:sz w:val="22"/>
                <w:szCs w:val="22"/>
                <w:highlight w:val="none"/>
              </w:rPr>
              <w:t>...</w:t>
            </w:r>
            <w:r>
              <w:rPr>
                <w:rFonts w:hint="default" w:ascii="Times New Roman" w:hAnsi="Times New Roman" w:cs="Times New Roman"/>
                <w:color w:val="auto"/>
                <w:sz w:val="22"/>
                <w:szCs w:val="22"/>
                <w:highlight w:val="none"/>
                <w:lang w:eastAsia="zh-CN"/>
              </w:rPr>
              <w:t>，</w:t>
            </w:r>
            <w:r>
              <w:rPr>
                <w:rFonts w:hint="default" w:ascii="Times New Roman" w:hAnsi="Times New Roman" w:cs="Times New Roman"/>
                <w:color w:val="auto"/>
                <w:sz w:val="22"/>
                <w:szCs w:val="22"/>
                <w:highlight w:val="none"/>
              </w:rPr>
              <w:t>q</w:t>
            </w:r>
            <w:r>
              <w:rPr>
                <w:rFonts w:hint="default" w:ascii="Times New Roman" w:hAnsi="Times New Roman" w:cs="Times New Roman"/>
                <w:color w:val="auto"/>
                <w:sz w:val="22"/>
                <w:szCs w:val="22"/>
                <w:highlight w:val="none"/>
                <w:vertAlign w:val="subscript"/>
              </w:rPr>
              <w:t>n</w:t>
            </w:r>
            <w:r>
              <w:rPr>
                <w:rFonts w:hint="default" w:ascii="Times New Roman" w:hAnsi="Times New Roman" w:cs="Times New Roman"/>
                <w:color w:val="auto"/>
                <w:sz w:val="22"/>
                <w:szCs w:val="22"/>
                <w:highlight w:val="none"/>
              </w:rPr>
              <w:t>——每种危险物质的最大存在总量，t；</w:t>
            </w:r>
          </w:p>
          <w:p>
            <w:pPr>
              <w:autoSpaceDE w:val="0"/>
              <w:autoSpaceDN w:val="0"/>
              <w:adjustRightInd w:val="0"/>
              <w:spacing w:line="360" w:lineRule="auto"/>
              <w:ind w:firstLine="1100" w:firstLineChars="500"/>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Q</w:t>
            </w:r>
            <w:r>
              <w:rPr>
                <w:rFonts w:hint="default" w:ascii="Times New Roman" w:hAnsi="Times New Roman" w:cs="Times New Roman"/>
                <w:color w:val="auto"/>
                <w:sz w:val="22"/>
                <w:szCs w:val="22"/>
                <w:highlight w:val="none"/>
                <w:vertAlign w:val="subscript"/>
              </w:rPr>
              <w:t>1</w:t>
            </w:r>
            <w:r>
              <w:rPr>
                <w:rFonts w:hint="default" w:ascii="Times New Roman" w:hAnsi="Times New Roman" w:cs="Times New Roman"/>
                <w:color w:val="auto"/>
                <w:sz w:val="22"/>
                <w:szCs w:val="22"/>
                <w:highlight w:val="none"/>
                <w:lang w:eastAsia="zh-CN"/>
              </w:rPr>
              <w:t>，</w:t>
            </w:r>
            <w:r>
              <w:rPr>
                <w:rFonts w:hint="default" w:ascii="Times New Roman" w:hAnsi="Times New Roman" w:cs="Times New Roman"/>
                <w:color w:val="auto"/>
                <w:sz w:val="22"/>
                <w:szCs w:val="22"/>
                <w:highlight w:val="none"/>
              </w:rPr>
              <w:t>Q</w:t>
            </w:r>
            <w:r>
              <w:rPr>
                <w:rFonts w:hint="default" w:ascii="Times New Roman" w:hAnsi="Times New Roman" w:cs="Times New Roman"/>
                <w:color w:val="auto"/>
                <w:sz w:val="22"/>
                <w:szCs w:val="22"/>
                <w:highlight w:val="none"/>
                <w:vertAlign w:val="subscript"/>
              </w:rPr>
              <w:t>2</w:t>
            </w:r>
            <w:r>
              <w:rPr>
                <w:rFonts w:hint="default" w:ascii="Times New Roman" w:hAnsi="Times New Roman" w:cs="Times New Roman"/>
                <w:color w:val="auto"/>
                <w:sz w:val="22"/>
                <w:szCs w:val="22"/>
                <w:highlight w:val="none"/>
                <w:lang w:eastAsia="zh-CN"/>
              </w:rPr>
              <w:t>，</w:t>
            </w:r>
            <w:r>
              <w:rPr>
                <w:rFonts w:hint="default" w:ascii="Times New Roman" w:hAnsi="Times New Roman" w:cs="Times New Roman"/>
                <w:color w:val="auto"/>
                <w:sz w:val="22"/>
                <w:szCs w:val="22"/>
                <w:highlight w:val="none"/>
              </w:rPr>
              <w:t>..</w:t>
            </w:r>
            <w:r>
              <w:rPr>
                <w:rFonts w:hint="default" w:ascii="Times New Roman" w:hAnsi="Times New Roman" w:cs="Times New Roman"/>
                <w:color w:val="auto"/>
                <w:sz w:val="22"/>
                <w:szCs w:val="22"/>
                <w:highlight w:val="none"/>
                <w:lang w:eastAsia="zh-CN"/>
              </w:rPr>
              <w:t>，</w:t>
            </w:r>
            <w:r>
              <w:rPr>
                <w:rFonts w:hint="default" w:ascii="Times New Roman" w:hAnsi="Times New Roman" w:cs="Times New Roman"/>
                <w:color w:val="auto"/>
                <w:sz w:val="22"/>
                <w:szCs w:val="22"/>
                <w:highlight w:val="none"/>
              </w:rPr>
              <w:t>Q</w:t>
            </w:r>
            <w:r>
              <w:rPr>
                <w:rFonts w:hint="default" w:ascii="Times New Roman" w:hAnsi="Times New Roman" w:cs="Times New Roman"/>
                <w:color w:val="auto"/>
                <w:sz w:val="22"/>
                <w:szCs w:val="22"/>
                <w:highlight w:val="none"/>
                <w:vertAlign w:val="subscript"/>
              </w:rPr>
              <w:t>n</w:t>
            </w:r>
            <w:r>
              <w:rPr>
                <w:rFonts w:hint="default" w:ascii="Times New Roman" w:hAnsi="Times New Roman" w:cs="Times New Roman"/>
                <w:color w:val="auto"/>
                <w:sz w:val="22"/>
                <w:szCs w:val="22"/>
                <w:highlight w:val="none"/>
              </w:rPr>
              <w:t>——每种危险物质的临界量，t。</w:t>
            </w:r>
          </w:p>
          <w:p>
            <w:pPr>
              <w:autoSpaceDE w:val="0"/>
              <w:autoSpaceDN w:val="0"/>
              <w:adjustRightInd w:val="0"/>
              <w:spacing w:line="360" w:lineRule="auto"/>
              <w:ind w:firstLine="440" w:firstLineChars="200"/>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当Q＜1 时，该项目环境风险潜势为Ⅰ。</w:t>
            </w:r>
          </w:p>
          <w:p>
            <w:pPr>
              <w:autoSpaceDE w:val="0"/>
              <w:autoSpaceDN w:val="0"/>
              <w:adjustRightInd w:val="0"/>
              <w:spacing w:line="360" w:lineRule="auto"/>
              <w:ind w:firstLine="440" w:firstLineChars="200"/>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当Q≥1 时，将Q 值划分为：（1）1≤Q＜10；（2）10≤Q＜100；（3）Q≥100。</w:t>
            </w:r>
          </w:p>
          <w:p>
            <w:pPr>
              <w:autoSpaceDE w:val="0"/>
              <w:autoSpaceDN w:val="0"/>
              <w:adjustRightInd w:val="0"/>
              <w:spacing w:line="360" w:lineRule="auto"/>
              <w:ind w:firstLine="440" w:firstLineChars="200"/>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对照附录B后，确定本项目Q值</w:t>
            </w:r>
            <w:r>
              <w:rPr>
                <w:rFonts w:hint="default" w:ascii="Times New Roman" w:hAnsi="Times New Roman" w:eastAsia="宋体" w:cs="Times New Roman"/>
                <w:color w:val="auto"/>
                <w:sz w:val="22"/>
                <w:szCs w:val="22"/>
                <w:highlight w:val="none"/>
              </w:rPr>
              <w:t>为</w:t>
            </w:r>
            <w:r>
              <w:rPr>
                <w:rFonts w:hint="eastAsia" w:ascii="Times New Roman" w:hAnsi="Times New Roman" w:eastAsia="宋体" w:cs="Times New Roman"/>
                <w:color w:val="auto"/>
                <w:sz w:val="22"/>
                <w:szCs w:val="22"/>
                <w:highlight w:val="none"/>
                <w:lang w:val="en-US" w:eastAsia="zh-CN"/>
              </w:rPr>
              <w:t>0.001344</w:t>
            </w:r>
            <w:r>
              <w:rPr>
                <w:rFonts w:hint="default" w:ascii="Times New Roman" w:hAnsi="Times New Roman" w:eastAsia="宋体" w:cs="Times New Roman"/>
                <w:color w:val="auto"/>
                <w:sz w:val="22"/>
                <w:szCs w:val="22"/>
                <w:highlight w:val="none"/>
              </w:rPr>
              <w:t>，Q</w:t>
            </w:r>
            <w:r>
              <w:rPr>
                <w:rFonts w:hint="default" w:ascii="Times New Roman" w:hAnsi="Times New Roman" w:cs="Times New Roman"/>
                <w:color w:val="auto"/>
                <w:sz w:val="22"/>
                <w:szCs w:val="22"/>
                <w:highlight w:val="none"/>
              </w:rPr>
              <w:t>＜1，根据《建设项目环境风险评价技术导则》（HJ169-2018）附录C说明，当Q＜1时，该项目环境风险潜势为Ⅰ。</w:t>
            </w:r>
          </w:p>
          <w:p>
            <w:pPr>
              <w:autoSpaceDE w:val="0"/>
              <w:autoSpaceDN w:val="0"/>
              <w:adjustRightInd w:val="0"/>
              <w:spacing w:line="360" w:lineRule="auto"/>
              <w:ind w:firstLine="440" w:firstLineChars="200"/>
              <w:rPr>
                <w:rFonts w:hint="default" w:ascii="Times New Roman" w:hAnsi="Times New Roman" w:cs="Times New Roman"/>
                <w:color w:val="auto"/>
                <w:sz w:val="22"/>
                <w:szCs w:val="22"/>
                <w:highlight w:val="yellow"/>
              </w:rPr>
            </w:pPr>
            <w:r>
              <w:rPr>
                <w:rFonts w:hint="default" w:ascii="Times New Roman" w:hAnsi="Times New Roman" w:cs="Times New Roman"/>
                <w:color w:val="auto"/>
                <w:sz w:val="22"/>
                <w:szCs w:val="22"/>
                <w:highlight w:val="none"/>
              </w:rPr>
              <w:t>根据《建设项目环境风险评价技术导则》（HJ169-2018）所规定风险评价等级划分。本项目环境风险潜势为Ⅰ，评价工作等级为简单分析。</w:t>
            </w:r>
          </w:p>
          <w:p>
            <w:pPr>
              <w:spacing w:line="360" w:lineRule="auto"/>
              <w:ind w:firstLine="442" w:firstLineChars="200"/>
              <w:rPr>
                <w:rFonts w:hint="default" w:ascii="Times New Roman" w:hAnsi="Times New Roman" w:cs="Times New Roman"/>
                <w:b/>
                <w:bCs/>
                <w:color w:val="auto"/>
                <w:sz w:val="22"/>
                <w:szCs w:val="22"/>
                <w:highlight w:val="none"/>
              </w:rPr>
            </w:pPr>
            <w:r>
              <w:rPr>
                <w:rFonts w:hint="eastAsia" w:ascii="Times New Roman" w:hAnsi="Times New Roman" w:cs="Times New Roman"/>
                <w:b/>
                <w:bCs/>
                <w:color w:val="auto"/>
                <w:sz w:val="22"/>
                <w:szCs w:val="22"/>
                <w:highlight w:val="none"/>
                <w:lang w:val="en-US" w:eastAsia="zh-CN"/>
              </w:rPr>
              <w:t>7</w:t>
            </w:r>
            <w:r>
              <w:rPr>
                <w:rFonts w:hint="default" w:ascii="Times New Roman" w:hAnsi="Times New Roman" w:cs="Times New Roman"/>
                <w:b/>
                <w:bCs/>
                <w:color w:val="auto"/>
                <w:sz w:val="22"/>
                <w:szCs w:val="22"/>
                <w:highlight w:val="none"/>
              </w:rPr>
              <w:t>.</w:t>
            </w:r>
            <w:r>
              <w:rPr>
                <w:rFonts w:hint="default" w:ascii="Times New Roman" w:hAnsi="Times New Roman" w:cs="Times New Roman"/>
                <w:b/>
                <w:bCs/>
                <w:color w:val="auto"/>
                <w:sz w:val="22"/>
                <w:szCs w:val="22"/>
                <w:highlight w:val="none"/>
                <w:lang w:val="en-US" w:eastAsia="zh-CN"/>
              </w:rPr>
              <w:t>3</w:t>
            </w:r>
            <w:r>
              <w:rPr>
                <w:rFonts w:hint="default" w:ascii="Times New Roman" w:hAnsi="Times New Roman" w:cs="Times New Roman"/>
                <w:b/>
                <w:bCs/>
                <w:color w:val="auto"/>
                <w:sz w:val="22"/>
                <w:szCs w:val="22"/>
                <w:highlight w:val="none"/>
              </w:rPr>
              <w:t xml:space="preserve"> 风险识别及可能影响途径</w:t>
            </w:r>
          </w:p>
          <w:p>
            <w:pPr>
              <w:autoSpaceDE w:val="0"/>
              <w:autoSpaceDN w:val="0"/>
              <w:adjustRightInd w:val="0"/>
              <w:spacing w:line="360" w:lineRule="auto"/>
              <w:ind w:firstLine="440" w:firstLineChars="200"/>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（1）风险识别</w:t>
            </w:r>
          </w:p>
          <w:p>
            <w:pPr>
              <w:autoSpaceDE w:val="0"/>
              <w:autoSpaceDN w:val="0"/>
              <w:adjustRightInd w:val="0"/>
              <w:spacing w:line="360" w:lineRule="auto"/>
              <w:ind w:firstLine="440" w:firstLineChars="200"/>
              <w:rPr>
                <w:rFonts w:hint="eastAsia" w:ascii="Times New Roman" w:hAnsi="Times New Roman" w:cs="Times New Roman"/>
                <w:color w:val="auto"/>
                <w:sz w:val="22"/>
                <w:szCs w:val="22"/>
                <w:highlight w:val="none"/>
                <w:lang w:eastAsia="zh-CN"/>
              </w:rPr>
            </w:pPr>
            <w:r>
              <w:rPr>
                <w:rFonts w:hint="default" w:ascii="Times New Roman" w:hAnsi="Times New Roman" w:cs="Times New Roman"/>
                <w:color w:val="auto"/>
                <w:sz w:val="22"/>
                <w:szCs w:val="22"/>
                <w:highlight w:val="none"/>
              </w:rPr>
              <w:t>据项目特点，</w:t>
            </w:r>
            <w:r>
              <w:rPr>
                <w:rFonts w:hint="eastAsia" w:ascii="Times New Roman" w:hAnsi="Times New Roman" w:cs="Times New Roman"/>
                <w:color w:val="auto"/>
                <w:sz w:val="22"/>
                <w:szCs w:val="22"/>
                <w:highlight w:val="none"/>
                <w:lang w:eastAsia="zh-CN"/>
              </w:rPr>
              <w:t>本项目环境风险类型主要为废机油、</w:t>
            </w:r>
            <w:r>
              <w:rPr>
                <w:rFonts w:hint="eastAsia" w:ascii="Times New Roman" w:hAnsi="Times New Roman" w:cs="Times New Roman"/>
                <w:color w:val="auto"/>
                <w:sz w:val="22"/>
                <w:szCs w:val="22"/>
                <w:highlight w:val="none"/>
                <w:lang w:val="en-US" w:eastAsia="zh-CN"/>
              </w:rPr>
              <w:t>油性漆</w:t>
            </w:r>
            <w:r>
              <w:rPr>
                <w:rFonts w:hint="eastAsia" w:ascii="Times New Roman" w:hAnsi="Times New Roman" w:cs="Times New Roman"/>
                <w:color w:val="auto"/>
                <w:sz w:val="22"/>
                <w:szCs w:val="22"/>
                <w:highlight w:val="none"/>
                <w:lang w:eastAsia="zh-CN"/>
              </w:rPr>
              <w:t>泄漏</w:t>
            </w:r>
            <w:r>
              <w:rPr>
                <w:rFonts w:hint="eastAsia" w:ascii="Times New Roman" w:hAnsi="Times New Roman" w:cs="Times New Roman"/>
                <w:color w:val="auto"/>
                <w:sz w:val="22"/>
                <w:szCs w:val="22"/>
                <w:highlight w:val="none"/>
                <w:lang w:val="en-US" w:eastAsia="zh-CN"/>
              </w:rPr>
              <w:t>或遇明火发生火灾爆炸</w:t>
            </w:r>
            <w:r>
              <w:rPr>
                <w:rFonts w:hint="eastAsia" w:ascii="Times New Roman" w:hAnsi="Times New Roman" w:cs="Times New Roman"/>
                <w:color w:val="auto"/>
                <w:sz w:val="22"/>
                <w:szCs w:val="22"/>
                <w:highlight w:val="none"/>
                <w:lang w:eastAsia="zh-CN"/>
              </w:rPr>
              <w:t>和废气处理设施故障事故排放。</w:t>
            </w:r>
          </w:p>
          <w:p>
            <w:pPr>
              <w:autoSpaceDE w:val="0"/>
              <w:autoSpaceDN w:val="0"/>
              <w:adjustRightInd w:val="0"/>
              <w:spacing w:line="360" w:lineRule="auto"/>
              <w:ind w:firstLine="440" w:firstLineChars="200"/>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（2）风险事故情形及可能影响途径</w:t>
            </w:r>
          </w:p>
          <w:p>
            <w:pPr>
              <w:autoSpaceDE w:val="0"/>
              <w:autoSpaceDN w:val="0"/>
              <w:adjustRightInd w:val="0"/>
              <w:spacing w:line="360" w:lineRule="auto"/>
              <w:ind w:firstLine="440" w:firstLineChars="200"/>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根据环境风险识别情况，选择对环境影响较大并具有代表性的事故类型，设定风险事故情形。本次环评设定风险事故情形主要为易燃物质泄漏、火灾爆炸等引发的伴生/次生污染物排放。运营期危险物质风险事故情况下向环境转移的可能途径主要有：</w:t>
            </w:r>
          </w:p>
          <w:p>
            <w:pPr>
              <w:spacing w:line="360" w:lineRule="auto"/>
              <w:ind w:firstLine="440" w:firstLineChars="200"/>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①</w:t>
            </w:r>
            <w:r>
              <w:rPr>
                <w:rFonts w:hint="eastAsia" w:ascii="Times New Roman" w:hAnsi="Times New Roman" w:cs="Times New Roman"/>
                <w:color w:val="auto"/>
                <w:sz w:val="22"/>
                <w:szCs w:val="22"/>
                <w:highlight w:val="none"/>
                <w:lang w:val="en-US" w:eastAsia="zh-CN"/>
              </w:rPr>
              <w:t>原料漆、</w:t>
            </w:r>
            <w:r>
              <w:rPr>
                <w:rFonts w:hint="eastAsia" w:ascii="Times New Roman" w:hAnsi="Times New Roman" w:cs="Times New Roman"/>
                <w:color w:val="auto"/>
                <w:sz w:val="22"/>
                <w:szCs w:val="22"/>
                <w:highlight w:val="none"/>
                <w:lang w:eastAsia="zh-CN"/>
              </w:rPr>
              <w:t>危险废物储存</w:t>
            </w:r>
            <w:r>
              <w:rPr>
                <w:rFonts w:hint="default" w:ascii="Times New Roman" w:hAnsi="Times New Roman" w:cs="Times New Roman"/>
                <w:color w:val="auto"/>
                <w:sz w:val="22"/>
                <w:szCs w:val="22"/>
                <w:highlight w:val="none"/>
              </w:rPr>
              <w:t>、运输过程中操作不当发生泄漏，若地面不进行防渗、防腐处理，泄漏物料可能下渗污染土壤及地下水。</w:t>
            </w:r>
          </w:p>
          <w:p>
            <w:pPr>
              <w:spacing w:line="360" w:lineRule="auto"/>
              <w:ind w:firstLine="440" w:firstLineChars="200"/>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②</w:t>
            </w:r>
            <w:r>
              <w:rPr>
                <w:rFonts w:hint="eastAsia" w:ascii="Times New Roman" w:hAnsi="Times New Roman" w:cs="Times New Roman"/>
                <w:color w:val="auto"/>
                <w:sz w:val="22"/>
                <w:szCs w:val="22"/>
                <w:highlight w:val="none"/>
                <w:lang w:eastAsia="zh-CN"/>
              </w:rPr>
              <w:t>废机油、油性漆等易燃物</w:t>
            </w:r>
            <w:r>
              <w:rPr>
                <w:rFonts w:hint="default" w:ascii="Times New Roman" w:hAnsi="Times New Roman" w:cs="Times New Roman"/>
                <w:color w:val="auto"/>
                <w:sz w:val="22"/>
                <w:szCs w:val="22"/>
                <w:highlight w:val="none"/>
              </w:rPr>
              <w:t>遇明火导致火灾事故，产生的燃烧废气进入大气环境或消防废水携带危险物质对外界水环境产生影响。</w:t>
            </w:r>
          </w:p>
          <w:p>
            <w:pPr>
              <w:spacing w:line="360" w:lineRule="auto"/>
              <w:ind w:firstLine="440" w:firstLineChars="200"/>
              <w:rPr>
                <w:rFonts w:hint="default" w:ascii="Times New Roman" w:hAnsi="Times New Roman" w:cs="Times New Roman"/>
                <w:color w:val="auto"/>
                <w:highlight w:val="yellow"/>
              </w:rPr>
            </w:pPr>
            <w:r>
              <w:rPr>
                <w:rFonts w:hint="default" w:ascii="Times New Roman" w:hAnsi="Times New Roman" w:cs="Times New Roman"/>
                <w:color w:val="auto"/>
                <w:sz w:val="22"/>
                <w:szCs w:val="22"/>
                <w:highlight w:val="none"/>
              </w:rPr>
              <w:t>③</w:t>
            </w:r>
            <w:r>
              <w:rPr>
                <w:rFonts w:hint="eastAsia" w:ascii="Times New Roman" w:hAnsi="Times New Roman" w:cs="Times New Roman"/>
                <w:color w:val="auto"/>
                <w:sz w:val="22"/>
                <w:szCs w:val="22"/>
                <w:highlight w:val="none"/>
                <w:lang w:eastAsia="zh-CN"/>
              </w:rPr>
              <w:t>废气处理设施发生故障时，废气非正常排放，对大气环境造成影响</w:t>
            </w:r>
            <w:r>
              <w:rPr>
                <w:rFonts w:hint="default" w:ascii="Times New Roman" w:hAnsi="Times New Roman" w:cs="Times New Roman"/>
                <w:color w:val="auto"/>
                <w:sz w:val="22"/>
                <w:szCs w:val="22"/>
                <w:highlight w:val="none"/>
              </w:rPr>
              <w:t>。</w:t>
            </w:r>
          </w:p>
          <w:p>
            <w:pPr>
              <w:pStyle w:val="124"/>
              <w:spacing w:afterLines="0"/>
              <w:rPr>
                <w:rFonts w:hint="default" w:ascii="Times New Roman" w:hAnsi="Times New Roman" w:cs="Times New Roman"/>
                <w:color w:val="auto"/>
                <w:highlight w:val="none"/>
              </w:rPr>
            </w:pPr>
            <w:r>
              <w:rPr>
                <w:rFonts w:hint="default" w:ascii="Times New Roman" w:hAnsi="Times New Roman" w:cs="Times New Roman"/>
                <w:color w:val="auto"/>
                <w:highlight w:val="none"/>
              </w:rPr>
              <w:t>表4-</w:t>
            </w:r>
            <w:r>
              <w:rPr>
                <w:rFonts w:hint="eastAsia" w:ascii="Times New Roman" w:hAnsi="Times New Roman" w:cs="Times New Roman"/>
                <w:color w:val="auto"/>
                <w:highlight w:val="none"/>
                <w:lang w:val="en-US" w:eastAsia="zh-CN"/>
              </w:rPr>
              <w:t>18</w:t>
            </w:r>
            <w:r>
              <w:rPr>
                <w:rFonts w:hint="default" w:ascii="Times New Roman" w:hAnsi="Times New Roman" w:cs="Times New Roman"/>
                <w:color w:val="auto"/>
                <w:highlight w:val="none"/>
              </w:rPr>
              <w:t xml:space="preserve">  风险事故情形</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9"/>
              <w:gridCol w:w="1402"/>
              <w:gridCol w:w="1090"/>
              <w:gridCol w:w="38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9" w:type="dxa"/>
                  <w:noWrap w:val="0"/>
                  <w:vAlign w:val="center"/>
                </w:tcPr>
                <w:p>
                  <w:pPr>
                    <w:autoSpaceDE w:val="0"/>
                    <w:autoSpaceDN w:val="0"/>
                    <w:adjustRightInd w:val="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环境风险类型</w:t>
                  </w:r>
                </w:p>
              </w:tc>
              <w:tc>
                <w:tcPr>
                  <w:tcW w:w="1402" w:type="dxa"/>
                  <w:noWrap w:val="0"/>
                  <w:vAlign w:val="center"/>
                </w:tcPr>
                <w:p>
                  <w:pPr>
                    <w:autoSpaceDE w:val="0"/>
                    <w:autoSpaceDN w:val="0"/>
                    <w:adjustRightInd w:val="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风险单元</w:t>
                  </w:r>
                </w:p>
              </w:tc>
              <w:tc>
                <w:tcPr>
                  <w:tcW w:w="1090" w:type="dxa"/>
                  <w:noWrap w:val="0"/>
                  <w:vAlign w:val="center"/>
                </w:tcPr>
                <w:p>
                  <w:pPr>
                    <w:autoSpaceDE w:val="0"/>
                    <w:autoSpaceDN w:val="0"/>
                    <w:adjustRightInd w:val="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风险物质</w:t>
                  </w:r>
                </w:p>
              </w:tc>
              <w:tc>
                <w:tcPr>
                  <w:tcW w:w="3865" w:type="dxa"/>
                  <w:noWrap w:val="0"/>
                  <w:vAlign w:val="center"/>
                </w:tcPr>
                <w:p>
                  <w:pPr>
                    <w:autoSpaceDE w:val="0"/>
                    <w:autoSpaceDN w:val="0"/>
                    <w:adjustRightInd w:val="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影响途径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9" w:type="dxa"/>
                  <w:vMerge w:val="restart"/>
                  <w:noWrap w:val="0"/>
                  <w:vAlign w:val="center"/>
                </w:tcPr>
                <w:p>
                  <w:pPr>
                    <w:autoSpaceDE w:val="0"/>
                    <w:autoSpaceDN w:val="0"/>
                    <w:adjustRightInd w:val="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火灾爆炸等引发的伴生/次生污染物排放</w:t>
                  </w:r>
                </w:p>
              </w:tc>
              <w:tc>
                <w:tcPr>
                  <w:tcW w:w="1402" w:type="dxa"/>
                  <w:vMerge w:val="restart"/>
                  <w:noWrap w:val="0"/>
                  <w:vAlign w:val="center"/>
                </w:tcPr>
                <w:p>
                  <w:pPr>
                    <w:autoSpaceDE w:val="0"/>
                    <w:autoSpaceDN w:val="0"/>
                    <w:adjustRightInd w:val="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喷漆房、漆库房、危废暂存间</w:t>
                  </w:r>
                </w:p>
              </w:tc>
              <w:tc>
                <w:tcPr>
                  <w:tcW w:w="1090" w:type="dxa"/>
                  <w:vMerge w:val="restart"/>
                  <w:noWrap w:val="0"/>
                  <w:vAlign w:val="center"/>
                </w:tcPr>
                <w:p>
                  <w:pPr>
                    <w:autoSpaceDE w:val="0"/>
                    <w:autoSpaceDN w:val="0"/>
                    <w:adjustRightInd w:val="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eastAsia="zh-CN"/>
                    </w:rPr>
                    <w:t>废机油、油性漆</w:t>
                  </w:r>
                  <w:r>
                    <w:rPr>
                      <w:rFonts w:hint="eastAsia" w:ascii="Times New Roman" w:hAnsi="Times New Roman" w:cs="Times New Roman"/>
                      <w:color w:val="auto"/>
                      <w:sz w:val="21"/>
                      <w:szCs w:val="21"/>
                      <w:highlight w:val="none"/>
                      <w:lang w:val="en-US" w:eastAsia="zh-CN"/>
                    </w:rPr>
                    <w:t>等</w:t>
                  </w:r>
                </w:p>
              </w:tc>
              <w:tc>
                <w:tcPr>
                  <w:tcW w:w="3865" w:type="dxa"/>
                  <w:noWrap w:val="0"/>
                  <w:vAlign w:val="center"/>
                </w:tcPr>
                <w:p>
                  <w:pPr>
                    <w:autoSpaceDE w:val="0"/>
                    <w:autoSpaceDN w:val="0"/>
                    <w:adjustRightInd w:val="0"/>
                    <w:jc w:val="left"/>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大气环境：易燃物质燃烧或爆炸产生的伴生/次生污染物排放大气环境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9" w:type="dxa"/>
                  <w:vMerge w:val="continue"/>
                  <w:noWrap w:val="0"/>
                  <w:vAlign w:val="center"/>
                </w:tcPr>
                <w:p>
                  <w:pPr>
                    <w:autoSpaceDE w:val="0"/>
                    <w:autoSpaceDN w:val="0"/>
                    <w:adjustRightInd w:val="0"/>
                    <w:jc w:val="center"/>
                    <w:textAlignment w:val="baseline"/>
                    <w:rPr>
                      <w:rFonts w:hint="default" w:ascii="Times New Roman" w:hAnsi="Times New Roman" w:cs="Times New Roman"/>
                      <w:color w:val="auto"/>
                      <w:sz w:val="21"/>
                      <w:szCs w:val="21"/>
                      <w:highlight w:val="none"/>
                    </w:rPr>
                  </w:pPr>
                </w:p>
              </w:tc>
              <w:tc>
                <w:tcPr>
                  <w:tcW w:w="1402" w:type="dxa"/>
                  <w:vMerge w:val="continue"/>
                  <w:noWrap w:val="0"/>
                  <w:vAlign w:val="center"/>
                </w:tcPr>
                <w:p>
                  <w:pPr>
                    <w:autoSpaceDE w:val="0"/>
                    <w:autoSpaceDN w:val="0"/>
                    <w:adjustRightInd w:val="0"/>
                    <w:jc w:val="center"/>
                    <w:textAlignment w:val="baseline"/>
                    <w:rPr>
                      <w:rFonts w:hint="default" w:ascii="Times New Roman" w:hAnsi="Times New Roman" w:cs="Times New Roman"/>
                      <w:color w:val="auto"/>
                      <w:sz w:val="21"/>
                      <w:szCs w:val="21"/>
                      <w:highlight w:val="none"/>
                    </w:rPr>
                  </w:pPr>
                </w:p>
              </w:tc>
              <w:tc>
                <w:tcPr>
                  <w:tcW w:w="1090" w:type="dxa"/>
                  <w:vMerge w:val="continue"/>
                  <w:noWrap w:val="0"/>
                  <w:vAlign w:val="center"/>
                </w:tcPr>
                <w:p>
                  <w:pPr>
                    <w:autoSpaceDE w:val="0"/>
                    <w:autoSpaceDN w:val="0"/>
                    <w:adjustRightInd w:val="0"/>
                    <w:jc w:val="center"/>
                    <w:textAlignment w:val="baseline"/>
                    <w:rPr>
                      <w:rFonts w:hint="default" w:ascii="Times New Roman" w:hAnsi="Times New Roman" w:cs="Times New Roman"/>
                      <w:color w:val="auto"/>
                      <w:sz w:val="21"/>
                      <w:szCs w:val="21"/>
                      <w:highlight w:val="none"/>
                    </w:rPr>
                  </w:pPr>
                </w:p>
              </w:tc>
              <w:tc>
                <w:tcPr>
                  <w:tcW w:w="3865" w:type="dxa"/>
                  <w:noWrap w:val="0"/>
                  <w:vAlign w:val="center"/>
                </w:tcPr>
                <w:p>
                  <w:pPr>
                    <w:autoSpaceDE w:val="0"/>
                    <w:autoSpaceDN w:val="0"/>
                    <w:adjustRightInd w:val="0"/>
                    <w:jc w:val="left"/>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地表水环境：火灾消防过程废水通过地表径流进入地表水环境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9" w:type="dxa"/>
                  <w:vMerge w:val="continue"/>
                  <w:noWrap w:val="0"/>
                  <w:vAlign w:val="center"/>
                </w:tcPr>
                <w:p>
                  <w:pPr>
                    <w:autoSpaceDE w:val="0"/>
                    <w:autoSpaceDN w:val="0"/>
                    <w:adjustRightInd w:val="0"/>
                    <w:jc w:val="center"/>
                    <w:textAlignment w:val="baseline"/>
                    <w:rPr>
                      <w:rFonts w:hint="default" w:ascii="Times New Roman" w:hAnsi="Times New Roman" w:cs="Times New Roman"/>
                      <w:color w:val="auto"/>
                      <w:sz w:val="21"/>
                      <w:szCs w:val="21"/>
                      <w:highlight w:val="none"/>
                    </w:rPr>
                  </w:pPr>
                </w:p>
              </w:tc>
              <w:tc>
                <w:tcPr>
                  <w:tcW w:w="1402" w:type="dxa"/>
                  <w:vMerge w:val="continue"/>
                  <w:noWrap w:val="0"/>
                  <w:vAlign w:val="center"/>
                </w:tcPr>
                <w:p>
                  <w:pPr>
                    <w:autoSpaceDE w:val="0"/>
                    <w:autoSpaceDN w:val="0"/>
                    <w:adjustRightInd w:val="0"/>
                    <w:jc w:val="center"/>
                    <w:textAlignment w:val="baseline"/>
                    <w:rPr>
                      <w:rFonts w:hint="default" w:ascii="Times New Roman" w:hAnsi="Times New Roman" w:cs="Times New Roman"/>
                      <w:color w:val="auto"/>
                      <w:sz w:val="21"/>
                      <w:szCs w:val="21"/>
                      <w:highlight w:val="none"/>
                    </w:rPr>
                  </w:pPr>
                </w:p>
              </w:tc>
              <w:tc>
                <w:tcPr>
                  <w:tcW w:w="1090" w:type="dxa"/>
                  <w:vMerge w:val="continue"/>
                  <w:noWrap w:val="0"/>
                  <w:vAlign w:val="center"/>
                </w:tcPr>
                <w:p>
                  <w:pPr>
                    <w:autoSpaceDE w:val="0"/>
                    <w:autoSpaceDN w:val="0"/>
                    <w:adjustRightInd w:val="0"/>
                    <w:jc w:val="center"/>
                    <w:textAlignment w:val="baseline"/>
                    <w:rPr>
                      <w:rFonts w:hint="default" w:ascii="Times New Roman" w:hAnsi="Times New Roman" w:cs="Times New Roman"/>
                      <w:color w:val="auto"/>
                      <w:sz w:val="21"/>
                      <w:szCs w:val="21"/>
                      <w:highlight w:val="none"/>
                    </w:rPr>
                  </w:pPr>
                </w:p>
              </w:tc>
              <w:tc>
                <w:tcPr>
                  <w:tcW w:w="3865" w:type="dxa"/>
                  <w:noWrap w:val="0"/>
                  <w:vAlign w:val="center"/>
                </w:tcPr>
                <w:p>
                  <w:pPr>
                    <w:autoSpaceDE w:val="0"/>
                    <w:autoSpaceDN w:val="0"/>
                    <w:adjustRightInd w:val="0"/>
                    <w:jc w:val="left"/>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地下水或土壤环境：有害物质泄漏通过垂直渗透进入地下水或土壤环境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9" w:type="dxa"/>
                  <w:noWrap w:val="0"/>
                  <w:vAlign w:val="center"/>
                </w:tcPr>
                <w:p>
                  <w:pPr>
                    <w:autoSpaceDE w:val="0"/>
                    <w:autoSpaceDN w:val="0"/>
                    <w:adjustRightInd w:val="0"/>
                    <w:jc w:val="center"/>
                    <w:textAlignment w:val="baseline"/>
                    <w:rPr>
                      <w:rFonts w:hint="eastAsia"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val="en-US" w:eastAsia="zh-CN"/>
                    </w:rPr>
                    <w:t>风险物质</w:t>
                  </w:r>
                  <w:r>
                    <w:rPr>
                      <w:rFonts w:hint="eastAsia" w:ascii="Times New Roman" w:hAnsi="Times New Roman" w:cs="Times New Roman"/>
                      <w:color w:val="auto"/>
                      <w:sz w:val="21"/>
                      <w:szCs w:val="21"/>
                      <w:highlight w:val="none"/>
                      <w:lang w:eastAsia="zh-CN"/>
                    </w:rPr>
                    <w:t>泄漏</w:t>
                  </w:r>
                </w:p>
              </w:tc>
              <w:tc>
                <w:tcPr>
                  <w:tcW w:w="1402" w:type="dxa"/>
                  <w:noWrap w:val="0"/>
                  <w:vAlign w:val="center"/>
                </w:tcPr>
                <w:p>
                  <w:pPr>
                    <w:autoSpaceDE w:val="0"/>
                    <w:autoSpaceDN w:val="0"/>
                    <w:adjustRightInd w:val="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喷漆房、漆库房、危废暂存间</w:t>
                  </w:r>
                </w:p>
              </w:tc>
              <w:tc>
                <w:tcPr>
                  <w:tcW w:w="1090" w:type="dxa"/>
                  <w:noWrap w:val="0"/>
                  <w:vAlign w:val="center"/>
                </w:tcPr>
                <w:p>
                  <w:pPr>
                    <w:autoSpaceDE w:val="0"/>
                    <w:autoSpaceDN w:val="0"/>
                    <w:adjustRightInd w:val="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eastAsia="zh-CN"/>
                    </w:rPr>
                    <w:t>废机油、油性漆</w:t>
                  </w:r>
                  <w:r>
                    <w:rPr>
                      <w:rFonts w:hint="eastAsia" w:ascii="Times New Roman" w:hAnsi="Times New Roman" w:cs="Times New Roman"/>
                      <w:color w:val="auto"/>
                      <w:sz w:val="21"/>
                      <w:szCs w:val="21"/>
                      <w:highlight w:val="none"/>
                      <w:lang w:val="en-US" w:eastAsia="zh-CN"/>
                    </w:rPr>
                    <w:t>等</w:t>
                  </w:r>
                </w:p>
              </w:tc>
              <w:tc>
                <w:tcPr>
                  <w:tcW w:w="3865" w:type="dxa"/>
                  <w:noWrap w:val="0"/>
                  <w:vAlign w:val="center"/>
                </w:tcPr>
                <w:p>
                  <w:pPr>
                    <w:autoSpaceDE w:val="0"/>
                    <w:autoSpaceDN w:val="0"/>
                    <w:adjustRightInd w:val="0"/>
                    <w:jc w:val="left"/>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地下水或土壤环境：有害物质泄漏通过垂直渗透进入地下水或土壤环境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9" w:type="dxa"/>
                  <w:noWrap w:val="0"/>
                  <w:vAlign w:val="center"/>
                </w:tcPr>
                <w:p>
                  <w:pPr>
                    <w:autoSpaceDE w:val="0"/>
                    <w:autoSpaceDN w:val="0"/>
                    <w:adjustRightInd w:val="0"/>
                    <w:jc w:val="center"/>
                    <w:textAlignment w:val="baseline"/>
                    <w:rPr>
                      <w:rFonts w:hint="eastAsia"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eastAsia="zh-CN"/>
                    </w:rPr>
                    <w:t>废气处理设施故障</w:t>
                  </w:r>
                </w:p>
              </w:tc>
              <w:tc>
                <w:tcPr>
                  <w:tcW w:w="1402" w:type="dxa"/>
                  <w:noWrap w:val="0"/>
                  <w:vAlign w:val="center"/>
                </w:tcPr>
                <w:p>
                  <w:pPr>
                    <w:autoSpaceDE w:val="0"/>
                    <w:autoSpaceDN w:val="0"/>
                    <w:adjustRightInd w:val="0"/>
                    <w:jc w:val="center"/>
                    <w:textAlignment w:val="baseline"/>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eastAsia="zh-CN"/>
                    </w:rPr>
                    <w:t>废气处理设施</w:t>
                  </w:r>
                </w:p>
              </w:tc>
              <w:tc>
                <w:tcPr>
                  <w:tcW w:w="1090" w:type="dxa"/>
                  <w:noWrap w:val="0"/>
                  <w:vAlign w:val="center"/>
                </w:tcPr>
                <w:p>
                  <w:pPr>
                    <w:autoSpaceDE w:val="0"/>
                    <w:autoSpaceDN w:val="0"/>
                    <w:adjustRightInd w:val="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VOCs、颗粒物</w:t>
                  </w:r>
                </w:p>
              </w:tc>
              <w:tc>
                <w:tcPr>
                  <w:tcW w:w="3865" w:type="dxa"/>
                  <w:noWrap w:val="0"/>
                  <w:vAlign w:val="center"/>
                </w:tcPr>
                <w:p>
                  <w:pPr>
                    <w:autoSpaceDE w:val="0"/>
                    <w:autoSpaceDN w:val="0"/>
                    <w:adjustRightInd w:val="0"/>
                    <w:jc w:val="left"/>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大气环境：</w:t>
                  </w:r>
                  <w:r>
                    <w:rPr>
                      <w:rFonts w:hint="eastAsia" w:ascii="Times New Roman" w:hAnsi="Times New Roman" w:cs="Times New Roman"/>
                      <w:color w:val="auto"/>
                      <w:sz w:val="21"/>
                      <w:szCs w:val="21"/>
                      <w:highlight w:val="none"/>
                      <w:lang w:eastAsia="zh-CN"/>
                    </w:rPr>
                    <w:t>废气直接</w:t>
                  </w:r>
                  <w:r>
                    <w:rPr>
                      <w:rFonts w:hint="default" w:ascii="Times New Roman" w:hAnsi="Times New Roman" w:cs="Times New Roman"/>
                      <w:color w:val="auto"/>
                      <w:sz w:val="21"/>
                      <w:szCs w:val="21"/>
                      <w:highlight w:val="none"/>
                    </w:rPr>
                    <w:t>排入大气环境</w:t>
                  </w:r>
                </w:p>
              </w:tc>
            </w:tr>
          </w:tbl>
          <w:p>
            <w:pPr>
              <w:spacing w:line="360" w:lineRule="auto"/>
              <w:ind w:firstLine="482" w:firstLineChars="200"/>
              <w:rPr>
                <w:rFonts w:hint="default" w:ascii="Times New Roman" w:hAnsi="Times New Roman" w:cs="Times New Roman"/>
                <w:b/>
                <w:bCs/>
                <w:color w:val="auto"/>
                <w:sz w:val="24"/>
                <w:szCs w:val="24"/>
                <w:highlight w:val="none"/>
              </w:rPr>
            </w:pPr>
            <w:r>
              <w:rPr>
                <w:rFonts w:hint="eastAsia" w:ascii="Times New Roman" w:hAnsi="Times New Roman" w:cs="Times New Roman"/>
                <w:b/>
                <w:bCs/>
                <w:color w:val="auto"/>
                <w:sz w:val="24"/>
                <w:szCs w:val="24"/>
                <w:highlight w:val="none"/>
                <w:lang w:val="en-US" w:eastAsia="zh-CN"/>
              </w:rPr>
              <w:t>7</w:t>
            </w:r>
            <w:r>
              <w:rPr>
                <w:rFonts w:hint="default" w:ascii="Times New Roman" w:hAnsi="Times New Roman" w:cs="Times New Roman"/>
                <w:b/>
                <w:bCs/>
                <w:color w:val="auto"/>
                <w:sz w:val="24"/>
                <w:szCs w:val="24"/>
                <w:highlight w:val="none"/>
                <w:lang w:val="en-US" w:eastAsia="zh-CN"/>
              </w:rPr>
              <w:t>.4环境风险预测与评价</w:t>
            </w:r>
          </w:p>
          <w:p>
            <w:pPr>
              <w:keepNext w:val="0"/>
              <w:keepLines w:val="0"/>
              <w:suppressLineNumbers w:val="0"/>
              <w:adjustRightInd w:val="0"/>
              <w:snapToGrid w:val="0"/>
              <w:spacing w:before="0" w:beforeAutospacing="0" w:after="0" w:afterAutospacing="0" w:line="360" w:lineRule="auto"/>
              <w:ind w:left="0" w:right="0" w:firstLine="480" w:firstLineChars="200"/>
              <w:textAlignment w:val="baseline"/>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根据前文所述，本项目的环境风险评价工作等级为简单分析，根据《建设项目环境风险评价技术导则》（HJ169-2018）的要求，只需进行简要分析，见下表。</w:t>
            </w:r>
          </w:p>
          <w:p>
            <w:pPr>
              <w:pStyle w:val="124"/>
              <w:spacing w:afterLine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表4-</w:t>
            </w:r>
            <w:r>
              <w:rPr>
                <w:rFonts w:hint="eastAsia" w:ascii="Times New Roman" w:hAnsi="Times New Roman" w:cs="Times New Roman"/>
                <w:color w:val="auto"/>
                <w:highlight w:val="none"/>
                <w:lang w:val="en-US" w:eastAsia="zh-CN"/>
              </w:rPr>
              <w:t>19</w:t>
            </w:r>
            <w:r>
              <w:rPr>
                <w:rFonts w:hint="default" w:ascii="Times New Roman" w:hAnsi="Times New Roman" w:cs="Times New Roman"/>
                <w:color w:val="auto"/>
                <w:highlight w:val="none"/>
                <w:lang w:val="en-US" w:eastAsia="zh-CN"/>
              </w:rPr>
              <w:t xml:space="preserve">  项目环境风险评价简单分析内容表</w:t>
            </w:r>
          </w:p>
          <w:tbl>
            <w:tblPr>
              <w:tblStyle w:val="4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52"/>
              <w:gridCol w:w="1124"/>
              <w:gridCol w:w="1700"/>
              <w:gridCol w:w="1394"/>
              <w:gridCol w:w="16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2152" w:type="dxa"/>
                  <w:tcBorders>
                    <w:tl2br w:val="nil"/>
                    <w:tr2bl w:val="nil"/>
                  </w:tcBorders>
                  <w:noWrap w:val="0"/>
                  <w:vAlign w:val="center"/>
                </w:tcPr>
                <w:p>
                  <w:pPr>
                    <w:autoSpaceDE w:val="0"/>
                    <w:autoSpaceDN w:val="0"/>
                    <w:adjustRightInd w:val="0"/>
                    <w:jc w:val="center"/>
                    <w:textAlignment w:val="baseline"/>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建设项目名称</w:t>
                  </w:r>
                </w:p>
              </w:tc>
              <w:tc>
                <w:tcPr>
                  <w:tcW w:w="5868" w:type="dxa"/>
                  <w:gridSpan w:val="4"/>
                  <w:tcBorders>
                    <w:tl2br w:val="nil"/>
                    <w:tr2bl w:val="nil"/>
                  </w:tcBorders>
                  <w:noWrap w:val="0"/>
                  <w:vAlign w:val="center"/>
                </w:tcPr>
                <w:p>
                  <w:pPr>
                    <w:autoSpaceDE w:val="0"/>
                    <w:autoSpaceDN w:val="0"/>
                    <w:adjustRightInd w:val="0"/>
                    <w:jc w:val="center"/>
                    <w:textAlignment w:val="baseline"/>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博物馆展柜玻璃加工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2152" w:type="dxa"/>
                  <w:tcBorders>
                    <w:tl2br w:val="nil"/>
                    <w:tr2bl w:val="nil"/>
                  </w:tcBorders>
                  <w:noWrap w:val="0"/>
                  <w:vAlign w:val="center"/>
                </w:tcPr>
                <w:p>
                  <w:pPr>
                    <w:autoSpaceDE w:val="0"/>
                    <w:autoSpaceDN w:val="0"/>
                    <w:adjustRightInd w:val="0"/>
                    <w:jc w:val="center"/>
                    <w:textAlignment w:val="baseline"/>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建设地点</w:t>
                  </w:r>
                </w:p>
              </w:tc>
              <w:tc>
                <w:tcPr>
                  <w:tcW w:w="5868" w:type="dxa"/>
                  <w:gridSpan w:val="4"/>
                  <w:tcBorders>
                    <w:tl2br w:val="nil"/>
                    <w:tr2bl w:val="nil"/>
                  </w:tcBorders>
                  <w:noWrap w:val="0"/>
                  <w:vAlign w:val="center"/>
                </w:tcPr>
                <w:p>
                  <w:pPr>
                    <w:autoSpaceDE w:val="0"/>
                    <w:autoSpaceDN w:val="0"/>
                    <w:adjustRightInd w:val="0"/>
                    <w:jc w:val="center"/>
                    <w:textAlignment w:val="baseline"/>
                    <w:rPr>
                      <w:rFonts w:hint="default" w:ascii="Times New Roman" w:hAnsi="Times New Roman" w:cs="Times New Roman"/>
                      <w:color w:val="auto"/>
                      <w:highlight w:val="none"/>
                      <w:lang w:val="en-US" w:eastAsia="zh-CN"/>
                    </w:rPr>
                  </w:pPr>
                  <w:r>
                    <w:rPr>
                      <w:rFonts w:hint="eastAsia" w:ascii="Times New Roman" w:hAnsi="Times New Roman" w:cs="Times New Roman"/>
                      <w:color w:val="auto"/>
                      <w:szCs w:val="21"/>
                      <w:highlight w:val="none"/>
                      <w:lang w:val="en-US" w:eastAsia="zh-CN"/>
                    </w:rPr>
                    <w:t>四川省乐山市工业集中区（嘉州工业园水口园区）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52" w:type="dxa"/>
                  <w:tcBorders>
                    <w:tl2br w:val="nil"/>
                    <w:tr2bl w:val="nil"/>
                  </w:tcBorders>
                  <w:noWrap w:val="0"/>
                  <w:vAlign w:val="center"/>
                </w:tcPr>
                <w:p>
                  <w:pPr>
                    <w:autoSpaceDE w:val="0"/>
                    <w:autoSpaceDN w:val="0"/>
                    <w:adjustRightInd w:val="0"/>
                    <w:jc w:val="center"/>
                    <w:textAlignment w:val="baseline"/>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地理坐标</w:t>
                  </w:r>
                </w:p>
              </w:tc>
              <w:tc>
                <w:tcPr>
                  <w:tcW w:w="1124" w:type="dxa"/>
                  <w:tcBorders>
                    <w:tl2br w:val="nil"/>
                    <w:tr2bl w:val="nil"/>
                  </w:tcBorders>
                  <w:noWrap w:val="0"/>
                  <w:vAlign w:val="center"/>
                </w:tcPr>
                <w:p>
                  <w:pPr>
                    <w:autoSpaceDE w:val="0"/>
                    <w:autoSpaceDN w:val="0"/>
                    <w:adjustRightInd w:val="0"/>
                    <w:jc w:val="center"/>
                    <w:textAlignment w:val="baseline"/>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经度</w:t>
                  </w:r>
                </w:p>
              </w:tc>
              <w:tc>
                <w:tcPr>
                  <w:tcW w:w="1700" w:type="dxa"/>
                  <w:tcBorders>
                    <w:tl2br w:val="nil"/>
                    <w:tr2bl w:val="nil"/>
                  </w:tcBorders>
                  <w:noWrap w:val="0"/>
                  <w:vAlign w:val="center"/>
                </w:tcPr>
                <w:p>
                  <w:pPr>
                    <w:autoSpaceDE w:val="0"/>
                    <w:autoSpaceDN w:val="0"/>
                    <w:adjustRightInd w:val="0"/>
                    <w:jc w:val="center"/>
                    <w:textAlignment w:val="baseline"/>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E10</w:t>
                  </w:r>
                  <w:r>
                    <w:rPr>
                      <w:rFonts w:hint="eastAsia" w:ascii="Times New Roman" w:hAnsi="Times New Roman" w:cs="Times New Roman"/>
                      <w:color w:val="auto"/>
                      <w:highlight w:val="none"/>
                      <w:lang w:val="en-US" w:eastAsia="zh-CN"/>
                    </w:rPr>
                    <w:t>3</w:t>
                  </w:r>
                  <w:r>
                    <w:rPr>
                      <w:rFonts w:hint="default" w:ascii="Times New Roman" w:hAnsi="Times New Roman" w:cs="Times New Roman"/>
                      <w:color w:val="auto"/>
                      <w:highlight w:val="none"/>
                      <w:lang w:val="en-US" w:eastAsia="zh-CN"/>
                    </w:rPr>
                    <w:t>°</w:t>
                  </w:r>
                  <w:r>
                    <w:rPr>
                      <w:rFonts w:hint="eastAsia" w:ascii="Times New Roman" w:hAnsi="Times New Roman" w:cs="Times New Roman"/>
                      <w:color w:val="auto"/>
                      <w:highlight w:val="none"/>
                      <w:lang w:val="en-US" w:eastAsia="zh-CN"/>
                    </w:rPr>
                    <w:t>39</w:t>
                  </w:r>
                  <w:r>
                    <w:rPr>
                      <w:rFonts w:hint="default" w:ascii="Times New Roman" w:hAnsi="Times New Roman" w:cs="Times New Roman"/>
                      <w:color w:val="auto"/>
                      <w:highlight w:val="none"/>
                      <w:lang w:val="en-US" w:eastAsia="zh-CN"/>
                    </w:rPr>
                    <w:t>′</w:t>
                  </w:r>
                  <w:r>
                    <w:rPr>
                      <w:rFonts w:hint="eastAsia" w:ascii="Times New Roman" w:hAnsi="Times New Roman" w:cs="Times New Roman"/>
                      <w:color w:val="auto"/>
                      <w:highlight w:val="none"/>
                      <w:lang w:val="en-US" w:eastAsia="zh-CN"/>
                    </w:rPr>
                    <w:t>2.160</w:t>
                  </w:r>
                  <w:r>
                    <w:rPr>
                      <w:rFonts w:hint="default" w:ascii="Times New Roman" w:hAnsi="Times New Roman" w:cs="Times New Roman"/>
                      <w:color w:val="auto"/>
                      <w:highlight w:val="none"/>
                      <w:lang w:val="en-US" w:eastAsia="zh-CN"/>
                    </w:rPr>
                    <w:t>″</w:t>
                  </w:r>
                </w:p>
              </w:tc>
              <w:tc>
                <w:tcPr>
                  <w:tcW w:w="1394" w:type="dxa"/>
                  <w:tcBorders>
                    <w:tl2br w:val="nil"/>
                    <w:tr2bl w:val="nil"/>
                  </w:tcBorders>
                  <w:noWrap w:val="0"/>
                  <w:vAlign w:val="center"/>
                </w:tcPr>
                <w:p>
                  <w:pPr>
                    <w:autoSpaceDE w:val="0"/>
                    <w:autoSpaceDN w:val="0"/>
                    <w:adjustRightInd w:val="0"/>
                    <w:jc w:val="center"/>
                    <w:textAlignment w:val="baseline"/>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纬度</w:t>
                  </w:r>
                </w:p>
              </w:tc>
              <w:tc>
                <w:tcPr>
                  <w:tcW w:w="1650" w:type="dxa"/>
                  <w:tcBorders>
                    <w:tl2br w:val="nil"/>
                    <w:tr2bl w:val="nil"/>
                  </w:tcBorders>
                  <w:noWrap w:val="0"/>
                  <w:vAlign w:val="center"/>
                </w:tcPr>
                <w:p>
                  <w:pPr>
                    <w:autoSpaceDE w:val="0"/>
                    <w:autoSpaceDN w:val="0"/>
                    <w:adjustRightInd w:val="0"/>
                    <w:jc w:val="center"/>
                    <w:textAlignment w:val="baseline"/>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N2</w:t>
                  </w:r>
                  <w:r>
                    <w:rPr>
                      <w:rFonts w:hint="eastAsia" w:ascii="Times New Roman" w:hAnsi="Times New Roman" w:cs="Times New Roman"/>
                      <w:color w:val="auto"/>
                      <w:highlight w:val="none"/>
                      <w:lang w:val="en-US" w:eastAsia="zh-CN"/>
                    </w:rPr>
                    <w:t>9</w:t>
                  </w:r>
                  <w:r>
                    <w:rPr>
                      <w:rFonts w:hint="default" w:ascii="Times New Roman" w:hAnsi="Times New Roman" w:cs="Times New Roman"/>
                      <w:color w:val="auto"/>
                      <w:highlight w:val="none"/>
                      <w:lang w:val="en-US" w:eastAsia="zh-CN"/>
                    </w:rPr>
                    <w:t>°</w:t>
                  </w:r>
                  <w:r>
                    <w:rPr>
                      <w:rFonts w:hint="eastAsia" w:ascii="Times New Roman" w:hAnsi="Times New Roman" w:cs="Times New Roman"/>
                      <w:color w:val="auto"/>
                      <w:highlight w:val="none"/>
                      <w:lang w:val="en-US" w:eastAsia="zh-CN"/>
                    </w:rPr>
                    <w:t>32</w:t>
                  </w:r>
                  <w:r>
                    <w:rPr>
                      <w:rFonts w:hint="default" w:ascii="Times New Roman" w:hAnsi="Times New Roman" w:cs="Times New Roman"/>
                      <w:color w:val="auto"/>
                      <w:highlight w:val="none"/>
                      <w:lang w:val="en-US" w:eastAsia="zh-CN"/>
                    </w:rPr>
                    <w:t>′</w:t>
                  </w:r>
                  <w:r>
                    <w:rPr>
                      <w:rFonts w:hint="eastAsia" w:ascii="Times New Roman" w:hAnsi="Times New Roman" w:cs="Times New Roman"/>
                      <w:color w:val="auto"/>
                      <w:highlight w:val="none"/>
                      <w:lang w:val="en-US" w:eastAsia="zh-CN"/>
                    </w:rPr>
                    <w:t>36.240</w:t>
                  </w:r>
                  <w:r>
                    <w:rPr>
                      <w:rFonts w:hint="default" w:ascii="Times New Roman" w:hAnsi="Times New Roman" w:cs="Times New Roman"/>
                      <w:color w:val="auto"/>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2152" w:type="dxa"/>
                  <w:tcBorders>
                    <w:tl2br w:val="nil"/>
                    <w:tr2bl w:val="nil"/>
                  </w:tcBorders>
                  <w:noWrap w:val="0"/>
                  <w:vAlign w:val="center"/>
                </w:tcPr>
                <w:p>
                  <w:pPr>
                    <w:autoSpaceDE w:val="0"/>
                    <w:autoSpaceDN w:val="0"/>
                    <w:adjustRightInd w:val="0"/>
                    <w:jc w:val="center"/>
                    <w:textAlignment w:val="baseline"/>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主要危险物质及分布</w:t>
                  </w:r>
                </w:p>
              </w:tc>
              <w:tc>
                <w:tcPr>
                  <w:tcW w:w="5868" w:type="dxa"/>
                  <w:gridSpan w:val="4"/>
                  <w:tcBorders>
                    <w:tl2br w:val="nil"/>
                    <w:tr2bl w:val="nil"/>
                  </w:tcBorders>
                  <w:noWrap w:val="0"/>
                  <w:vAlign w:val="center"/>
                </w:tcPr>
                <w:p>
                  <w:pPr>
                    <w:autoSpaceDE w:val="0"/>
                    <w:autoSpaceDN w:val="0"/>
                    <w:adjustRightInd w:val="0"/>
                    <w:jc w:val="center"/>
                    <w:textAlignment w:val="baseline"/>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危废暂存间（废机油、废活性炭）、喷漆房和漆库房（油性漆）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87" w:hRule="atLeast"/>
                <w:jc w:val="center"/>
              </w:trPr>
              <w:tc>
                <w:tcPr>
                  <w:tcW w:w="2152" w:type="dxa"/>
                  <w:tcBorders>
                    <w:tl2br w:val="nil"/>
                    <w:tr2bl w:val="nil"/>
                  </w:tcBorders>
                  <w:noWrap w:val="0"/>
                  <w:vAlign w:val="center"/>
                </w:tcPr>
                <w:p>
                  <w:pPr>
                    <w:autoSpaceDE w:val="0"/>
                    <w:autoSpaceDN w:val="0"/>
                    <w:adjustRightInd w:val="0"/>
                    <w:jc w:val="center"/>
                    <w:textAlignment w:val="baseline"/>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环境影响途径及危害后果（大气、地表水、地下水等）</w:t>
                  </w:r>
                </w:p>
              </w:tc>
              <w:tc>
                <w:tcPr>
                  <w:tcW w:w="5868" w:type="dxa"/>
                  <w:gridSpan w:val="4"/>
                  <w:tcBorders>
                    <w:tl2br w:val="nil"/>
                    <w:tr2bl w:val="nil"/>
                  </w:tcBorders>
                  <w:noWrap w:val="0"/>
                  <w:vAlign w:val="center"/>
                </w:tcPr>
                <w:p>
                  <w:pPr>
                    <w:autoSpaceDE w:val="0"/>
                    <w:autoSpaceDN w:val="0"/>
                    <w:adjustRightInd w:val="0"/>
                    <w:jc w:val="left"/>
                    <w:textAlignment w:val="baseline"/>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（1）大气环境：</w:t>
                  </w:r>
                  <w:r>
                    <w:rPr>
                      <w:rFonts w:hint="eastAsia" w:ascii="Times New Roman" w:hAnsi="Times New Roman" w:cs="Times New Roman"/>
                      <w:color w:val="auto"/>
                      <w:highlight w:val="none"/>
                      <w:lang w:val="en-US" w:eastAsia="zh-CN"/>
                    </w:rPr>
                    <w:t>有机废气直接</w:t>
                  </w:r>
                  <w:r>
                    <w:rPr>
                      <w:rFonts w:hint="default" w:ascii="Times New Roman" w:hAnsi="Times New Roman" w:cs="Times New Roman"/>
                      <w:color w:val="auto"/>
                      <w:highlight w:val="none"/>
                      <w:lang w:val="en-US" w:eastAsia="zh-CN"/>
                    </w:rPr>
                    <w:t>排入大气环境，火灾爆炸产生的次生污染物排入大气环境；</w:t>
                  </w:r>
                </w:p>
                <w:p>
                  <w:pPr>
                    <w:autoSpaceDE w:val="0"/>
                    <w:autoSpaceDN w:val="0"/>
                    <w:adjustRightInd w:val="0"/>
                    <w:jc w:val="left"/>
                    <w:textAlignment w:val="baseline"/>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（2）地表水环境：火灾消防过程废水通过地表径流进入地表水环境</w:t>
                  </w:r>
                  <w:r>
                    <w:rPr>
                      <w:rFonts w:hint="eastAsia" w:ascii="Times New Roman" w:hAnsi="Times New Roman" w:cs="Times New Roman"/>
                      <w:color w:val="auto"/>
                      <w:highlight w:val="none"/>
                      <w:lang w:val="en-US" w:eastAsia="zh-CN"/>
                    </w:rPr>
                    <w:t>；</w:t>
                  </w:r>
                </w:p>
                <w:p>
                  <w:pPr>
                    <w:autoSpaceDE w:val="0"/>
                    <w:autoSpaceDN w:val="0"/>
                    <w:adjustRightInd w:val="0"/>
                    <w:jc w:val="left"/>
                    <w:textAlignment w:val="baseline"/>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（3）地下水或土壤环境：有害物质或废水泄漏通过垂直渗透进入。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152" w:type="dxa"/>
                  <w:tcBorders>
                    <w:tl2br w:val="nil"/>
                    <w:tr2bl w:val="nil"/>
                  </w:tcBorders>
                  <w:noWrap w:val="0"/>
                  <w:vAlign w:val="center"/>
                </w:tcPr>
                <w:p>
                  <w:pPr>
                    <w:autoSpaceDE w:val="0"/>
                    <w:autoSpaceDN w:val="0"/>
                    <w:adjustRightInd w:val="0"/>
                    <w:jc w:val="center"/>
                    <w:textAlignment w:val="baseline"/>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风险防范措施要求</w:t>
                  </w:r>
                </w:p>
              </w:tc>
              <w:tc>
                <w:tcPr>
                  <w:tcW w:w="5868" w:type="dxa"/>
                  <w:gridSpan w:val="4"/>
                  <w:tcBorders>
                    <w:tl2br w:val="nil"/>
                    <w:tr2bl w:val="nil"/>
                  </w:tcBorders>
                  <w:noWrap w:val="0"/>
                  <w:vAlign w:val="center"/>
                </w:tcPr>
                <w:p>
                  <w:pPr>
                    <w:autoSpaceDE w:val="0"/>
                    <w:autoSpaceDN w:val="0"/>
                    <w:adjustRightInd w:val="0"/>
                    <w:jc w:val="left"/>
                    <w:textAlignment w:val="baseline"/>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设置危废暂存间，</w:t>
                  </w:r>
                  <w:r>
                    <w:rPr>
                      <w:rFonts w:hint="default" w:ascii="Times New Roman" w:hAnsi="Times New Roman" w:cs="Times New Roman"/>
                      <w:color w:val="auto"/>
                      <w:highlight w:val="none"/>
                      <w:lang w:val="en-US" w:eastAsia="zh-CN"/>
                    </w:rPr>
                    <w:t>做好分区防渗，加强设施设备运维管理，及时发现问题并处理。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39" w:hRule="atLeast"/>
                <w:jc w:val="center"/>
              </w:trPr>
              <w:tc>
                <w:tcPr>
                  <w:tcW w:w="2152" w:type="dxa"/>
                  <w:tcBorders>
                    <w:tl2br w:val="nil"/>
                    <w:tr2bl w:val="nil"/>
                  </w:tcBorders>
                  <w:noWrap w:val="0"/>
                  <w:vAlign w:val="center"/>
                </w:tcPr>
                <w:p>
                  <w:pPr>
                    <w:autoSpaceDE w:val="0"/>
                    <w:autoSpaceDN w:val="0"/>
                    <w:adjustRightInd w:val="0"/>
                    <w:jc w:val="center"/>
                    <w:textAlignment w:val="baseline"/>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填表说明（列出项目相关信息及评价说明）</w:t>
                  </w:r>
                </w:p>
              </w:tc>
              <w:tc>
                <w:tcPr>
                  <w:tcW w:w="5868" w:type="dxa"/>
                  <w:gridSpan w:val="4"/>
                  <w:tcBorders>
                    <w:tl2br w:val="nil"/>
                    <w:tr2bl w:val="nil"/>
                  </w:tcBorders>
                  <w:noWrap w:val="0"/>
                  <w:vAlign w:val="center"/>
                </w:tcPr>
                <w:p>
                  <w:pPr>
                    <w:autoSpaceDE w:val="0"/>
                    <w:autoSpaceDN w:val="0"/>
                    <w:adjustRightInd w:val="0"/>
                    <w:jc w:val="left"/>
                    <w:textAlignment w:val="baseline"/>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根据建设项目环境风险评价技术导则》（HJ169-2018）风险评价规则，本项目环境风险潜势为Ⅰ，根据评价工作等级划分，本项目只需进行简单分析。</w:t>
                  </w:r>
                </w:p>
              </w:tc>
            </w:tr>
          </w:tbl>
          <w:p>
            <w:pPr>
              <w:spacing w:line="360" w:lineRule="auto"/>
              <w:ind w:firstLine="442" w:firstLineChars="200"/>
              <w:rPr>
                <w:rFonts w:hint="default" w:ascii="Times New Roman" w:hAnsi="Times New Roman" w:cs="Times New Roman"/>
                <w:b/>
                <w:bCs/>
                <w:color w:val="auto"/>
                <w:sz w:val="22"/>
                <w:szCs w:val="22"/>
                <w:highlight w:val="none"/>
                <w:lang w:val="en-US" w:eastAsia="zh-CN"/>
              </w:rPr>
            </w:pPr>
            <w:r>
              <w:rPr>
                <w:rFonts w:hint="eastAsia" w:ascii="Times New Roman" w:hAnsi="Times New Roman" w:cs="Times New Roman"/>
                <w:b/>
                <w:bCs/>
                <w:color w:val="auto"/>
                <w:sz w:val="22"/>
                <w:szCs w:val="22"/>
                <w:highlight w:val="none"/>
                <w:lang w:val="en-US" w:eastAsia="zh-CN"/>
              </w:rPr>
              <w:t>7</w:t>
            </w:r>
            <w:r>
              <w:rPr>
                <w:rFonts w:hint="default" w:ascii="Times New Roman" w:hAnsi="Times New Roman" w:cs="Times New Roman"/>
                <w:b/>
                <w:bCs/>
                <w:color w:val="auto"/>
                <w:sz w:val="22"/>
                <w:szCs w:val="22"/>
                <w:highlight w:val="none"/>
                <w:lang w:val="en-US" w:eastAsia="zh-CN"/>
              </w:rPr>
              <w:t>.5 环境风险防范措施</w:t>
            </w:r>
          </w:p>
          <w:p>
            <w:pPr>
              <w:autoSpaceDE w:val="0"/>
              <w:autoSpaceDN w:val="0"/>
              <w:adjustRightInd w:val="0"/>
              <w:spacing w:line="360" w:lineRule="auto"/>
              <w:ind w:firstLine="440" w:firstLineChars="200"/>
              <w:rPr>
                <w:rFonts w:hint="default" w:ascii="Times New Roman" w:hAnsi="Times New Roman" w:cs="Times New Roman"/>
                <w:color w:val="auto"/>
                <w:sz w:val="22"/>
                <w:szCs w:val="22"/>
                <w:highlight w:val="none"/>
                <w:lang w:eastAsia="zh-CN"/>
              </w:rPr>
            </w:pPr>
            <w:r>
              <w:rPr>
                <w:rFonts w:hint="default" w:ascii="Times New Roman" w:hAnsi="Times New Roman" w:cs="Times New Roman"/>
                <w:color w:val="auto"/>
                <w:sz w:val="22"/>
                <w:szCs w:val="22"/>
                <w:highlight w:val="none"/>
                <w:lang w:eastAsia="zh-CN"/>
              </w:rPr>
              <w:t>（</w:t>
            </w:r>
            <w:r>
              <w:rPr>
                <w:rFonts w:hint="default" w:ascii="Times New Roman" w:hAnsi="Times New Roman" w:cs="Times New Roman"/>
                <w:color w:val="auto"/>
                <w:sz w:val="22"/>
                <w:szCs w:val="22"/>
                <w:highlight w:val="none"/>
                <w:lang w:val="en-US" w:eastAsia="zh-CN"/>
              </w:rPr>
              <w:t>1</w:t>
            </w:r>
            <w:r>
              <w:rPr>
                <w:rFonts w:hint="default" w:ascii="Times New Roman" w:hAnsi="Times New Roman" w:cs="Times New Roman"/>
                <w:color w:val="auto"/>
                <w:sz w:val="22"/>
                <w:szCs w:val="22"/>
                <w:highlight w:val="none"/>
                <w:lang w:eastAsia="zh-CN"/>
              </w:rPr>
              <w:t>）</w:t>
            </w:r>
            <w:r>
              <w:rPr>
                <w:rFonts w:hint="eastAsia" w:ascii="Times New Roman" w:hAnsi="Times New Roman" w:cs="Times New Roman"/>
                <w:color w:val="auto"/>
                <w:sz w:val="22"/>
                <w:szCs w:val="22"/>
                <w:highlight w:val="none"/>
                <w:lang w:eastAsia="zh-CN"/>
              </w:rPr>
              <w:t>原辅料泄露事故防范措施</w:t>
            </w:r>
          </w:p>
          <w:p>
            <w:pPr>
              <w:autoSpaceDE w:val="0"/>
              <w:autoSpaceDN w:val="0"/>
              <w:adjustRightInd w:val="0"/>
              <w:spacing w:line="360" w:lineRule="auto"/>
              <w:ind w:firstLine="440" w:firstLineChars="200"/>
              <w:rPr>
                <w:rFonts w:hint="default" w:ascii="Times New Roman" w:hAnsi="Times New Roman" w:cs="Times New Roman"/>
                <w:color w:val="auto"/>
                <w:sz w:val="22"/>
                <w:szCs w:val="22"/>
                <w:highlight w:val="none"/>
                <w:lang w:eastAsia="zh-CN"/>
              </w:rPr>
            </w:pPr>
            <w:r>
              <w:rPr>
                <w:rFonts w:hint="eastAsia" w:ascii="Times New Roman" w:hAnsi="Times New Roman" w:cs="Times New Roman"/>
                <w:color w:val="auto"/>
                <w:sz w:val="22"/>
                <w:szCs w:val="22"/>
                <w:highlight w:val="none"/>
                <w:lang w:eastAsia="zh-CN"/>
              </w:rPr>
              <w:t>①项目使用原辅料，须存放在专门的仓库内，专人管理，负责看管保存及清点易燃物质。</w:t>
            </w:r>
          </w:p>
          <w:p>
            <w:pPr>
              <w:autoSpaceDE w:val="0"/>
              <w:autoSpaceDN w:val="0"/>
              <w:adjustRightInd w:val="0"/>
              <w:spacing w:line="360" w:lineRule="auto"/>
              <w:ind w:firstLine="440" w:firstLineChars="200"/>
              <w:rPr>
                <w:rFonts w:hint="default" w:ascii="Times New Roman" w:hAnsi="Times New Roman" w:cs="Times New Roman"/>
                <w:color w:val="auto"/>
                <w:sz w:val="22"/>
                <w:szCs w:val="22"/>
                <w:highlight w:val="none"/>
                <w:lang w:eastAsia="zh-CN"/>
              </w:rPr>
            </w:pPr>
            <w:r>
              <w:rPr>
                <w:rFonts w:hint="eastAsia" w:ascii="Times New Roman" w:hAnsi="Times New Roman" w:cs="Times New Roman"/>
                <w:color w:val="auto"/>
                <w:sz w:val="22"/>
                <w:szCs w:val="22"/>
                <w:highlight w:val="none"/>
                <w:lang w:eastAsia="zh-CN"/>
              </w:rPr>
              <w:t>②严格执行厂房的安全制度，对厂房的电源、消防器材等定期进行安全检查，发现隐患及时处理，保证物资和厂房的安全。</w:t>
            </w:r>
          </w:p>
          <w:p>
            <w:pPr>
              <w:autoSpaceDE w:val="0"/>
              <w:autoSpaceDN w:val="0"/>
              <w:adjustRightInd w:val="0"/>
              <w:spacing w:line="360" w:lineRule="auto"/>
              <w:ind w:firstLine="440" w:firstLineChars="200"/>
              <w:rPr>
                <w:rFonts w:hint="eastAsia" w:ascii="Times New Roman" w:hAnsi="Times New Roman" w:cs="Times New Roman"/>
                <w:color w:val="auto"/>
                <w:sz w:val="22"/>
                <w:szCs w:val="22"/>
                <w:highlight w:val="none"/>
                <w:lang w:eastAsia="zh-CN"/>
              </w:rPr>
            </w:pPr>
            <w:r>
              <w:rPr>
                <w:rFonts w:hint="eastAsia" w:ascii="Times New Roman" w:hAnsi="Times New Roman" w:cs="Times New Roman"/>
                <w:color w:val="auto"/>
                <w:sz w:val="22"/>
                <w:szCs w:val="22"/>
                <w:highlight w:val="none"/>
                <w:lang w:eastAsia="zh-CN"/>
              </w:rPr>
              <w:t>（</w:t>
            </w:r>
            <w:r>
              <w:rPr>
                <w:rFonts w:hint="eastAsia" w:ascii="Times New Roman" w:hAnsi="Times New Roman" w:cs="Times New Roman"/>
                <w:color w:val="auto"/>
                <w:sz w:val="22"/>
                <w:szCs w:val="22"/>
                <w:highlight w:val="none"/>
                <w:lang w:val="en-US" w:eastAsia="zh-CN"/>
              </w:rPr>
              <w:t>2</w:t>
            </w:r>
            <w:r>
              <w:rPr>
                <w:rFonts w:hint="eastAsia" w:ascii="Times New Roman" w:hAnsi="Times New Roman" w:cs="Times New Roman"/>
                <w:color w:val="auto"/>
                <w:sz w:val="22"/>
                <w:szCs w:val="22"/>
                <w:highlight w:val="none"/>
                <w:lang w:eastAsia="zh-CN"/>
              </w:rPr>
              <w:t>）火灾爆炸事故防范措施</w:t>
            </w:r>
          </w:p>
          <w:p>
            <w:pPr>
              <w:autoSpaceDE w:val="0"/>
              <w:autoSpaceDN w:val="0"/>
              <w:adjustRightInd w:val="0"/>
              <w:spacing w:line="360" w:lineRule="auto"/>
              <w:ind w:firstLine="440" w:firstLineChars="200"/>
              <w:rPr>
                <w:rFonts w:hint="eastAsia" w:ascii="Times New Roman" w:hAnsi="Times New Roman" w:cs="Times New Roman"/>
                <w:color w:val="auto"/>
                <w:sz w:val="22"/>
                <w:szCs w:val="22"/>
                <w:highlight w:val="none"/>
                <w:lang w:eastAsia="zh-CN"/>
              </w:rPr>
            </w:pPr>
            <w:r>
              <w:rPr>
                <w:rFonts w:hint="eastAsia" w:ascii="Times New Roman" w:hAnsi="Times New Roman" w:cs="Times New Roman"/>
                <w:color w:val="auto"/>
                <w:sz w:val="22"/>
                <w:szCs w:val="22"/>
                <w:highlight w:val="none"/>
                <w:lang w:eastAsia="zh-CN"/>
              </w:rPr>
              <w:t>①对</w:t>
            </w:r>
            <w:r>
              <w:rPr>
                <w:rFonts w:hint="eastAsia" w:ascii="Times New Roman" w:hAnsi="Times New Roman" w:cs="Times New Roman"/>
                <w:color w:val="auto"/>
                <w:sz w:val="22"/>
                <w:szCs w:val="22"/>
                <w:highlight w:val="none"/>
                <w:lang w:val="en-US" w:eastAsia="zh-CN"/>
              </w:rPr>
              <w:t>库房</w:t>
            </w:r>
            <w:r>
              <w:rPr>
                <w:rFonts w:hint="eastAsia" w:ascii="Times New Roman" w:hAnsi="Times New Roman" w:cs="Times New Roman"/>
                <w:color w:val="auto"/>
                <w:sz w:val="22"/>
                <w:szCs w:val="22"/>
                <w:highlight w:val="none"/>
                <w:lang w:eastAsia="zh-CN"/>
              </w:rPr>
              <w:t>及时检查，设置明显标志，按计划采购，分期分批入库，严格控制贮存量。</w:t>
            </w:r>
          </w:p>
          <w:p>
            <w:pPr>
              <w:autoSpaceDE w:val="0"/>
              <w:autoSpaceDN w:val="0"/>
              <w:adjustRightInd w:val="0"/>
              <w:spacing w:line="360" w:lineRule="auto"/>
              <w:ind w:firstLine="440" w:firstLineChars="200"/>
              <w:rPr>
                <w:rFonts w:hint="eastAsia" w:ascii="Times New Roman" w:hAnsi="Times New Roman" w:cs="Times New Roman"/>
                <w:color w:val="auto"/>
                <w:sz w:val="22"/>
                <w:szCs w:val="22"/>
                <w:highlight w:val="none"/>
                <w:lang w:eastAsia="zh-CN"/>
              </w:rPr>
            </w:pPr>
            <w:r>
              <w:rPr>
                <w:rFonts w:hint="eastAsia" w:ascii="Times New Roman" w:hAnsi="Times New Roman" w:cs="Times New Roman"/>
                <w:color w:val="auto"/>
                <w:sz w:val="22"/>
                <w:szCs w:val="22"/>
                <w:highlight w:val="none"/>
                <w:lang w:eastAsia="zh-CN"/>
              </w:rPr>
              <w:t>②实行安全检查制度，各类安全设施、消防器材等进行各种日常、定期的、专业的防火安全检查，及时发现问题并进行整改。禁止员工在</w:t>
            </w:r>
            <w:r>
              <w:rPr>
                <w:rFonts w:hint="eastAsia" w:ascii="Times New Roman" w:hAnsi="Times New Roman" w:cs="Times New Roman"/>
                <w:color w:val="auto"/>
                <w:sz w:val="22"/>
                <w:szCs w:val="22"/>
                <w:highlight w:val="none"/>
                <w:lang w:val="en-US" w:eastAsia="zh-CN"/>
              </w:rPr>
              <w:t>漆库房</w:t>
            </w:r>
            <w:r>
              <w:rPr>
                <w:rFonts w:hint="eastAsia" w:ascii="Times New Roman" w:hAnsi="Times New Roman" w:cs="Times New Roman"/>
                <w:color w:val="auto"/>
                <w:sz w:val="22"/>
                <w:szCs w:val="22"/>
                <w:highlight w:val="none"/>
                <w:lang w:eastAsia="zh-CN"/>
              </w:rPr>
              <w:t>、</w:t>
            </w:r>
            <w:r>
              <w:rPr>
                <w:rFonts w:hint="eastAsia" w:ascii="Times New Roman" w:hAnsi="Times New Roman" w:cs="Times New Roman"/>
                <w:color w:val="auto"/>
                <w:sz w:val="22"/>
                <w:szCs w:val="22"/>
                <w:highlight w:val="none"/>
                <w:lang w:val="en-US" w:eastAsia="zh-CN"/>
              </w:rPr>
              <w:t>危废暂存间</w:t>
            </w:r>
            <w:r>
              <w:rPr>
                <w:rFonts w:hint="eastAsia" w:ascii="Times New Roman" w:hAnsi="Times New Roman" w:cs="Times New Roman"/>
                <w:color w:val="auto"/>
                <w:sz w:val="22"/>
                <w:szCs w:val="22"/>
                <w:highlight w:val="none"/>
                <w:lang w:eastAsia="zh-CN"/>
              </w:rPr>
              <w:t>吸烟点火，提高员工安全意识，加强消防培训，更多的立足自防自救。</w:t>
            </w:r>
          </w:p>
          <w:p>
            <w:pPr>
              <w:autoSpaceDE w:val="0"/>
              <w:autoSpaceDN w:val="0"/>
              <w:adjustRightInd w:val="0"/>
              <w:spacing w:line="360" w:lineRule="auto"/>
              <w:ind w:firstLine="440" w:firstLineChars="200"/>
              <w:rPr>
                <w:rFonts w:hint="default" w:ascii="Times New Roman" w:hAnsi="Times New Roman" w:cs="Times New Roman"/>
                <w:color w:val="auto"/>
                <w:sz w:val="22"/>
                <w:szCs w:val="22"/>
                <w:highlight w:val="none"/>
                <w:lang w:eastAsia="zh-CN"/>
              </w:rPr>
            </w:pPr>
            <w:r>
              <w:rPr>
                <w:rFonts w:hint="eastAsia" w:ascii="Times New Roman" w:hAnsi="Times New Roman" w:cs="Times New Roman"/>
                <w:color w:val="auto"/>
                <w:sz w:val="22"/>
                <w:szCs w:val="22"/>
                <w:highlight w:val="none"/>
                <w:lang w:eastAsia="zh-CN"/>
              </w:rPr>
              <w:t>（</w:t>
            </w:r>
            <w:r>
              <w:rPr>
                <w:rFonts w:hint="eastAsia" w:ascii="Times New Roman" w:hAnsi="Times New Roman" w:cs="Times New Roman"/>
                <w:color w:val="auto"/>
                <w:sz w:val="22"/>
                <w:szCs w:val="22"/>
                <w:highlight w:val="none"/>
                <w:lang w:val="en-US" w:eastAsia="zh-CN"/>
              </w:rPr>
              <w:t>3</w:t>
            </w:r>
            <w:r>
              <w:rPr>
                <w:rFonts w:hint="eastAsia" w:ascii="Times New Roman" w:hAnsi="Times New Roman" w:cs="Times New Roman"/>
                <w:color w:val="auto"/>
                <w:sz w:val="22"/>
                <w:szCs w:val="22"/>
                <w:highlight w:val="none"/>
                <w:lang w:eastAsia="zh-CN"/>
              </w:rPr>
              <w:t>）危险废物泄漏防范措施</w:t>
            </w:r>
          </w:p>
          <w:p>
            <w:pPr>
              <w:spacing w:line="360" w:lineRule="auto"/>
              <w:ind w:firstLine="440" w:firstLineChars="200"/>
              <w:rPr>
                <w:rFonts w:hint="eastAsia"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①满足</w:t>
            </w:r>
            <w:r>
              <w:rPr>
                <w:rFonts w:hint="eastAsia" w:ascii="Times New Roman" w:hAnsi="Times New Roman" w:eastAsia="宋体" w:cs="Times New Roman"/>
                <w:color w:val="auto"/>
                <w:sz w:val="22"/>
                <w:szCs w:val="22"/>
                <w:highlight w:val="none"/>
              </w:rPr>
              <w:t>《危险废物贮存污染控制标准》（GB18597-2023）</w:t>
            </w:r>
            <w:r>
              <w:rPr>
                <w:rFonts w:hint="eastAsia" w:ascii="Times New Roman" w:hAnsi="Times New Roman" w:eastAsia="宋体" w:cs="Times New Roman"/>
                <w:color w:val="auto"/>
                <w:sz w:val="22"/>
                <w:szCs w:val="22"/>
                <w:highlight w:val="none"/>
                <w:lang w:eastAsia="zh-CN"/>
              </w:rPr>
              <w:t>要求，作重点防渗处理，不同类别的危险废物分类存放。</w:t>
            </w:r>
          </w:p>
          <w:p>
            <w:pPr>
              <w:spacing w:line="360" w:lineRule="auto"/>
              <w:ind w:firstLine="440" w:firstLineChars="200"/>
              <w:rPr>
                <w:rFonts w:hint="eastAsia"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②设置危废暂存间、危险废物管理制度并使用醒目的标识，定期由专门技术人员对标识进行检查。如果标识破碎或其他原因导致其无法识别，立即更换。</w:t>
            </w:r>
          </w:p>
          <w:p>
            <w:pPr>
              <w:spacing w:line="360" w:lineRule="auto"/>
              <w:ind w:firstLine="440" w:firstLineChars="200"/>
              <w:rPr>
                <w:rFonts w:hint="eastAsia"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③危险废物的存放和转移都排专门负责人进行记录登记，其中包括存放和转移的量及日期等，及时联系厂家进行回收。</w:t>
            </w:r>
          </w:p>
          <w:p>
            <w:pPr>
              <w:spacing w:line="360" w:lineRule="auto"/>
              <w:ind w:firstLine="440" w:firstLineChars="200"/>
              <w:rPr>
                <w:rFonts w:hint="default" w:ascii="Times New Roman" w:hAnsi="Times New Roman" w:cs="Times New Roman"/>
                <w:color w:val="auto"/>
                <w:sz w:val="22"/>
                <w:szCs w:val="22"/>
                <w:highlight w:val="none"/>
                <w:lang w:eastAsia="zh-CN"/>
              </w:rPr>
            </w:pPr>
            <w:r>
              <w:rPr>
                <w:rFonts w:hint="eastAsia" w:ascii="Times New Roman" w:hAnsi="Times New Roman" w:eastAsia="宋体" w:cs="Times New Roman"/>
                <w:color w:val="auto"/>
                <w:sz w:val="22"/>
                <w:szCs w:val="22"/>
                <w:highlight w:val="none"/>
                <w:lang w:val="en-US" w:eastAsia="zh-CN"/>
              </w:rPr>
              <w:t>④危废暂存间设置围堰，防止有毒有害物质外溢扩散，设置消防器材，预防火灾事故的发生。</w:t>
            </w:r>
          </w:p>
          <w:p>
            <w:pPr>
              <w:adjustRightInd w:val="0"/>
              <w:jc w:val="center"/>
              <w:textAlignment w:val="baseline"/>
              <w:rPr>
                <w:rFonts w:hint="eastAsia" w:ascii="Times New Roman" w:hAnsi="Times New Roman" w:eastAsia="宋体" w:cs="Times New Roman"/>
                <w:b/>
                <w:bCs/>
                <w:color w:val="auto"/>
                <w:highlight w:val="none"/>
                <w:lang w:eastAsia="zh-CN"/>
              </w:rPr>
            </w:pPr>
            <w:r>
              <w:rPr>
                <w:rFonts w:hint="default" w:ascii="Times New Roman" w:hAnsi="Times New Roman" w:cs="Times New Roman"/>
                <w:b/>
                <w:bCs/>
                <w:color w:val="auto"/>
                <w:highlight w:val="none"/>
              </w:rPr>
              <w:t>表4-</w:t>
            </w:r>
            <w:r>
              <w:rPr>
                <w:rFonts w:hint="eastAsia" w:ascii="Times New Roman" w:hAnsi="Times New Roman" w:cs="Times New Roman"/>
                <w:b/>
                <w:bCs/>
                <w:color w:val="auto"/>
                <w:highlight w:val="none"/>
                <w:lang w:val="en-US" w:eastAsia="zh-CN"/>
              </w:rPr>
              <w:t>20</w:t>
            </w:r>
            <w:r>
              <w:rPr>
                <w:rFonts w:hint="default" w:ascii="Times New Roman" w:hAnsi="Times New Roman" w:cs="Times New Roman"/>
                <w:b/>
                <w:bCs/>
                <w:color w:val="auto"/>
                <w:highlight w:val="none"/>
              </w:rPr>
              <w:t xml:space="preserve"> </w:t>
            </w:r>
            <w:r>
              <w:rPr>
                <w:rFonts w:hint="eastAsia" w:ascii="Times New Roman" w:hAnsi="Times New Roman" w:cs="Times New Roman"/>
                <w:b/>
                <w:bCs/>
                <w:color w:val="auto"/>
                <w:highlight w:val="none"/>
                <w:lang w:eastAsia="zh-CN"/>
              </w:rPr>
              <w:t>警告图形标志</w:t>
            </w:r>
          </w:p>
          <w:tbl>
            <w:tblPr>
              <w:tblStyle w:val="43"/>
              <w:tblW w:w="74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07"/>
              <w:gridCol w:w="2386"/>
              <w:gridCol w:w="23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2707"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eastAsia="宋体" w:cs="Times New Roman"/>
                      <w:color w:val="auto"/>
                      <w:szCs w:val="21"/>
                      <w:highlight w:val="none"/>
                      <w:lang w:val="en-US" w:eastAsia="zh-CN"/>
                    </w:rPr>
                    <w:t>警告图形符号</w:t>
                  </w:r>
                </w:p>
              </w:tc>
              <w:tc>
                <w:tcPr>
                  <w:tcW w:w="2386"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eastAsia="宋体" w:cs="Times New Roman"/>
                      <w:color w:val="auto"/>
                      <w:szCs w:val="21"/>
                      <w:highlight w:val="none"/>
                      <w:lang w:val="en-US" w:eastAsia="zh-CN"/>
                    </w:rPr>
                    <w:t>名称</w:t>
                  </w:r>
                </w:p>
              </w:tc>
              <w:tc>
                <w:tcPr>
                  <w:tcW w:w="2386"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eastAsia="宋体" w:cs="Times New Roman"/>
                      <w:color w:val="auto"/>
                      <w:szCs w:val="21"/>
                      <w:highlight w:val="none"/>
                      <w:lang w:val="en-US" w:eastAsia="zh-CN"/>
                    </w:rPr>
                    <w:t>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7" w:hRule="atLeast"/>
                <w:jc w:val="center"/>
              </w:trPr>
              <w:tc>
                <w:tcPr>
                  <w:tcW w:w="2707"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drawing>
                      <wp:inline distT="0" distB="0" distL="114300" distR="114300">
                        <wp:extent cx="1137285" cy="1031875"/>
                        <wp:effectExtent l="0" t="0" r="5715" b="15875"/>
                        <wp:docPr id="14" name="图片 30" descr="警告-一般固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0" descr="警告-一般固废"/>
                                <pic:cNvPicPr>
                                  <a:picLocks noChangeAspect="1"/>
                                </pic:cNvPicPr>
                              </pic:nvPicPr>
                              <pic:blipFill>
                                <a:blip r:embed="rId40"/>
                                <a:stretch>
                                  <a:fillRect/>
                                </a:stretch>
                              </pic:blipFill>
                              <pic:spPr>
                                <a:xfrm>
                                  <a:off x="0" y="0"/>
                                  <a:ext cx="1137285" cy="1031875"/>
                                </a:xfrm>
                                <a:prstGeom prst="rect">
                                  <a:avLst/>
                                </a:prstGeom>
                                <a:noFill/>
                                <a:ln>
                                  <a:noFill/>
                                </a:ln>
                              </pic:spPr>
                            </pic:pic>
                          </a:graphicData>
                        </a:graphic>
                      </wp:inline>
                    </w:drawing>
                  </w:r>
                </w:p>
              </w:tc>
              <w:tc>
                <w:tcPr>
                  <w:tcW w:w="2386"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eastAsia="宋体" w:cs="Times New Roman"/>
                      <w:color w:val="auto"/>
                      <w:szCs w:val="21"/>
                      <w:highlight w:val="none"/>
                      <w:lang w:val="en-US" w:eastAsia="zh-CN"/>
                    </w:rPr>
                    <w:t>一般固体废物</w:t>
                  </w:r>
                </w:p>
              </w:tc>
              <w:tc>
                <w:tcPr>
                  <w:tcW w:w="2386"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eastAsia="宋体" w:cs="Times New Roman"/>
                      <w:color w:val="auto"/>
                      <w:szCs w:val="21"/>
                      <w:highlight w:val="none"/>
                      <w:lang w:val="en-US" w:eastAsia="zh-CN"/>
                    </w:rPr>
                    <w:t>表示一般固体废物贮存、迟滞处置场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16" w:hRule="atLeast"/>
                <w:jc w:val="center"/>
              </w:trPr>
              <w:tc>
                <w:tcPr>
                  <w:tcW w:w="2707"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000000"/>
                      <w:szCs w:val="21"/>
                      <w:highlight w:val="none"/>
                      <w:lang w:val="en-US" w:eastAsia="zh-CN"/>
                    </w:rPr>
                    <w:drawing>
                      <wp:inline distT="0" distB="0" distL="114300" distR="114300">
                        <wp:extent cx="1168400" cy="1038225"/>
                        <wp:effectExtent l="0" t="0" r="12700" b="9525"/>
                        <wp:docPr id="13" name="图片 31" descr="警告-危险废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1" descr="警告-危险废物"/>
                                <pic:cNvPicPr>
                                  <a:picLocks noChangeAspect="1"/>
                                </pic:cNvPicPr>
                              </pic:nvPicPr>
                              <pic:blipFill>
                                <a:blip r:embed="rId41"/>
                                <a:stretch>
                                  <a:fillRect/>
                                </a:stretch>
                              </pic:blipFill>
                              <pic:spPr>
                                <a:xfrm>
                                  <a:off x="0" y="0"/>
                                  <a:ext cx="1168400" cy="1038225"/>
                                </a:xfrm>
                                <a:prstGeom prst="rect">
                                  <a:avLst/>
                                </a:prstGeom>
                                <a:noFill/>
                                <a:ln>
                                  <a:noFill/>
                                </a:ln>
                              </pic:spPr>
                            </pic:pic>
                          </a:graphicData>
                        </a:graphic>
                      </wp:inline>
                    </w:drawing>
                  </w:r>
                </w:p>
              </w:tc>
              <w:tc>
                <w:tcPr>
                  <w:tcW w:w="2386"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eastAsia="宋体" w:cs="Times New Roman"/>
                      <w:color w:val="auto"/>
                      <w:szCs w:val="21"/>
                      <w:highlight w:val="none"/>
                      <w:lang w:val="en-US" w:eastAsia="zh-CN"/>
                    </w:rPr>
                    <w:t>危险废物</w:t>
                  </w:r>
                </w:p>
              </w:tc>
              <w:tc>
                <w:tcPr>
                  <w:tcW w:w="2386"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eastAsia="宋体" w:cs="Times New Roman"/>
                      <w:color w:val="auto"/>
                      <w:szCs w:val="21"/>
                      <w:highlight w:val="none"/>
                      <w:lang w:val="en-US" w:eastAsia="zh-CN"/>
                    </w:rPr>
                    <w:t>表示危险废物贮存、处置场</w:t>
                  </w:r>
                </w:p>
              </w:tc>
            </w:tr>
          </w:tbl>
          <w:p>
            <w:pPr>
              <w:autoSpaceDE w:val="0"/>
              <w:autoSpaceDN w:val="0"/>
              <w:adjustRightInd w:val="0"/>
              <w:spacing w:line="360" w:lineRule="auto"/>
              <w:ind w:firstLine="440" w:firstLineChars="200"/>
              <w:rPr>
                <w:rFonts w:hint="default" w:ascii="Times New Roman" w:hAnsi="Times New Roman" w:cs="Times New Roman"/>
                <w:color w:val="auto"/>
                <w:sz w:val="22"/>
                <w:szCs w:val="22"/>
                <w:highlight w:val="none"/>
                <w:lang w:eastAsia="zh-CN"/>
              </w:rPr>
            </w:pPr>
            <w:r>
              <w:rPr>
                <w:rFonts w:hint="eastAsia" w:ascii="Times New Roman" w:hAnsi="Times New Roman" w:cs="Times New Roman"/>
                <w:color w:val="auto"/>
                <w:sz w:val="22"/>
                <w:szCs w:val="22"/>
                <w:highlight w:val="none"/>
                <w:lang w:eastAsia="zh-CN"/>
              </w:rPr>
              <w:t>（</w:t>
            </w:r>
            <w:r>
              <w:rPr>
                <w:rFonts w:hint="eastAsia" w:ascii="Times New Roman" w:hAnsi="Times New Roman" w:cs="Times New Roman"/>
                <w:color w:val="auto"/>
                <w:sz w:val="22"/>
                <w:szCs w:val="22"/>
                <w:highlight w:val="none"/>
                <w:lang w:val="en-US" w:eastAsia="zh-CN"/>
              </w:rPr>
              <w:t>3</w:t>
            </w:r>
            <w:r>
              <w:rPr>
                <w:rFonts w:hint="eastAsia" w:ascii="Times New Roman" w:hAnsi="Times New Roman" w:cs="Times New Roman"/>
                <w:color w:val="auto"/>
                <w:sz w:val="22"/>
                <w:szCs w:val="22"/>
                <w:highlight w:val="none"/>
                <w:lang w:eastAsia="zh-CN"/>
              </w:rPr>
              <w:t>）废气处理设施故障防范措施</w:t>
            </w:r>
          </w:p>
          <w:p>
            <w:pPr>
              <w:autoSpaceDE w:val="0"/>
              <w:autoSpaceDN w:val="0"/>
              <w:adjustRightInd w:val="0"/>
              <w:spacing w:line="360" w:lineRule="auto"/>
              <w:ind w:firstLine="440" w:firstLineChars="200"/>
              <w:rPr>
                <w:rFonts w:hint="eastAsia" w:ascii="Times New Roman" w:hAnsi="Times New Roman" w:eastAsia="宋体" w:cs="Times New Roman"/>
                <w:color w:val="auto"/>
                <w:sz w:val="22"/>
                <w:szCs w:val="22"/>
                <w:highlight w:val="none"/>
                <w:lang w:eastAsia="zh-CN"/>
              </w:rPr>
            </w:pPr>
            <w:r>
              <w:rPr>
                <w:rFonts w:hint="eastAsia" w:ascii="Times New Roman" w:hAnsi="Times New Roman" w:eastAsia="宋体" w:cs="Times New Roman"/>
                <w:color w:val="auto"/>
                <w:sz w:val="22"/>
                <w:szCs w:val="22"/>
                <w:highlight w:val="none"/>
                <w:lang w:eastAsia="zh-CN"/>
              </w:rPr>
              <w:t>①废气处理设备制定严格的操作规程，严格按操作规程进行运行控制，防止误操作导致废气事故排放，操作规程上墙，并在各危险区域张贴应急联系电话。</w:t>
            </w:r>
          </w:p>
          <w:p>
            <w:pPr>
              <w:autoSpaceDE w:val="0"/>
              <w:autoSpaceDN w:val="0"/>
              <w:adjustRightInd w:val="0"/>
              <w:spacing w:line="360" w:lineRule="auto"/>
              <w:ind w:firstLine="440" w:firstLineChars="200"/>
              <w:rPr>
                <w:rFonts w:hint="eastAsia" w:ascii="Times New Roman" w:hAnsi="Times New Roman" w:eastAsia="宋体" w:cs="Times New Roman"/>
                <w:color w:val="auto"/>
                <w:sz w:val="22"/>
                <w:szCs w:val="22"/>
                <w:highlight w:val="none"/>
                <w:lang w:eastAsia="zh-CN"/>
              </w:rPr>
            </w:pPr>
            <w:r>
              <w:rPr>
                <w:rFonts w:hint="eastAsia" w:ascii="Times New Roman" w:hAnsi="Times New Roman" w:eastAsia="宋体" w:cs="Times New Roman"/>
                <w:color w:val="auto"/>
                <w:sz w:val="22"/>
                <w:szCs w:val="22"/>
                <w:highlight w:val="none"/>
                <w:lang w:eastAsia="zh-CN"/>
              </w:rPr>
              <w:t>②</w:t>
            </w:r>
            <w:r>
              <w:rPr>
                <w:rFonts w:hint="eastAsia" w:ascii="Times New Roman" w:hAnsi="Times New Roman" w:eastAsia="宋体" w:cs="Times New Roman"/>
                <w:color w:val="auto"/>
                <w:sz w:val="22"/>
                <w:szCs w:val="22"/>
                <w:highlight w:val="none"/>
                <w:lang w:val="en-US" w:eastAsia="zh-CN"/>
              </w:rPr>
              <w:t>水帘水、过滤材料、</w:t>
            </w:r>
            <w:r>
              <w:rPr>
                <w:rFonts w:hint="eastAsia" w:ascii="Times New Roman" w:hAnsi="Times New Roman" w:eastAsia="宋体" w:cs="Times New Roman"/>
                <w:color w:val="auto"/>
                <w:sz w:val="22"/>
                <w:szCs w:val="22"/>
                <w:highlight w:val="none"/>
                <w:lang w:eastAsia="zh-CN"/>
              </w:rPr>
              <w:t>活性炭定期更换以保证废气的吸附效果符合排放标准。</w:t>
            </w:r>
          </w:p>
          <w:p>
            <w:pPr>
              <w:autoSpaceDE w:val="0"/>
              <w:autoSpaceDN w:val="0"/>
              <w:adjustRightInd w:val="0"/>
              <w:spacing w:line="360" w:lineRule="auto"/>
              <w:ind w:firstLine="440" w:firstLineChars="200"/>
              <w:rPr>
                <w:rFonts w:hint="eastAsia" w:ascii="Times New Roman" w:hAnsi="Times New Roman" w:eastAsia="宋体" w:cs="Times New Roman"/>
                <w:color w:val="auto"/>
                <w:sz w:val="22"/>
                <w:szCs w:val="22"/>
                <w:highlight w:val="none"/>
                <w:lang w:eastAsia="zh-CN"/>
              </w:rPr>
            </w:pPr>
            <w:r>
              <w:rPr>
                <w:rFonts w:hint="eastAsia" w:ascii="Times New Roman" w:hAnsi="Times New Roman" w:eastAsia="宋体" w:cs="Times New Roman"/>
                <w:color w:val="auto"/>
                <w:sz w:val="22"/>
                <w:szCs w:val="22"/>
                <w:highlight w:val="none"/>
                <w:lang w:val="en-US" w:eastAsia="zh-CN"/>
              </w:rPr>
              <w:t>③</w:t>
            </w:r>
            <w:r>
              <w:rPr>
                <w:rFonts w:hint="eastAsia" w:ascii="Times New Roman" w:hAnsi="Times New Roman" w:eastAsia="宋体" w:cs="Times New Roman"/>
                <w:color w:val="auto"/>
                <w:sz w:val="22"/>
                <w:szCs w:val="22"/>
                <w:highlight w:val="none"/>
                <w:lang w:eastAsia="zh-CN"/>
              </w:rPr>
              <w:t>管理人员每天对各废气设施巡检一次，查看废气净化设施运转是否正常，运行控制是否到位，不定时对各记录表进行检查。</w:t>
            </w:r>
          </w:p>
          <w:p>
            <w:pPr>
              <w:autoSpaceDE w:val="0"/>
              <w:autoSpaceDN w:val="0"/>
              <w:adjustRightInd w:val="0"/>
              <w:spacing w:line="360" w:lineRule="auto"/>
              <w:ind w:firstLine="440" w:firstLineChars="200"/>
              <w:rPr>
                <w:rFonts w:hint="eastAsia"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④若项目废气治理装置出现故障，应停止生产，避免废气对周围环境造成污染影响。</w:t>
            </w:r>
          </w:p>
          <w:p>
            <w:pPr>
              <w:autoSpaceDE w:val="0"/>
              <w:autoSpaceDN w:val="0"/>
              <w:adjustRightInd w:val="0"/>
              <w:spacing w:line="360" w:lineRule="auto"/>
              <w:ind w:firstLine="440" w:firstLineChars="200"/>
              <w:rPr>
                <w:rFonts w:hint="default" w:ascii="Times New Roman" w:hAnsi="Times New Roman" w:eastAsia="宋体" w:cs="Times New Roman"/>
                <w:color w:val="auto"/>
                <w:sz w:val="22"/>
                <w:szCs w:val="22"/>
                <w:highlight w:val="none"/>
                <w:lang w:eastAsia="zh-CN"/>
              </w:rPr>
            </w:pPr>
            <w:r>
              <w:rPr>
                <w:rFonts w:hint="default" w:ascii="Times New Roman" w:hAnsi="Times New Roman" w:eastAsia="宋体" w:cs="Times New Roman"/>
                <w:color w:val="auto"/>
                <w:sz w:val="22"/>
                <w:szCs w:val="22"/>
                <w:highlight w:val="none"/>
                <w:lang w:eastAsia="zh-CN"/>
              </w:rPr>
              <w:t>（</w:t>
            </w:r>
            <w:r>
              <w:rPr>
                <w:rFonts w:hint="eastAsia" w:ascii="Times New Roman" w:hAnsi="Times New Roman" w:eastAsia="宋体" w:cs="Times New Roman"/>
                <w:color w:val="auto"/>
                <w:sz w:val="22"/>
                <w:szCs w:val="22"/>
                <w:highlight w:val="none"/>
                <w:lang w:val="en-US" w:eastAsia="zh-CN"/>
              </w:rPr>
              <w:t>4</w:t>
            </w:r>
            <w:r>
              <w:rPr>
                <w:rFonts w:hint="default" w:ascii="Times New Roman" w:hAnsi="Times New Roman" w:eastAsia="宋体" w:cs="Times New Roman"/>
                <w:color w:val="auto"/>
                <w:sz w:val="22"/>
                <w:szCs w:val="22"/>
                <w:highlight w:val="none"/>
                <w:lang w:eastAsia="zh-CN"/>
              </w:rPr>
              <w:t>）制定相关应急预案。</w:t>
            </w:r>
          </w:p>
          <w:p>
            <w:pPr>
              <w:autoSpaceDE w:val="0"/>
              <w:autoSpaceDN w:val="0"/>
              <w:adjustRightInd w:val="0"/>
              <w:spacing w:line="360" w:lineRule="auto"/>
              <w:ind w:firstLine="440" w:firstLineChars="200"/>
              <w:rPr>
                <w:rFonts w:hint="default" w:ascii="Times New Roman" w:hAnsi="Times New Roman" w:eastAsia="宋体" w:cs="Times New Roman"/>
                <w:color w:val="auto"/>
                <w:sz w:val="22"/>
                <w:szCs w:val="22"/>
                <w:highlight w:val="none"/>
                <w:lang w:eastAsia="zh-CN"/>
              </w:rPr>
            </w:pPr>
            <w:r>
              <w:rPr>
                <w:rFonts w:hint="default" w:ascii="Times New Roman" w:hAnsi="Times New Roman" w:eastAsia="宋体" w:cs="Times New Roman"/>
                <w:color w:val="000000"/>
                <w:sz w:val="22"/>
                <w:szCs w:val="22"/>
                <w:highlight w:val="none"/>
                <w:lang w:eastAsia="zh-CN"/>
              </w:rPr>
              <w:t>生产中无论预防工作如何周密，风险事故总是难以根本杜绝，制定风险事故应急预案的目的是要迅速而有效地将事故损失减至最小。根据上述环境风险事故分析，制定相应的应急预案和制定演练计划，每年进行一次</w:t>
            </w:r>
            <w:r>
              <w:rPr>
                <w:rFonts w:hint="eastAsia" w:ascii="Times New Roman" w:hAnsi="Times New Roman" w:eastAsia="宋体" w:cs="Times New Roman"/>
                <w:color w:val="000000"/>
                <w:sz w:val="22"/>
                <w:szCs w:val="22"/>
                <w:highlight w:val="none"/>
                <w:lang w:val="en-US" w:eastAsia="zh-CN"/>
              </w:rPr>
              <w:t>预案</w:t>
            </w:r>
            <w:r>
              <w:rPr>
                <w:rFonts w:hint="default" w:ascii="Times New Roman" w:hAnsi="Times New Roman" w:eastAsia="宋体" w:cs="Times New Roman"/>
                <w:color w:val="000000"/>
                <w:sz w:val="22"/>
                <w:szCs w:val="22"/>
                <w:highlight w:val="none"/>
                <w:lang w:eastAsia="zh-CN"/>
              </w:rPr>
              <w:t>演练，安排专门部门负责编制演练计划。演练内容包括：模拟事故、报警、启动预案、治安保卫、物资供应、抢险抢修、伤员救护、后勤宣传报道、社区联络通知、外部救援联络通知、向政府部门报告等内容。</w:t>
            </w:r>
          </w:p>
          <w:p>
            <w:pPr>
              <w:spacing w:line="360" w:lineRule="auto"/>
              <w:ind w:firstLine="442" w:firstLineChars="200"/>
              <w:rPr>
                <w:rFonts w:hint="default" w:ascii="Times New Roman" w:hAnsi="Times New Roman" w:cs="Times New Roman"/>
                <w:b/>
                <w:bCs/>
                <w:color w:val="auto"/>
                <w:sz w:val="22"/>
                <w:szCs w:val="22"/>
                <w:highlight w:val="none"/>
                <w:lang w:val="en-US" w:eastAsia="zh-CN"/>
              </w:rPr>
            </w:pPr>
            <w:r>
              <w:rPr>
                <w:rFonts w:hint="eastAsia" w:ascii="Times New Roman" w:hAnsi="Times New Roman" w:cs="Times New Roman"/>
                <w:b/>
                <w:bCs/>
                <w:color w:val="auto"/>
                <w:sz w:val="22"/>
                <w:szCs w:val="22"/>
                <w:highlight w:val="none"/>
                <w:lang w:val="en-US" w:eastAsia="zh-CN"/>
              </w:rPr>
              <w:t>7</w:t>
            </w:r>
            <w:r>
              <w:rPr>
                <w:rFonts w:hint="default" w:ascii="Times New Roman" w:hAnsi="Times New Roman" w:cs="Times New Roman"/>
                <w:b/>
                <w:bCs/>
                <w:color w:val="auto"/>
                <w:sz w:val="22"/>
                <w:szCs w:val="22"/>
                <w:highlight w:val="none"/>
                <w:lang w:val="en-US" w:eastAsia="zh-CN"/>
              </w:rPr>
              <w:t>.</w:t>
            </w:r>
            <w:r>
              <w:rPr>
                <w:rFonts w:hint="eastAsia" w:ascii="Times New Roman" w:hAnsi="Times New Roman" w:cs="Times New Roman"/>
                <w:b/>
                <w:bCs/>
                <w:color w:val="auto"/>
                <w:sz w:val="22"/>
                <w:szCs w:val="22"/>
                <w:highlight w:val="none"/>
                <w:lang w:val="en-US" w:eastAsia="zh-CN"/>
              </w:rPr>
              <w:t>6</w:t>
            </w:r>
            <w:r>
              <w:rPr>
                <w:rFonts w:hint="default" w:ascii="Times New Roman" w:hAnsi="Times New Roman" w:cs="Times New Roman"/>
                <w:b/>
                <w:bCs/>
                <w:color w:val="auto"/>
                <w:sz w:val="22"/>
                <w:szCs w:val="22"/>
                <w:highlight w:val="none"/>
                <w:lang w:val="en-US" w:eastAsia="zh-CN"/>
              </w:rPr>
              <w:t xml:space="preserve"> 环境风险</w:t>
            </w:r>
            <w:r>
              <w:rPr>
                <w:rFonts w:hint="eastAsia" w:ascii="Times New Roman" w:hAnsi="Times New Roman" w:cs="Times New Roman"/>
                <w:b/>
                <w:bCs/>
                <w:color w:val="auto"/>
                <w:sz w:val="22"/>
                <w:szCs w:val="22"/>
                <w:highlight w:val="none"/>
                <w:lang w:val="en-US" w:eastAsia="zh-CN"/>
              </w:rPr>
              <w:t>分析结论</w:t>
            </w:r>
          </w:p>
          <w:p>
            <w:pPr>
              <w:autoSpaceDE w:val="0"/>
              <w:autoSpaceDN w:val="0"/>
              <w:adjustRightInd w:val="0"/>
              <w:spacing w:line="360" w:lineRule="auto"/>
              <w:ind w:firstLine="440" w:firstLineChars="200"/>
              <w:rPr>
                <w:rFonts w:hint="default" w:ascii="Times New Roman" w:hAnsi="Times New Roman" w:cs="Times New Roman"/>
                <w:color w:val="auto"/>
                <w:sz w:val="22"/>
                <w:szCs w:val="22"/>
                <w:highlight w:val="none"/>
                <w:lang w:val="en-US" w:eastAsia="zh-CN"/>
              </w:rPr>
            </w:pPr>
            <w:r>
              <w:rPr>
                <w:rFonts w:hint="default" w:ascii="Times New Roman" w:hAnsi="Times New Roman" w:cs="Times New Roman"/>
                <w:color w:val="auto"/>
                <w:sz w:val="22"/>
                <w:szCs w:val="22"/>
                <w:highlight w:val="none"/>
                <w:lang w:val="en-US" w:eastAsia="zh-CN"/>
              </w:rPr>
              <w:t>项目环境风险主要是原料、危险废物处置不当造成污染等事故，具有潜在事故风险</w:t>
            </w:r>
            <w:r>
              <w:rPr>
                <w:rFonts w:hint="eastAsia" w:ascii="Times New Roman" w:hAnsi="Times New Roman" w:cs="Times New Roman"/>
                <w:color w:val="auto"/>
                <w:sz w:val="22"/>
                <w:szCs w:val="22"/>
                <w:highlight w:val="none"/>
                <w:lang w:val="en-US" w:eastAsia="zh-CN"/>
              </w:rPr>
              <w:t>，因此本项目投入运行后建设单位应组建安全环保管理机构，配备管理人员，加强加强风险管理，通过相应的技术手段降低风险发生概率，并在风险事故发生后，及时采取风险防范措施及应急预案，可以使风险事故对环境的危害得到有效控制，将事故风险控制在可以接受的范围内。</w:t>
            </w:r>
          </w:p>
          <w:p>
            <w:pPr>
              <w:autoSpaceDE w:val="0"/>
              <w:autoSpaceDN w:val="0"/>
              <w:adjustRightInd w:val="0"/>
              <w:spacing w:line="360" w:lineRule="auto"/>
              <w:ind w:firstLine="442" w:firstLineChars="200"/>
              <w:rPr>
                <w:rFonts w:hint="default" w:ascii="Times New Roman" w:hAnsi="Times New Roman" w:cs="Times New Roman"/>
                <w:b/>
                <w:bCs/>
                <w:color w:val="auto"/>
                <w:sz w:val="22"/>
                <w:szCs w:val="22"/>
                <w:highlight w:val="none"/>
                <w:lang w:val="en-US" w:eastAsia="zh-CN"/>
              </w:rPr>
            </w:pPr>
            <w:r>
              <w:rPr>
                <w:rFonts w:hint="eastAsia" w:ascii="Times New Roman" w:hAnsi="Times New Roman" w:cs="Times New Roman"/>
                <w:b/>
                <w:bCs/>
                <w:color w:val="auto"/>
                <w:sz w:val="22"/>
                <w:szCs w:val="22"/>
                <w:highlight w:val="none"/>
                <w:lang w:val="en-US" w:eastAsia="zh-CN"/>
              </w:rPr>
              <w:t>8</w:t>
            </w:r>
            <w:r>
              <w:rPr>
                <w:rFonts w:hint="default" w:ascii="Times New Roman" w:hAnsi="Times New Roman" w:cs="Times New Roman"/>
                <w:b/>
                <w:bCs/>
                <w:color w:val="auto"/>
                <w:sz w:val="22"/>
                <w:szCs w:val="22"/>
                <w:highlight w:val="none"/>
                <w:lang w:val="en-US" w:eastAsia="zh-CN"/>
              </w:rPr>
              <w:t>、环保投资估算</w:t>
            </w:r>
          </w:p>
          <w:p>
            <w:pPr>
              <w:autoSpaceDE w:val="0"/>
              <w:autoSpaceDN w:val="0"/>
              <w:adjustRightInd w:val="0"/>
              <w:spacing w:line="360" w:lineRule="auto"/>
              <w:ind w:firstLine="440" w:firstLineChars="200"/>
              <w:rPr>
                <w:rFonts w:hint="default" w:ascii="Times New Roman" w:hAnsi="Times New Roman" w:cs="Times New Roman"/>
                <w:color w:val="auto"/>
                <w:sz w:val="22"/>
                <w:szCs w:val="22"/>
                <w:highlight w:val="none"/>
                <w:lang w:val="en-US" w:eastAsia="zh-CN"/>
              </w:rPr>
            </w:pPr>
            <w:r>
              <w:rPr>
                <w:rFonts w:hint="default" w:ascii="Times New Roman" w:hAnsi="Times New Roman" w:cs="Times New Roman"/>
                <w:color w:val="auto"/>
                <w:sz w:val="22"/>
                <w:szCs w:val="22"/>
                <w:highlight w:val="none"/>
                <w:lang w:val="en-US" w:eastAsia="zh-CN"/>
              </w:rPr>
              <w:t>项目总投资为</w:t>
            </w:r>
            <w:r>
              <w:rPr>
                <w:rFonts w:hint="eastAsia" w:ascii="Times New Roman" w:hAnsi="Times New Roman" w:cs="Times New Roman"/>
                <w:color w:val="auto"/>
                <w:sz w:val="22"/>
                <w:szCs w:val="22"/>
                <w:highlight w:val="none"/>
                <w:lang w:val="en-US" w:eastAsia="zh-CN"/>
              </w:rPr>
              <w:t>3000万元</w:t>
            </w:r>
            <w:r>
              <w:rPr>
                <w:rFonts w:hint="default" w:ascii="Times New Roman" w:hAnsi="Times New Roman" w:cs="Times New Roman"/>
                <w:color w:val="auto"/>
                <w:sz w:val="22"/>
                <w:szCs w:val="22"/>
                <w:highlight w:val="none"/>
                <w:lang w:val="en-US" w:eastAsia="zh-CN"/>
              </w:rPr>
              <w:t>，其中环保投资估算为</w:t>
            </w:r>
            <w:r>
              <w:rPr>
                <w:rFonts w:hint="eastAsia" w:ascii="Times New Roman" w:hAnsi="Times New Roman" w:cs="Times New Roman"/>
                <w:color w:val="auto"/>
                <w:sz w:val="22"/>
                <w:szCs w:val="22"/>
                <w:highlight w:val="none"/>
                <w:lang w:val="en-US" w:eastAsia="zh-CN"/>
              </w:rPr>
              <w:t>67.5</w:t>
            </w:r>
            <w:r>
              <w:rPr>
                <w:rFonts w:hint="default" w:ascii="Times New Roman" w:hAnsi="Times New Roman" w:cs="Times New Roman"/>
                <w:color w:val="auto"/>
                <w:sz w:val="22"/>
                <w:szCs w:val="22"/>
                <w:highlight w:val="none"/>
                <w:lang w:val="en-US" w:eastAsia="zh-CN"/>
              </w:rPr>
              <w:t>万元，占项目总投资的</w:t>
            </w:r>
            <w:r>
              <w:rPr>
                <w:rFonts w:hint="eastAsia" w:ascii="Times New Roman" w:hAnsi="Times New Roman" w:cs="Times New Roman"/>
                <w:color w:val="auto"/>
                <w:sz w:val="22"/>
                <w:szCs w:val="22"/>
                <w:highlight w:val="none"/>
                <w:lang w:val="en-US" w:eastAsia="zh-CN"/>
              </w:rPr>
              <w:t>2.25</w:t>
            </w:r>
            <w:r>
              <w:rPr>
                <w:rFonts w:hint="default" w:ascii="Times New Roman" w:hAnsi="Times New Roman" w:cs="Times New Roman"/>
                <w:color w:val="auto"/>
                <w:sz w:val="22"/>
                <w:szCs w:val="22"/>
                <w:highlight w:val="none"/>
                <w:lang w:val="en-US" w:eastAsia="zh-CN"/>
              </w:rPr>
              <w:t>%。环保治理措施及投资一览表见下表。</w:t>
            </w:r>
          </w:p>
          <w:p>
            <w:pPr>
              <w:adjustRightInd w:val="0"/>
              <w:jc w:val="center"/>
              <w:textAlignment w:val="baseline"/>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表4-2</w:t>
            </w:r>
            <w:r>
              <w:rPr>
                <w:rFonts w:hint="eastAsia" w:ascii="Times New Roman" w:hAnsi="Times New Roman" w:cs="Times New Roman"/>
                <w:b/>
                <w:bCs/>
                <w:color w:val="auto"/>
                <w:highlight w:val="none"/>
                <w:lang w:val="en-US" w:eastAsia="zh-CN"/>
              </w:rPr>
              <w:t>1</w:t>
            </w:r>
            <w:r>
              <w:rPr>
                <w:rFonts w:hint="default" w:ascii="Times New Roman" w:hAnsi="Times New Roman" w:cs="Times New Roman"/>
                <w:b/>
                <w:bCs/>
                <w:color w:val="auto"/>
                <w:highlight w:val="none"/>
              </w:rPr>
              <w:t xml:space="preserve"> 环保治理措施及投资估算一览表</w:t>
            </w:r>
          </w:p>
          <w:tbl>
            <w:tblPr>
              <w:tblStyle w:val="42"/>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56"/>
              <w:gridCol w:w="1488"/>
              <w:gridCol w:w="4135"/>
              <w:gridCol w:w="898"/>
              <w:gridCol w:w="71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756" w:type="dxa"/>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center"/>
                    <w:textAlignment w:val="auto"/>
                    <w:outlineLvl w:val="9"/>
                    <w:rPr>
                      <w:rFonts w:hint="default" w:ascii="Times New Roman" w:hAnsi="Times New Roman" w:cs="Times New Roman"/>
                      <w:color w:val="auto"/>
                      <w:highlight w:val="none"/>
                    </w:rPr>
                  </w:pPr>
                  <w:r>
                    <w:rPr>
                      <w:rFonts w:hint="default" w:ascii="Times New Roman" w:hAnsi="Times New Roman" w:cs="Times New Roman"/>
                      <w:color w:val="auto"/>
                      <w:highlight w:val="none"/>
                    </w:rPr>
                    <w:t>项目</w:t>
                  </w:r>
                </w:p>
              </w:tc>
              <w:tc>
                <w:tcPr>
                  <w:tcW w:w="1488" w:type="dxa"/>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center"/>
                    <w:textAlignment w:val="auto"/>
                    <w:outlineLvl w:val="9"/>
                    <w:rPr>
                      <w:rFonts w:hint="default" w:ascii="Times New Roman" w:hAnsi="Times New Roman" w:cs="Times New Roman"/>
                      <w:color w:val="auto"/>
                      <w:highlight w:val="none"/>
                    </w:rPr>
                  </w:pPr>
                  <w:r>
                    <w:rPr>
                      <w:rFonts w:hint="default" w:ascii="Times New Roman" w:hAnsi="Times New Roman" w:cs="Times New Roman"/>
                      <w:color w:val="auto"/>
                      <w:highlight w:val="none"/>
                    </w:rPr>
                    <w:t>治理项目</w:t>
                  </w:r>
                </w:p>
              </w:tc>
              <w:tc>
                <w:tcPr>
                  <w:tcW w:w="4135" w:type="dxa"/>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center"/>
                    <w:textAlignment w:val="auto"/>
                    <w:outlineLvl w:val="9"/>
                    <w:rPr>
                      <w:rFonts w:hint="default" w:ascii="Times New Roman" w:hAnsi="Times New Roman" w:cs="Times New Roman"/>
                      <w:color w:val="auto"/>
                      <w:highlight w:val="none"/>
                    </w:rPr>
                  </w:pPr>
                  <w:r>
                    <w:rPr>
                      <w:rFonts w:hint="default" w:ascii="Times New Roman" w:hAnsi="Times New Roman" w:cs="Times New Roman"/>
                      <w:color w:val="auto"/>
                      <w:highlight w:val="none"/>
                    </w:rPr>
                    <w:t>内容</w:t>
                  </w:r>
                </w:p>
              </w:tc>
              <w:tc>
                <w:tcPr>
                  <w:tcW w:w="898" w:type="dxa"/>
                  <w:noWrap w:val="0"/>
                  <w:vAlign w:val="center"/>
                </w:tcPr>
                <w:p>
                  <w:pPr>
                    <w:keepNext w:val="0"/>
                    <w:keepLines w:val="0"/>
                    <w:pageBreakBefore w:val="0"/>
                    <w:widowControl w:val="0"/>
                    <w:kinsoku/>
                    <w:wordWrap/>
                    <w:overflowPunct/>
                    <w:topLinePunct w:val="0"/>
                    <w:autoSpaceDE/>
                    <w:autoSpaceDN/>
                    <w:bidi w:val="0"/>
                    <w:adjustRightInd/>
                    <w:snapToGrid/>
                    <w:spacing w:line="264" w:lineRule="auto"/>
                    <w:ind w:left="-74" w:leftChars="-31" w:right="-106" w:rightChars="-44"/>
                    <w:jc w:val="center"/>
                    <w:textAlignment w:val="auto"/>
                    <w:outlineLvl w:val="9"/>
                    <w:rPr>
                      <w:rFonts w:hint="default" w:ascii="Times New Roman" w:hAnsi="Times New Roman" w:cs="Times New Roman"/>
                      <w:color w:val="auto"/>
                      <w:highlight w:val="none"/>
                    </w:rPr>
                  </w:pPr>
                  <w:r>
                    <w:rPr>
                      <w:rFonts w:hint="default" w:ascii="Times New Roman" w:hAnsi="Times New Roman" w:cs="Times New Roman"/>
                      <w:color w:val="auto"/>
                      <w:highlight w:val="none"/>
                    </w:rPr>
                    <w:t>投资</w:t>
                  </w:r>
                </w:p>
                <w:p>
                  <w:pPr>
                    <w:keepNext w:val="0"/>
                    <w:keepLines w:val="0"/>
                    <w:pageBreakBefore w:val="0"/>
                    <w:widowControl w:val="0"/>
                    <w:kinsoku/>
                    <w:wordWrap/>
                    <w:overflowPunct/>
                    <w:topLinePunct w:val="0"/>
                    <w:autoSpaceDE/>
                    <w:autoSpaceDN/>
                    <w:bidi w:val="0"/>
                    <w:adjustRightInd/>
                    <w:snapToGrid/>
                    <w:spacing w:line="264" w:lineRule="auto"/>
                    <w:ind w:left="-74" w:leftChars="-31" w:right="-106" w:rightChars="-44"/>
                    <w:jc w:val="center"/>
                    <w:textAlignment w:val="auto"/>
                    <w:outlineLvl w:val="9"/>
                    <w:rPr>
                      <w:rFonts w:hint="eastAsia" w:ascii="Times New Roman" w:hAnsi="Times New Roman" w:eastAsia="宋体" w:cs="Times New Roman"/>
                      <w:color w:val="auto"/>
                      <w:highlight w:val="none"/>
                      <w:lang w:eastAsia="zh-CN"/>
                    </w:rPr>
                  </w:pP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万元</w:t>
                  </w:r>
                  <w:r>
                    <w:rPr>
                      <w:rFonts w:hint="eastAsia" w:ascii="Times New Roman" w:hAnsi="Times New Roman" w:cs="Times New Roman"/>
                      <w:color w:val="auto"/>
                      <w:highlight w:val="none"/>
                      <w:lang w:eastAsia="zh-CN"/>
                    </w:rPr>
                    <w:t>）</w:t>
                  </w:r>
                </w:p>
              </w:tc>
              <w:tc>
                <w:tcPr>
                  <w:tcW w:w="713" w:type="dxa"/>
                  <w:noWrap w:val="0"/>
                  <w:vAlign w:val="center"/>
                </w:tcPr>
                <w:p>
                  <w:pPr>
                    <w:keepNext w:val="0"/>
                    <w:keepLines w:val="0"/>
                    <w:pageBreakBefore w:val="0"/>
                    <w:widowControl w:val="0"/>
                    <w:kinsoku/>
                    <w:wordWrap/>
                    <w:overflowPunct/>
                    <w:topLinePunct w:val="0"/>
                    <w:autoSpaceDE/>
                    <w:autoSpaceDN/>
                    <w:bidi w:val="0"/>
                    <w:adjustRightInd/>
                    <w:snapToGrid/>
                    <w:spacing w:line="264" w:lineRule="auto"/>
                    <w:ind w:left="-74" w:leftChars="-31" w:right="-106" w:rightChars="-44"/>
                    <w:jc w:val="center"/>
                    <w:textAlignment w:val="auto"/>
                    <w:outlineLvl w:val="9"/>
                    <w:rPr>
                      <w:rFonts w:hint="default" w:ascii="Times New Roman" w:hAnsi="Times New Roman" w:cs="Times New Roman"/>
                      <w:color w:val="auto"/>
                      <w:highlight w:val="none"/>
                    </w:rPr>
                  </w:pPr>
                  <w:r>
                    <w:rPr>
                      <w:rFonts w:hint="default" w:ascii="Times New Roman" w:hAnsi="Times New Roman" w:cs="Times New Roman"/>
                      <w:color w:val="auto"/>
                      <w:highlight w:val="none"/>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6"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center"/>
                    <w:textAlignment w:val="auto"/>
                    <w:outlineLvl w:val="9"/>
                    <w:rPr>
                      <w:rFonts w:hint="default" w:ascii="Times New Roman" w:hAnsi="Times New Roman" w:cs="Times New Roman"/>
                      <w:color w:val="auto"/>
                      <w:highlight w:val="none"/>
                    </w:rPr>
                  </w:pPr>
                  <w:r>
                    <w:rPr>
                      <w:rFonts w:hint="default" w:ascii="Times New Roman" w:hAnsi="Times New Roman" w:cs="Times New Roman"/>
                      <w:color w:val="auto"/>
                      <w:highlight w:val="none"/>
                    </w:rPr>
                    <w:t>废气</w:t>
                  </w:r>
                </w:p>
              </w:tc>
              <w:tc>
                <w:tcPr>
                  <w:tcW w:w="1488" w:type="dxa"/>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center"/>
                    <w:textAlignment w:val="auto"/>
                    <w:outlineLvl w:val="9"/>
                    <w:rPr>
                      <w:rFonts w:hint="default" w:ascii="Times New Roman" w:hAnsi="Times New Roman" w:eastAsia="宋体" w:cs="Times New Roman"/>
                      <w:color w:val="auto"/>
                      <w:highlight w:val="none"/>
                      <w:lang w:eastAsia="zh-CN"/>
                    </w:rPr>
                  </w:pPr>
                  <w:r>
                    <w:rPr>
                      <w:rFonts w:hint="eastAsia" w:ascii="Times New Roman" w:hAnsi="Times New Roman" w:cs="Times New Roman"/>
                      <w:color w:val="auto"/>
                      <w:highlight w:val="none"/>
                      <w:lang w:val="en-US" w:eastAsia="zh-CN"/>
                    </w:rPr>
                    <w:t>喷漆</w:t>
                  </w:r>
                  <w:r>
                    <w:rPr>
                      <w:rFonts w:hint="eastAsia" w:ascii="Times New Roman" w:hAnsi="Times New Roman" w:cs="Times New Roman"/>
                      <w:color w:val="auto"/>
                      <w:highlight w:val="none"/>
                      <w:lang w:eastAsia="zh-CN"/>
                    </w:rPr>
                    <w:t>废气（</w:t>
                  </w:r>
                  <w:r>
                    <w:rPr>
                      <w:rFonts w:hint="eastAsia" w:ascii="Times New Roman" w:hAnsi="Times New Roman" w:cs="Times New Roman"/>
                      <w:color w:val="auto"/>
                      <w:highlight w:val="none"/>
                      <w:lang w:val="en-US" w:eastAsia="zh-CN"/>
                    </w:rPr>
                    <w:t>颗粒物、VOCs</w:t>
                  </w:r>
                  <w:r>
                    <w:rPr>
                      <w:rFonts w:hint="eastAsia" w:ascii="Times New Roman" w:hAnsi="Times New Roman" w:cs="Times New Roman"/>
                      <w:color w:val="auto"/>
                      <w:highlight w:val="none"/>
                      <w:lang w:eastAsia="zh-CN"/>
                    </w:rPr>
                    <w:t>）</w:t>
                  </w:r>
                </w:p>
              </w:tc>
              <w:tc>
                <w:tcPr>
                  <w:tcW w:w="4135" w:type="dxa"/>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left"/>
                    <w:textAlignment w:val="auto"/>
                    <w:outlineLvl w:val="9"/>
                    <w:rPr>
                      <w:rFonts w:hint="default" w:ascii="Times New Roman" w:hAnsi="Times New Roman" w:eastAsia="宋体" w:cs="Times New Roman"/>
                      <w:color w:val="auto"/>
                      <w:highlight w:val="none"/>
                      <w:lang w:val="en-US" w:eastAsia="zh-CN"/>
                    </w:rPr>
                  </w:pPr>
                  <w:r>
                    <w:rPr>
                      <w:rStyle w:val="44"/>
                      <w:rFonts w:hint="default" w:ascii="Times New Roman" w:hAnsi="Times New Roman" w:eastAsia="宋体" w:cs="Times New Roman"/>
                      <w:kern w:val="2"/>
                      <w:sz w:val="21"/>
                      <w:szCs w:val="21"/>
                      <w:lang w:val="en-US" w:eastAsia="zh-CN" w:bidi="ar-SA"/>
                    </w:rPr>
                    <w:t>水帘柜+干式过滤+两级活性炭处理后通过1根15m排气筒（DA00</w:t>
                  </w:r>
                  <w:r>
                    <w:rPr>
                      <w:rStyle w:val="44"/>
                      <w:rFonts w:hint="eastAsia" w:ascii="Times New Roman" w:hAnsi="Times New Roman" w:eastAsia="宋体" w:cs="Times New Roman"/>
                      <w:kern w:val="2"/>
                      <w:sz w:val="21"/>
                      <w:szCs w:val="21"/>
                      <w:lang w:val="en-US" w:eastAsia="zh-CN" w:bidi="ar-SA"/>
                    </w:rPr>
                    <w:t>1</w:t>
                  </w:r>
                  <w:r>
                    <w:rPr>
                      <w:rStyle w:val="44"/>
                      <w:rFonts w:hint="default" w:ascii="Times New Roman" w:hAnsi="Times New Roman" w:eastAsia="宋体" w:cs="Times New Roman"/>
                      <w:kern w:val="2"/>
                      <w:sz w:val="21"/>
                      <w:szCs w:val="21"/>
                      <w:lang w:val="en-US" w:eastAsia="zh-CN" w:bidi="ar-SA"/>
                    </w:rPr>
                    <w:t>）排放。</w:t>
                  </w:r>
                </w:p>
              </w:tc>
              <w:tc>
                <w:tcPr>
                  <w:tcW w:w="898"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center"/>
                    <w:textAlignment w:val="auto"/>
                    <w:outlineLvl w:val="9"/>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30</w:t>
                  </w:r>
                </w:p>
              </w:tc>
              <w:tc>
                <w:tcPr>
                  <w:tcW w:w="713"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center"/>
                    <w:textAlignment w:val="auto"/>
                    <w:outlineLvl w:val="9"/>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eastAsia="zh-CN"/>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center"/>
                    <w:textAlignment w:val="auto"/>
                    <w:outlineLvl w:val="9"/>
                    <w:rPr>
                      <w:rFonts w:hint="default" w:ascii="Times New Roman" w:hAnsi="Times New Roman" w:cs="Times New Roman"/>
                      <w:color w:val="auto"/>
                      <w:highlight w:val="none"/>
                    </w:rPr>
                  </w:pPr>
                </w:p>
              </w:tc>
              <w:tc>
                <w:tcPr>
                  <w:tcW w:w="1488" w:type="dxa"/>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center"/>
                    <w:textAlignment w:val="auto"/>
                    <w:outlineLvl w:val="9"/>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危废暂存间、晾干区废气</w:t>
                  </w:r>
                </w:p>
              </w:tc>
              <w:tc>
                <w:tcPr>
                  <w:tcW w:w="4135" w:type="dxa"/>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left"/>
                    <w:textAlignment w:val="auto"/>
                    <w:outlineLvl w:val="9"/>
                    <w:rPr>
                      <w:rStyle w:val="44"/>
                      <w:rFonts w:hint="default" w:ascii="Times New Roman" w:hAnsi="Times New Roman" w:eastAsia="宋体" w:cs="Times New Roman"/>
                      <w:kern w:val="2"/>
                      <w:sz w:val="21"/>
                      <w:szCs w:val="21"/>
                      <w:lang w:val="en-US" w:eastAsia="zh-CN" w:bidi="ar-SA"/>
                    </w:rPr>
                  </w:pPr>
                  <w:r>
                    <w:rPr>
                      <w:rStyle w:val="44"/>
                      <w:rFonts w:hint="eastAsia" w:ascii="Times New Roman" w:hAnsi="Times New Roman" w:eastAsia="宋体" w:cs="Times New Roman"/>
                      <w:kern w:val="2"/>
                      <w:sz w:val="21"/>
                      <w:szCs w:val="21"/>
                      <w:lang w:val="en-US" w:eastAsia="zh-CN" w:bidi="ar-SA"/>
                    </w:rPr>
                    <w:t>收集后依托喷漆房废气的两级活性炭设施处理后通过</w:t>
                  </w:r>
                  <w:r>
                    <w:rPr>
                      <w:rStyle w:val="44"/>
                      <w:rFonts w:hint="default" w:ascii="Times New Roman" w:hAnsi="Times New Roman" w:eastAsia="宋体" w:cs="Times New Roman"/>
                      <w:kern w:val="2"/>
                      <w:sz w:val="21"/>
                      <w:szCs w:val="21"/>
                      <w:lang w:val="en-US" w:eastAsia="zh-CN" w:bidi="ar-SA"/>
                    </w:rPr>
                    <w:t>15m排气筒（DA00</w:t>
                  </w:r>
                  <w:r>
                    <w:rPr>
                      <w:rStyle w:val="44"/>
                      <w:rFonts w:hint="eastAsia" w:ascii="Times New Roman" w:hAnsi="Times New Roman" w:eastAsia="宋体" w:cs="Times New Roman"/>
                      <w:kern w:val="2"/>
                      <w:sz w:val="21"/>
                      <w:szCs w:val="21"/>
                      <w:lang w:val="en-US" w:eastAsia="zh-CN" w:bidi="ar-SA"/>
                    </w:rPr>
                    <w:t>1</w:t>
                  </w:r>
                  <w:r>
                    <w:rPr>
                      <w:rStyle w:val="44"/>
                      <w:rFonts w:hint="default" w:ascii="Times New Roman" w:hAnsi="Times New Roman" w:eastAsia="宋体" w:cs="Times New Roman"/>
                      <w:kern w:val="2"/>
                      <w:sz w:val="21"/>
                      <w:szCs w:val="21"/>
                      <w:lang w:val="en-US" w:eastAsia="zh-CN" w:bidi="ar-SA"/>
                    </w:rPr>
                    <w:t>）</w:t>
                  </w:r>
                  <w:r>
                    <w:rPr>
                      <w:rStyle w:val="44"/>
                      <w:rFonts w:hint="eastAsia" w:ascii="Times New Roman" w:hAnsi="Times New Roman" w:eastAsia="宋体" w:cs="Times New Roman"/>
                      <w:kern w:val="2"/>
                      <w:sz w:val="21"/>
                      <w:szCs w:val="21"/>
                      <w:lang w:val="en-US" w:eastAsia="zh-CN" w:bidi="ar-SA"/>
                    </w:rPr>
                    <w:t>排放。</w:t>
                  </w:r>
                </w:p>
              </w:tc>
              <w:tc>
                <w:tcPr>
                  <w:tcW w:w="89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center"/>
                    <w:textAlignment w:val="auto"/>
                    <w:outlineLvl w:val="9"/>
                    <w:rPr>
                      <w:rFonts w:hint="eastAsia" w:ascii="Times New Roman" w:hAnsi="Times New Roman" w:eastAsia="宋体" w:cs="Times New Roman"/>
                      <w:color w:val="auto"/>
                      <w:highlight w:val="none"/>
                      <w:lang w:val="en-US" w:eastAsia="zh-CN"/>
                    </w:rPr>
                  </w:pPr>
                </w:p>
              </w:tc>
              <w:tc>
                <w:tcPr>
                  <w:tcW w:w="71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center"/>
                    <w:textAlignment w:val="auto"/>
                    <w:outlineLvl w:val="9"/>
                    <w:rPr>
                      <w:rFonts w:hint="default" w:ascii="Times New Roman" w:hAnsi="Times New Roman" w:cs="Times New Roman"/>
                      <w:color w:val="auto"/>
                      <w:highlight w:val="none"/>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756"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64" w:lineRule="auto"/>
                    <w:ind w:left="-122" w:leftChars="-51" w:right="-120" w:rightChars="-50"/>
                    <w:jc w:val="center"/>
                    <w:textAlignment w:val="auto"/>
                    <w:outlineLvl w:val="9"/>
                    <w:rPr>
                      <w:rFonts w:hint="eastAsia" w:ascii="Times New Roman" w:hAnsi="Times New Roman" w:eastAsia="宋体" w:cs="Times New Roman"/>
                      <w:color w:val="auto"/>
                      <w:highlight w:val="none"/>
                      <w:lang w:eastAsia="zh-CN"/>
                    </w:rPr>
                  </w:pPr>
                  <w:r>
                    <w:rPr>
                      <w:rFonts w:hint="eastAsia" w:ascii="Times New Roman" w:hAnsi="Times New Roman" w:cs="Times New Roman"/>
                      <w:color w:val="auto"/>
                      <w:highlight w:val="none"/>
                      <w:lang w:eastAsia="zh-CN"/>
                    </w:rPr>
                    <w:t>废水</w:t>
                  </w:r>
                </w:p>
              </w:tc>
              <w:tc>
                <w:tcPr>
                  <w:tcW w:w="1488" w:type="dxa"/>
                  <w:noWrap w:val="0"/>
                  <w:vAlign w:val="center"/>
                </w:tcPr>
                <w:p>
                  <w:pPr>
                    <w:keepNext w:val="0"/>
                    <w:keepLines w:val="0"/>
                    <w:pageBreakBefore w:val="0"/>
                    <w:widowControl w:val="0"/>
                    <w:kinsoku/>
                    <w:wordWrap/>
                    <w:overflowPunct/>
                    <w:topLinePunct w:val="0"/>
                    <w:autoSpaceDE/>
                    <w:autoSpaceDN/>
                    <w:bidi w:val="0"/>
                    <w:adjustRightInd/>
                    <w:snapToGrid/>
                    <w:spacing w:line="264" w:lineRule="auto"/>
                    <w:ind w:left="-122" w:leftChars="-51" w:right="-120" w:rightChars="-50" w:firstLine="122" w:firstLineChars="51"/>
                    <w:jc w:val="center"/>
                    <w:textAlignment w:val="auto"/>
                    <w:outlineLvl w:val="9"/>
                    <w:rPr>
                      <w:rFonts w:hint="default" w:ascii="Times New Roman" w:hAnsi="Times New Roman" w:cs="Times New Roman"/>
                      <w:color w:val="auto"/>
                      <w:highlight w:val="none"/>
                    </w:rPr>
                  </w:pPr>
                  <w:r>
                    <w:rPr>
                      <w:rFonts w:hint="default" w:ascii="Times New Roman" w:hAnsi="Times New Roman" w:cs="Times New Roman"/>
                      <w:color w:val="auto"/>
                      <w:highlight w:val="none"/>
                    </w:rPr>
                    <w:t>生活污水</w:t>
                  </w:r>
                </w:p>
              </w:tc>
              <w:tc>
                <w:tcPr>
                  <w:tcW w:w="4135" w:type="dxa"/>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left"/>
                    <w:textAlignment w:val="auto"/>
                    <w:outlineLvl w:val="9"/>
                    <w:rPr>
                      <w:rFonts w:hint="default" w:ascii="Times New Roman" w:hAnsi="Times New Roman" w:cs="Times New Roman"/>
                      <w:color w:val="auto"/>
                      <w:highlight w:val="none"/>
                    </w:rPr>
                  </w:pPr>
                  <w:r>
                    <w:rPr>
                      <w:rFonts w:hint="eastAsia" w:ascii="Times New Roman" w:hAnsi="Times New Roman" w:cs="Times New Roman"/>
                      <w:color w:val="auto"/>
                      <w:highlight w:val="none"/>
                      <w:lang w:eastAsia="zh-CN"/>
                    </w:rPr>
                    <w:t>化粪池预处理后，</w:t>
                  </w:r>
                  <w:r>
                    <w:rPr>
                      <w:rStyle w:val="44"/>
                      <w:rFonts w:hint="eastAsia" w:ascii="宋体" w:hAnsi="宋体" w:eastAsia="宋体" w:cs="Times New Roman"/>
                      <w:color w:val="auto"/>
                      <w:kern w:val="2"/>
                      <w:sz w:val="21"/>
                      <w:szCs w:val="21"/>
                      <w:lang w:val="en-US" w:eastAsia="zh-CN" w:bidi="ar-SA"/>
                    </w:rPr>
                    <w:t>排入乐山市工业集中区污水处理厂。</w:t>
                  </w:r>
                </w:p>
              </w:tc>
              <w:tc>
                <w:tcPr>
                  <w:tcW w:w="898" w:type="dxa"/>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center"/>
                    <w:textAlignment w:val="auto"/>
                    <w:outlineLvl w:val="9"/>
                    <w:rPr>
                      <w:rFonts w:hint="eastAsia" w:ascii="Times New Roman" w:hAnsi="Times New Roman" w:eastAsia="宋体" w:cs="Times New Roman"/>
                      <w:color w:val="auto"/>
                      <w:highlight w:val="none"/>
                      <w:lang w:eastAsia="zh-CN"/>
                    </w:rPr>
                  </w:pPr>
                  <w:r>
                    <w:rPr>
                      <w:rFonts w:hint="eastAsia" w:ascii="Times New Roman" w:hAnsi="Times New Roman" w:cs="Times New Roman"/>
                      <w:color w:val="auto"/>
                      <w:highlight w:val="none"/>
                      <w:lang w:val="en-US" w:eastAsia="zh-CN"/>
                    </w:rPr>
                    <w:t>3</w:t>
                  </w:r>
                </w:p>
              </w:tc>
              <w:tc>
                <w:tcPr>
                  <w:tcW w:w="713" w:type="dxa"/>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center"/>
                    <w:textAlignment w:val="auto"/>
                    <w:outlineLvl w:val="9"/>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75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64" w:lineRule="auto"/>
                    <w:ind w:left="-122" w:leftChars="-51" w:right="-120" w:rightChars="-50"/>
                    <w:jc w:val="center"/>
                    <w:textAlignment w:val="auto"/>
                    <w:outlineLvl w:val="9"/>
                    <w:rPr>
                      <w:rFonts w:hint="eastAsia" w:ascii="Times New Roman" w:hAnsi="Times New Roman" w:cs="Times New Roman"/>
                      <w:color w:val="auto"/>
                      <w:highlight w:val="none"/>
                      <w:lang w:eastAsia="zh-CN"/>
                    </w:rPr>
                  </w:pPr>
                </w:p>
              </w:tc>
              <w:tc>
                <w:tcPr>
                  <w:tcW w:w="1488" w:type="dxa"/>
                  <w:noWrap w:val="0"/>
                  <w:vAlign w:val="center"/>
                </w:tcPr>
                <w:p>
                  <w:pPr>
                    <w:keepNext w:val="0"/>
                    <w:keepLines w:val="0"/>
                    <w:pageBreakBefore w:val="0"/>
                    <w:widowControl w:val="0"/>
                    <w:kinsoku/>
                    <w:wordWrap/>
                    <w:overflowPunct/>
                    <w:topLinePunct w:val="0"/>
                    <w:autoSpaceDE/>
                    <w:autoSpaceDN/>
                    <w:bidi w:val="0"/>
                    <w:adjustRightInd/>
                    <w:snapToGrid/>
                    <w:spacing w:line="264" w:lineRule="auto"/>
                    <w:ind w:left="-122" w:leftChars="-51" w:right="-120" w:rightChars="-50" w:firstLine="122" w:firstLineChars="51"/>
                    <w:jc w:val="center"/>
                    <w:textAlignment w:val="auto"/>
                    <w:outlineLvl w:val="9"/>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磨边、清洗废水</w:t>
                  </w:r>
                </w:p>
              </w:tc>
              <w:tc>
                <w:tcPr>
                  <w:tcW w:w="4135" w:type="dxa"/>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left"/>
                    <w:textAlignment w:val="auto"/>
                    <w:outlineLvl w:val="9"/>
                    <w:rPr>
                      <w:rFonts w:hint="default" w:ascii="Times New Roman" w:hAnsi="Times New Roman" w:cs="Times New Roman"/>
                      <w:color w:val="auto"/>
                      <w:highlight w:val="none"/>
                      <w:lang w:val="en-US" w:eastAsia="zh-CN"/>
                    </w:rPr>
                  </w:pPr>
                  <w:r>
                    <w:rPr>
                      <w:rStyle w:val="44"/>
                      <w:rFonts w:hint="eastAsia" w:ascii="Times New Roman" w:hAnsi="Times New Roman" w:eastAsia="宋体" w:cs="Times New Roman"/>
                      <w:color w:val="auto"/>
                      <w:kern w:val="2"/>
                      <w:sz w:val="21"/>
                      <w:szCs w:val="21"/>
                      <w:lang w:val="en-US" w:eastAsia="zh-CN" w:bidi="ar-SA"/>
                    </w:rPr>
                    <w:t>经循环水池</w:t>
                  </w:r>
                  <w:r>
                    <w:rPr>
                      <w:rStyle w:val="44"/>
                      <w:rFonts w:hint="default" w:ascii="Times New Roman" w:hAnsi="Times New Roman" w:eastAsia="宋体" w:cs="Times New Roman"/>
                      <w:color w:val="auto"/>
                      <w:kern w:val="2"/>
                      <w:sz w:val="21"/>
                      <w:szCs w:val="21"/>
                      <w:lang w:val="en-US" w:eastAsia="zh-CN" w:bidi="ar-SA"/>
                    </w:rPr>
                    <w:t>（</w:t>
                  </w:r>
                  <w:r>
                    <w:rPr>
                      <w:rStyle w:val="44"/>
                      <w:rFonts w:hint="eastAsia" w:ascii="Times New Roman" w:hAnsi="Times New Roman" w:eastAsia="宋体" w:cs="Times New Roman"/>
                      <w:color w:val="auto"/>
                      <w:kern w:val="2"/>
                      <w:sz w:val="21"/>
                      <w:szCs w:val="21"/>
                      <w:highlight w:val="none"/>
                      <w:lang w:val="en-US" w:eastAsia="zh-CN" w:bidi="ar-SA"/>
                    </w:rPr>
                    <w:t>160</w:t>
                  </w:r>
                  <w:r>
                    <w:rPr>
                      <w:rStyle w:val="44"/>
                      <w:rFonts w:hint="default" w:ascii="Times New Roman" w:hAnsi="Times New Roman" w:eastAsia="宋体" w:cs="Times New Roman"/>
                      <w:color w:val="auto"/>
                      <w:kern w:val="2"/>
                      <w:sz w:val="21"/>
                      <w:szCs w:val="21"/>
                      <w:highlight w:val="none"/>
                      <w:lang w:val="en-US" w:eastAsia="zh-CN" w:bidi="ar-SA"/>
                    </w:rPr>
                    <w:t>m</w:t>
                  </w:r>
                  <w:r>
                    <w:rPr>
                      <w:rStyle w:val="44"/>
                      <w:rFonts w:hint="default" w:ascii="Times New Roman" w:hAnsi="Times New Roman" w:eastAsia="宋体" w:cs="Times New Roman"/>
                      <w:color w:val="auto"/>
                      <w:kern w:val="2"/>
                      <w:sz w:val="21"/>
                      <w:szCs w:val="21"/>
                      <w:highlight w:val="none"/>
                      <w:vertAlign w:val="superscript"/>
                      <w:lang w:val="en-US" w:eastAsia="zh-CN" w:bidi="ar-SA"/>
                    </w:rPr>
                    <w:t>3</w:t>
                  </w:r>
                  <w:r>
                    <w:rPr>
                      <w:rStyle w:val="44"/>
                      <w:rFonts w:hint="default" w:ascii="Times New Roman" w:hAnsi="Times New Roman" w:eastAsia="宋体" w:cs="Times New Roman"/>
                      <w:color w:val="auto"/>
                      <w:kern w:val="2"/>
                      <w:sz w:val="21"/>
                      <w:szCs w:val="21"/>
                      <w:lang w:val="en-US" w:eastAsia="zh-CN" w:bidi="ar-SA"/>
                    </w:rPr>
                    <w:t>）</w:t>
                  </w:r>
                  <w:r>
                    <w:rPr>
                      <w:rStyle w:val="44"/>
                      <w:rFonts w:hint="eastAsia" w:ascii="Times New Roman" w:hAnsi="Times New Roman" w:eastAsia="宋体" w:cs="Times New Roman"/>
                      <w:color w:val="auto"/>
                      <w:kern w:val="2"/>
                      <w:sz w:val="21"/>
                      <w:szCs w:val="21"/>
                      <w:lang w:val="en-US" w:eastAsia="zh-CN" w:bidi="ar-SA"/>
                    </w:rPr>
                    <w:t>沉淀后循环使用</w:t>
                  </w:r>
                  <w:r>
                    <w:rPr>
                      <w:rFonts w:hint="default" w:ascii="Times New Roman" w:hAnsi="Times New Roman" w:eastAsia="宋体" w:cs="Times New Roman"/>
                      <w:color w:val="auto"/>
                      <w:szCs w:val="21"/>
                      <w:highlight w:val="none"/>
                      <w:lang w:eastAsia="zh-CN"/>
                    </w:rPr>
                    <w:t>。</w:t>
                  </w:r>
                </w:p>
              </w:tc>
              <w:tc>
                <w:tcPr>
                  <w:tcW w:w="898" w:type="dxa"/>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center"/>
                    <w:textAlignment w:val="auto"/>
                    <w:outlineLvl w:val="9"/>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8</w:t>
                  </w:r>
                </w:p>
              </w:tc>
              <w:tc>
                <w:tcPr>
                  <w:tcW w:w="713" w:type="dxa"/>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center"/>
                    <w:textAlignment w:val="auto"/>
                    <w:outlineLvl w:val="9"/>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75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64" w:lineRule="auto"/>
                    <w:ind w:left="-122" w:leftChars="-51" w:right="-120" w:rightChars="-50"/>
                    <w:jc w:val="center"/>
                    <w:textAlignment w:val="auto"/>
                    <w:outlineLvl w:val="9"/>
                    <w:rPr>
                      <w:rFonts w:hint="eastAsia" w:ascii="Times New Roman" w:hAnsi="Times New Roman" w:cs="Times New Roman"/>
                      <w:color w:val="auto"/>
                      <w:highlight w:val="none"/>
                      <w:lang w:eastAsia="zh-CN"/>
                    </w:rPr>
                  </w:pPr>
                </w:p>
              </w:tc>
              <w:tc>
                <w:tcPr>
                  <w:tcW w:w="1488" w:type="dxa"/>
                  <w:noWrap w:val="0"/>
                  <w:vAlign w:val="center"/>
                </w:tcPr>
                <w:p>
                  <w:pPr>
                    <w:keepNext w:val="0"/>
                    <w:keepLines w:val="0"/>
                    <w:pageBreakBefore w:val="0"/>
                    <w:widowControl w:val="0"/>
                    <w:kinsoku/>
                    <w:wordWrap/>
                    <w:overflowPunct/>
                    <w:topLinePunct w:val="0"/>
                    <w:autoSpaceDE/>
                    <w:autoSpaceDN/>
                    <w:bidi w:val="0"/>
                    <w:adjustRightInd/>
                    <w:snapToGrid/>
                    <w:spacing w:line="264" w:lineRule="auto"/>
                    <w:ind w:left="-122" w:leftChars="-51" w:right="-120" w:rightChars="-50" w:firstLine="122" w:firstLineChars="51"/>
                    <w:jc w:val="center"/>
                    <w:textAlignment w:val="auto"/>
                    <w:outlineLvl w:val="9"/>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冷却水</w:t>
                  </w:r>
                </w:p>
              </w:tc>
              <w:tc>
                <w:tcPr>
                  <w:tcW w:w="4135" w:type="dxa"/>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left"/>
                    <w:textAlignment w:val="auto"/>
                    <w:outlineLvl w:val="9"/>
                    <w:rPr>
                      <w:rFonts w:hint="eastAsia" w:ascii="Times New Roman" w:hAnsi="Times New Roman" w:cs="Times New Roman"/>
                      <w:color w:val="auto"/>
                      <w:highlight w:val="none"/>
                      <w:lang w:eastAsia="zh-CN"/>
                    </w:rPr>
                  </w:pPr>
                  <w:r>
                    <w:rPr>
                      <w:rStyle w:val="44"/>
                      <w:rFonts w:hint="eastAsia" w:ascii="Times New Roman" w:hAnsi="Times New Roman" w:eastAsia="宋体" w:cs="Times New Roman"/>
                      <w:color w:val="auto"/>
                      <w:kern w:val="2"/>
                      <w:sz w:val="21"/>
                      <w:szCs w:val="21"/>
                      <w:lang w:val="en-US" w:eastAsia="zh-CN" w:bidi="ar-SA"/>
                    </w:rPr>
                    <w:t>设置20m</w:t>
                  </w:r>
                  <w:r>
                    <w:rPr>
                      <w:rStyle w:val="44"/>
                      <w:rFonts w:hint="eastAsia" w:ascii="Times New Roman" w:hAnsi="Times New Roman" w:eastAsia="宋体" w:cs="Times New Roman"/>
                      <w:color w:val="auto"/>
                      <w:kern w:val="2"/>
                      <w:sz w:val="21"/>
                      <w:szCs w:val="21"/>
                      <w:vertAlign w:val="superscript"/>
                      <w:lang w:val="en-US" w:eastAsia="zh-CN" w:bidi="ar-SA"/>
                    </w:rPr>
                    <w:t>3</w:t>
                  </w:r>
                  <w:r>
                    <w:rPr>
                      <w:rStyle w:val="44"/>
                      <w:rFonts w:hint="eastAsia" w:ascii="Times New Roman" w:hAnsi="Times New Roman" w:eastAsia="宋体" w:cs="Times New Roman"/>
                      <w:color w:val="auto"/>
                      <w:kern w:val="2"/>
                      <w:sz w:val="21"/>
                      <w:szCs w:val="21"/>
                      <w:lang w:val="en-US" w:eastAsia="zh-CN" w:bidi="ar-SA"/>
                    </w:rPr>
                    <w:t>冷却水池，冷却水循环使用。</w:t>
                  </w:r>
                </w:p>
              </w:tc>
              <w:tc>
                <w:tcPr>
                  <w:tcW w:w="898" w:type="dxa"/>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center"/>
                    <w:textAlignment w:val="auto"/>
                    <w:outlineLvl w:val="9"/>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2</w:t>
                  </w:r>
                </w:p>
              </w:tc>
              <w:tc>
                <w:tcPr>
                  <w:tcW w:w="713" w:type="dxa"/>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center"/>
                    <w:textAlignment w:val="auto"/>
                    <w:outlineLvl w:val="9"/>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75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64" w:lineRule="auto"/>
                    <w:ind w:left="-122" w:leftChars="-51" w:right="-120" w:rightChars="-50"/>
                    <w:jc w:val="center"/>
                    <w:textAlignment w:val="auto"/>
                    <w:outlineLvl w:val="9"/>
                    <w:rPr>
                      <w:rFonts w:hint="eastAsia" w:ascii="Times New Roman" w:hAnsi="Times New Roman" w:cs="Times New Roman"/>
                      <w:color w:val="auto"/>
                      <w:highlight w:val="none"/>
                      <w:lang w:eastAsia="zh-CN"/>
                    </w:rPr>
                  </w:pPr>
                </w:p>
              </w:tc>
              <w:tc>
                <w:tcPr>
                  <w:tcW w:w="1488" w:type="dxa"/>
                  <w:noWrap w:val="0"/>
                  <w:vAlign w:val="center"/>
                </w:tcPr>
                <w:p>
                  <w:pPr>
                    <w:keepNext w:val="0"/>
                    <w:keepLines w:val="0"/>
                    <w:pageBreakBefore w:val="0"/>
                    <w:widowControl w:val="0"/>
                    <w:kinsoku/>
                    <w:wordWrap/>
                    <w:overflowPunct/>
                    <w:topLinePunct w:val="0"/>
                    <w:autoSpaceDE/>
                    <w:autoSpaceDN/>
                    <w:bidi w:val="0"/>
                    <w:adjustRightInd/>
                    <w:snapToGrid/>
                    <w:spacing w:line="264" w:lineRule="auto"/>
                    <w:ind w:left="-122" w:leftChars="-51" w:right="-120" w:rightChars="-50" w:firstLine="122" w:firstLineChars="51"/>
                    <w:jc w:val="center"/>
                    <w:textAlignment w:val="auto"/>
                    <w:outlineLvl w:val="9"/>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水帘水</w:t>
                  </w:r>
                </w:p>
              </w:tc>
              <w:tc>
                <w:tcPr>
                  <w:tcW w:w="4135" w:type="dxa"/>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left"/>
                    <w:textAlignment w:val="auto"/>
                    <w:outlineLvl w:val="9"/>
                    <w:rPr>
                      <w:rFonts w:hint="eastAsia" w:ascii="Times New Roman" w:hAnsi="Times New Roman" w:cs="Times New Roman"/>
                      <w:color w:val="auto"/>
                      <w:highlight w:val="none"/>
                      <w:lang w:eastAsia="zh-CN"/>
                    </w:rPr>
                  </w:pPr>
                  <w:r>
                    <w:rPr>
                      <w:rStyle w:val="44"/>
                      <w:rFonts w:hint="eastAsia" w:ascii="Times New Roman" w:hAnsi="Times New Roman" w:eastAsia="宋体" w:cs="Times New Roman"/>
                      <w:kern w:val="2"/>
                      <w:sz w:val="21"/>
                      <w:szCs w:val="21"/>
                      <w:lang w:val="en-US" w:eastAsia="zh-CN" w:bidi="ar-SA"/>
                    </w:rPr>
                    <w:t>打捞浮渣（漆渣）后循环使用，一年更换一次，</w:t>
                  </w:r>
                  <w:r>
                    <w:rPr>
                      <w:rStyle w:val="44"/>
                      <w:rFonts w:hint="eastAsia" w:ascii="宋体" w:hAnsi="宋体" w:eastAsia="宋体" w:cs="Times New Roman"/>
                      <w:color w:val="auto"/>
                      <w:kern w:val="2"/>
                      <w:sz w:val="21"/>
                      <w:szCs w:val="21"/>
                      <w:lang w:val="en-US" w:eastAsia="zh-CN" w:bidi="ar-SA"/>
                    </w:rPr>
                    <w:t>排入乐山市工业集中区污水处理厂。</w:t>
                  </w:r>
                </w:p>
              </w:tc>
              <w:tc>
                <w:tcPr>
                  <w:tcW w:w="898" w:type="dxa"/>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center"/>
                    <w:textAlignment w:val="auto"/>
                    <w:outlineLvl w:val="9"/>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0.5</w:t>
                  </w:r>
                </w:p>
              </w:tc>
              <w:tc>
                <w:tcPr>
                  <w:tcW w:w="713" w:type="dxa"/>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center"/>
                    <w:textAlignment w:val="auto"/>
                    <w:outlineLvl w:val="9"/>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56"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center"/>
                    <w:textAlignment w:val="auto"/>
                    <w:outlineLvl w:val="9"/>
                    <w:rPr>
                      <w:rFonts w:hint="default" w:ascii="Times New Roman" w:hAnsi="Times New Roman" w:cs="Times New Roman"/>
                      <w:color w:val="auto"/>
                      <w:highlight w:val="none"/>
                    </w:rPr>
                  </w:pPr>
                  <w:r>
                    <w:rPr>
                      <w:rFonts w:hint="default" w:ascii="Times New Roman" w:hAnsi="Times New Roman" w:cs="Times New Roman"/>
                      <w:color w:val="auto"/>
                      <w:highlight w:val="none"/>
                    </w:rPr>
                    <w:t>噪声</w:t>
                  </w:r>
                </w:p>
              </w:tc>
              <w:tc>
                <w:tcPr>
                  <w:tcW w:w="1488"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center"/>
                    <w:textAlignment w:val="auto"/>
                    <w:outlineLvl w:val="9"/>
                    <w:rPr>
                      <w:rFonts w:hint="default" w:ascii="Times New Roman" w:hAnsi="Times New Roman" w:cs="Times New Roman"/>
                      <w:color w:val="auto"/>
                      <w:highlight w:val="none"/>
                    </w:rPr>
                  </w:pPr>
                  <w:r>
                    <w:rPr>
                      <w:rFonts w:hint="default" w:ascii="Times New Roman" w:hAnsi="Times New Roman" w:cs="Times New Roman"/>
                      <w:color w:val="auto"/>
                      <w:highlight w:val="none"/>
                    </w:rPr>
                    <w:t>设备噪声</w:t>
                  </w:r>
                </w:p>
              </w:tc>
              <w:tc>
                <w:tcPr>
                  <w:tcW w:w="4135"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left"/>
                    <w:textAlignment w:val="auto"/>
                    <w:outlineLvl w:val="9"/>
                    <w:rPr>
                      <w:rFonts w:hint="default" w:ascii="Times New Roman" w:hAnsi="Times New Roman" w:cs="Times New Roman"/>
                      <w:color w:val="auto"/>
                      <w:highlight w:val="none"/>
                    </w:rPr>
                  </w:pPr>
                  <w:r>
                    <w:rPr>
                      <w:rFonts w:hint="default" w:ascii="Times New Roman" w:hAnsi="Times New Roman" w:cs="Times New Roman"/>
                      <w:color w:val="auto"/>
                      <w:highlight w:val="none"/>
                    </w:rPr>
                    <w:t>选用低噪声设备，安装减震垫、建筑物隔声和合理布局</w:t>
                  </w:r>
                </w:p>
              </w:tc>
              <w:tc>
                <w:tcPr>
                  <w:tcW w:w="898"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center"/>
                    <w:textAlignment w:val="auto"/>
                    <w:outlineLvl w:val="9"/>
                    <w:rPr>
                      <w:rFonts w:hint="default" w:ascii="Times New Roman" w:hAnsi="Times New Roman" w:cs="Times New Roman"/>
                      <w:color w:val="auto"/>
                      <w:highlight w:val="none"/>
                      <w:lang w:val="en-US"/>
                    </w:rPr>
                  </w:pPr>
                  <w:r>
                    <w:rPr>
                      <w:rFonts w:hint="eastAsia" w:ascii="Times New Roman" w:hAnsi="Times New Roman" w:cs="Times New Roman"/>
                      <w:color w:val="auto"/>
                      <w:highlight w:val="none"/>
                      <w:lang w:val="en-US" w:eastAsia="zh-CN"/>
                    </w:rPr>
                    <w:t>5</w:t>
                  </w:r>
                </w:p>
              </w:tc>
              <w:tc>
                <w:tcPr>
                  <w:tcW w:w="713"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center"/>
                    <w:textAlignment w:val="auto"/>
                    <w:outlineLvl w:val="9"/>
                    <w:rPr>
                      <w:rFonts w:hint="default"/>
                      <w:highlight w:val="none"/>
                    </w:rPr>
                  </w:pPr>
                  <w:r>
                    <w:rPr>
                      <w:rFonts w:hint="default" w:ascii="Times New Roman" w:hAnsi="Times New Roman" w:cs="Times New Roman"/>
                      <w:color w:val="auto"/>
                      <w:highlight w:val="none"/>
                      <w:lang w:eastAsia="zh-CN"/>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5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center"/>
                    <w:textAlignment w:val="auto"/>
                    <w:outlineLvl w:val="9"/>
                    <w:rPr>
                      <w:rFonts w:hint="default" w:ascii="Times New Roman" w:hAnsi="Times New Roman" w:cs="Times New Roman"/>
                      <w:color w:val="auto"/>
                      <w:highlight w:val="none"/>
                    </w:rPr>
                  </w:pPr>
                </w:p>
              </w:tc>
              <w:tc>
                <w:tcPr>
                  <w:tcW w:w="148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center"/>
                    <w:textAlignment w:val="auto"/>
                    <w:outlineLvl w:val="9"/>
                    <w:rPr>
                      <w:rFonts w:hint="default" w:ascii="Times New Roman" w:hAnsi="Times New Roman" w:cs="Times New Roman"/>
                      <w:color w:val="auto"/>
                      <w:highlight w:val="none"/>
                    </w:rPr>
                  </w:pPr>
                </w:p>
              </w:tc>
              <w:tc>
                <w:tcPr>
                  <w:tcW w:w="413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center"/>
                    <w:textAlignment w:val="auto"/>
                    <w:outlineLvl w:val="9"/>
                    <w:rPr>
                      <w:rFonts w:hint="default" w:ascii="Times New Roman" w:hAnsi="Times New Roman" w:cs="Times New Roman"/>
                      <w:color w:val="auto"/>
                      <w:highlight w:val="none"/>
                    </w:rPr>
                  </w:pPr>
                </w:p>
              </w:tc>
              <w:tc>
                <w:tcPr>
                  <w:tcW w:w="89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center"/>
                    <w:textAlignment w:val="auto"/>
                    <w:outlineLvl w:val="9"/>
                    <w:rPr>
                      <w:rFonts w:hint="default" w:ascii="Times New Roman" w:hAnsi="Times New Roman" w:cs="Times New Roman"/>
                      <w:color w:val="auto"/>
                      <w:highlight w:val="none"/>
                    </w:rPr>
                  </w:pPr>
                </w:p>
              </w:tc>
              <w:tc>
                <w:tcPr>
                  <w:tcW w:w="71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center"/>
                    <w:textAlignment w:val="auto"/>
                    <w:outlineLvl w:val="9"/>
                    <w:rPr>
                      <w:rFonts w:hint="default" w:ascii="Times New Roman" w:hAnsi="Times New Roman" w:cs="Times New Roman"/>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4" w:hRule="atLeast"/>
                <w:jc w:val="center"/>
              </w:trPr>
              <w:tc>
                <w:tcPr>
                  <w:tcW w:w="756"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center"/>
                    <w:textAlignment w:val="auto"/>
                    <w:outlineLvl w:val="9"/>
                    <w:rPr>
                      <w:rFonts w:hint="default" w:ascii="Times New Roman" w:hAnsi="Times New Roman" w:cs="Times New Roman"/>
                      <w:color w:val="auto"/>
                      <w:highlight w:val="none"/>
                    </w:rPr>
                  </w:pPr>
                  <w:r>
                    <w:rPr>
                      <w:rFonts w:hint="default" w:ascii="Times New Roman" w:hAnsi="Times New Roman" w:cs="Times New Roman"/>
                      <w:color w:val="auto"/>
                      <w:highlight w:val="none"/>
                    </w:rPr>
                    <w:t>固废</w:t>
                  </w:r>
                </w:p>
              </w:tc>
              <w:tc>
                <w:tcPr>
                  <w:tcW w:w="1488" w:type="dxa"/>
                  <w:noWrap w:val="0"/>
                  <w:vAlign w:val="center"/>
                </w:tcPr>
                <w:p>
                  <w:pPr>
                    <w:adjustRightInd w:val="0"/>
                    <w:jc w:val="center"/>
                    <w:textAlignment w:val="baseline"/>
                    <w:rPr>
                      <w:rFonts w:hint="default" w:ascii="Times New Roman" w:hAnsi="Times New Roman" w:cs="Times New Roman"/>
                      <w:color w:val="auto"/>
                      <w:highlight w:val="none"/>
                    </w:rPr>
                  </w:pPr>
                  <w:r>
                    <w:rPr>
                      <w:bCs/>
                      <w:color w:val="auto"/>
                      <w:szCs w:val="21"/>
                      <w:highlight w:val="none"/>
                    </w:rPr>
                    <w:t>生活垃圾</w:t>
                  </w:r>
                </w:p>
              </w:tc>
              <w:tc>
                <w:tcPr>
                  <w:tcW w:w="4135" w:type="dxa"/>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left"/>
                    <w:textAlignment w:val="auto"/>
                    <w:outlineLvl w:val="9"/>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环卫部门进行统一清理</w:t>
                  </w:r>
                  <w:r>
                    <w:rPr>
                      <w:rFonts w:hint="default" w:ascii="Times New Roman" w:hAnsi="Times New Roman" w:cs="Times New Roman"/>
                      <w:color w:val="auto"/>
                      <w:highlight w:val="none"/>
                      <w:lang w:eastAsia="zh-CN"/>
                    </w:rPr>
                    <w:t>。</w:t>
                  </w:r>
                </w:p>
              </w:tc>
              <w:tc>
                <w:tcPr>
                  <w:tcW w:w="898" w:type="dxa"/>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center"/>
                    <w:textAlignment w:val="auto"/>
                    <w:outlineLvl w:val="9"/>
                    <w:rPr>
                      <w:rFonts w:hint="eastAsia" w:ascii="Times New Roman" w:hAnsi="Times New Roman" w:eastAsia="宋体" w:cs="Times New Roman"/>
                      <w:color w:val="auto"/>
                      <w:highlight w:val="none"/>
                      <w:lang w:eastAsia="zh-CN"/>
                    </w:rPr>
                  </w:pPr>
                  <w:r>
                    <w:rPr>
                      <w:rFonts w:hint="eastAsia" w:ascii="Times New Roman" w:hAnsi="Times New Roman" w:cs="Times New Roman"/>
                      <w:color w:val="auto"/>
                      <w:highlight w:val="none"/>
                      <w:lang w:val="en-US" w:eastAsia="zh-CN"/>
                    </w:rPr>
                    <w:t>2</w:t>
                  </w:r>
                </w:p>
              </w:tc>
              <w:tc>
                <w:tcPr>
                  <w:tcW w:w="713" w:type="dxa"/>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center"/>
                    <w:textAlignment w:val="auto"/>
                    <w:outlineLvl w:val="9"/>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4" w:hRule="atLeast"/>
                <w:jc w:val="center"/>
              </w:trPr>
              <w:tc>
                <w:tcPr>
                  <w:tcW w:w="75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center"/>
                    <w:textAlignment w:val="auto"/>
                    <w:outlineLvl w:val="9"/>
                    <w:rPr>
                      <w:rFonts w:hint="default" w:ascii="Times New Roman" w:hAnsi="Times New Roman" w:cs="Times New Roman"/>
                      <w:color w:val="auto"/>
                      <w:highlight w:val="none"/>
                    </w:rPr>
                  </w:pPr>
                </w:p>
              </w:tc>
              <w:tc>
                <w:tcPr>
                  <w:tcW w:w="1488" w:type="dxa"/>
                  <w:noWrap w:val="0"/>
                  <w:vAlign w:val="center"/>
                </w:tcPr>
                <w:p>
                  <w:pPr>
                    <w:jc w:val="center"/>
                    <w:rPr>
                      <w:bCs/>
                      <w:color w:val="auto"/>
                      <w:szCs w:val="21"/>
                      <w:highlight w:val="none"/>
                    </w:rPr>
                  </w:pPr>
                  <w:r>
                    <w:rPr>
                      <w:rFonts w:hint="eastAsia" w:ascii="Times New Roman" w:hAnsi="Times New Roman" w:cs="Times New Roman"/>
                      <w:color w:val="auto"/>
                      <w:szCs w:val="21"/>
                      <w:highlight w:val="none"/>
                      <w:lang w:val="en-US" w:eastAsia="zh-CN"/>
                    </w:rPr>
                    <w:t>水池沉渣</w:t>
                  </w:r>
                </w:p>
              </w:tc>
              <w:tc>
                <w:tcPr>
                  <w:tcW w:w="4135" w:type="dxa"/>
                  <w:noWrap w:val="0"/>
                  <w:vAlign w:val="center"/>
                </w:tcPr>
                <w:p>
                  <w:pPr>
                    <w:jc w:val="left"/>
                    <w:rPr>
                      <w:rFonts w:hint="default" w:ascii="Times New Roman" w:hAnsi="Times New Roman" w:cs="Times New Roman"/>
                      <w:color w:val="auto"/>
                      <w:highlight w:val="none"/>
                    </w:rPr>
                  </w:pPr>
                  <w:r>
                    <w:rPr>
                      <w:rFonts w:hint="default" w:ascii="Times New Roman" w:hAnsi="Times New Roman" w:cs="Times New Roman"/>
                      <w:color w:val="auto"/>
                      <w:szCs w:val="21"/>
                      <w:highlight w:val="none"/>
                    </w:rPr>
                    <w:t>交由环卫部门处理</w:t>
                  </w:r>
                  <w:r>
                    <w:rPr>
                      <w:rFonts w:hint="default" w:ascii="Times New Roman" w:hAnsi="Times New Roman" w:cs="Times New Roman"/>
                      <w:color w:val="auto"/>
                      <w:szCs w:val="21"/>
                      <w:highlight w:val="none"/>
                      <w:lang w:eastAsia="zh-CN"/>
                    </w:rPr>
                    <w:t>。</w:t>
                  </w:r>
                </w:p>
              </w:tc>
              <w:tc>
                <w:tcPr>
                  <w:tcW w:w="898" w:type="dxa"/>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center"/>
                    <w:textAlignment w:val="auto"/>
                    <w:outlineLvl w:val="9"/>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2</w:t>
                  </w:r>
                </w:p>
              </w:tc>
              <w:tc>
                <w:tcPr>
                  <w:tcW w:w="713" w:type="dxa"/>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center"/>
                    <w:textAlignment w:val="auto"/>
                    <w:outlineLvl w:val="9"/>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4" w:hRule="atLeast"/>
                <w:jc w:val="center"/>
              </w:trPr>
              <w:tc>
                <w:tcPr>
                  <w:tcW w:w="75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center"/>
                    <w:textAlignment w:val="auto"/>
                    <w:outlineLvl w:val="9"/>
                    <w:rPr>
                      <w:rFonts w:hint="default" w:ascii="Times New Roman" w:hAnsi="Times New Roman" w:cs="Times New Roman"/>
                      <w:color w:val="auto"/>
                      <w:highlight w:val="none"/>
                    </w:rPr>
                  </w:pPr>
                </w:p>
              </w:tc>
              <w:tc>
                <w:tcPr>
                  <w:tcW w:w="1488" w:type="dxa"/>
                  <w:noWrap w:val="0"/>
                  <w:vAlign w:val="center"/>
                </w:tcPr>
                <w:p>
                  <w:pPr>
                    <w:jc w:val="center"/>
                    <w:rPr>
                      <w:bCs/>
                      <w:color w:val="auto"/>
                      <w:szCs w:val="21"/>
                      <w:highlight w:val="none"/>
                    </w:rPr>
                  </w:pPr>
                  <w:r>
                    <w:rPr>
                      <w:rFonts w:hint="default" w:ascii="Times New Roman" w:hAnsi="Times New Roman" w:cs="Times New Roman"/>
                      <w:color w:val="auto"/>
                      <w:szCs w:val="21"/>
                      <w:highlight w:val="none"/>
                      <w:lang w:eastAsia="zh-CN"/>
                    </w:rPr>
                    <w:t>边角料和不合格产品</w:t>
                  </w:r>
                </w:p>
              </w:tc>
              <w:tc>
                <w:tcPr>
                  <w:tcW w:w="4135" w:type="dxa"/>
                  <w:noWrap w:val="0"/>
                  <w:vAlign w:val="center"/>
                </w:tcPr>
                <w:p>
                  <w:pPr>
                    <w:jc w:val="left"/>
                    <w:rPr>
                      <w:rFonts w:hint="default" w:ascii="Times New Roman" w:hAnsi="Times New Roman" w:cs="Times New Roman"/>
                      <w:color w:val="auto"/>
                      <w:highlight w:val="none"/>
                    </w:rPr>
                  </w:pPr>
                  <w:r>
                    <w:rPr>
                      <w:rFonts w:hint="eastAsia" w:ascii="Times New Roman" w:hAnsi="Times New Roman" w:cs="Times New Roman"/>
                      <w:color w:val="auto"/>
                      <w:szCs w:val="21"/>
                      <w:highlight w:val="none"/>
                      <w:lang w:val="en-US" w:eastAsia="zh-CN"/>
                    </w:rPr>
                    <w:t>收集</w:t>
                  </w:r>
                  <w:r>
                    <w:rPr>
                      <w:rFonts w:hint="eastAsia" w:ascii="Times New Roman" w:hAnsi="Times New Roman" w:cs="Times New Roman"/>
                      <w:color w:val="auto"/>
                      <w:szCs w:val="21"/>
                      <w:highlight w:val="none"/>
                      <w:lang w:eastAsia="zh-CN"/>
                    </w:rPr>
                    <w:t>外售或厂家回收</w:t>
                  </w:r>
                  <w:r>
                    <w:rPr>
                      <w:rFonts w:hint="default" w:ascii="Times New Roman" w:hAnsi="Times New Roman" w:cs="Times New Roman"/>
                      <w:color w:val="auto"/>
                      <w:szCs w:val="21"/>
                      <w:highlight w:val="none"/>
                      <w:lang w:eastAsia="zh-CN"/>
                    </w:rPr>
                    <w:t>。</w:t>
                  </w:r>
                </w:p>
              </w:tc>
              <w:tc>
                <w:tcPr>
                  <w:tcW w:w="898" w:type="dxa"/>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center"/>
                    <w:textAlignment w:val="auto"/>
                    <w:outlineLvl w:val="9"/>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713" w:type="dxa"/>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center"/>
                    <w:textAlignment w:val="auto"/>
                    <w:outlineLvl w:val="9"/>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4" w:hRule="atLeast"/>
                <w:jc w:val="center"/>
              </w:trPr>
              <w:tc>
                <w:tcPr>
                  <w:tcW w:w="75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center"/>
                    <w:textAlignment w:val="auto"/>
                    <w:outlineLvl w:val="9"/>
                    <w:rPr>
                      <w:rFonts w:hint="default" w:ascii="Times New Roman" w:hAnsi="Times New Roman" w:cs="Times New Roman"/>
                      <w:color w:val="auto"/>
                      <w:highlight w:val="none"/>
                    </w:rPr>
                  </w:pPr>
                </w:p>
              </w:tc>
              <w:tc>
                <w:tcPr>
                  <w:tcW w:w="1488" w:type="dxa"/>
                  <w:noWrap w:val="0"/>
                  <w:vAlign w:val="center"/>
                </w:tcPr>
                <w:p>
                  <w:pPr>
                    <w:jc w:val="center"/>
                    <w:rPr>
                      <w:rFonts w:hint="default" w:ascii="Times New Roman" w:hAnsi="Times New Roman" w:cs="Times New Roman"/>
                      <w:color w:val="auto"/>
                      <w:szCs w:val="21"/>
                      <w:highlight w:val="none"/>
                      <w:lang w:eastAsia="zh-CN"/>
                    </w:rPr>
                  </w:pPr>
                  <w:r>
                    <w:rPr>
                      <w:rFonts w:hint="eastAsia" w:ascii="Times New Roman" w:hAnsi="Times New Roman" w:cs="Times New Roman"/>
                      <w:color w:val="auto"/>
                      <w:szCs w:val="21"/>
                      <w:highlight w:val="none"/>
                      <w:lang w:val="en-US" w:eastAsia="zh-CN"/>
                    </w:rPr>
                    <w:t>包装材料</w:t>
                  </w:r>
                </w:p>
              </w:tc>
              <w:tc>
                <w:tcPr>
                  <w:tcW w:w="4135" w:type="dxa"/>
                  <w:noWrap w:val="0"/>
                  <w:vAlign w:val="center"/>
                </w:tcPr>
                <w:p>
                  <w:pPr>
                    <w:jc w:val="left"/>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eastAsia="zh-CN"/>
                    </w:rPr>
                    <w:t>收集外售。</w:t>
                  </w:r>
                </w:p>
              </w:tc>
              <w:tc>
                <w:tcPr>
                  <w:tcW w:w="898" w:type="dxa"/>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center"/>
                    <w:textAlignment w:val="auto"/>
                    <w:outlineLvl w:val="9"/>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713" w:type="dxa"/>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center"/>
                    <w:textAlignment w:val="auto"/>
                    <w:outlineLvl w:val="9"/>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75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center"/>
                    <w:textAlignment w:val="auto"/>
                    <w:outlineLvl w:val="9"/>
                    <w:rPr>
                      <w:rFonts w:hint="default" w:ascii="Times New Roman" w:hAnsi="Times New Roman" w:cs="Times New Roman"/>
                      <w:color w:val="auto"/>
                      <w:highlight w:val="none"/>
                    </w:rPr>
                  </w:pPr>
                </w:p>
              </w:tc>
              <w:tc>
                <w:tcPr>
                  <w:tcW w:w="1488" w:type="dxa"/>
                  <w:noWrap w:val="0"/>
                  <w:vAlign w:val="center"/>
                </w:tcPr>
                <w:p>
                  <w:pPr>
                    <w:jc w:val="center"/>
                    <w:rPr>
                      <w:rFonts w:hint="default"/>
                      <w:color w:val="auto"/>
                      <w:szCs w:val="21"/>
                      <w:highlight w:val="none"/>
                      <w:lang w:val="en-US" w:eastAsia="zh-CN"/>
                    </w:rPr>
                  </w:pPr>
                  <w:r>
                    <w:rPr>
                      <w:rFonts w:hint="eastAsia" w:ascii="Times New Roman" w:hAnsi="Times New Roman" w:cs="Times New Roman"/>
                      <w:color w:val="auto"/>
                      <w:szCs w:val="21"/>
                      <w:highlight w:val="none"/>
                      <w:lang w:eastAsia="zh-CN"/>
                    </w:rPr>
                    <w:t>废漆料桶（油漆、稀释剂、固化剂）</w:t>
                  </w:r>
                </w:p>
              </w:tc>
              <w:tc>
                <w:tcPr>
                  <w:tcW w:w="4135"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left"/>
                    <w:textAlignment w:val="auto"/>
                    <w:outlineLvl w:val="9"/>
                    <w:rPr>
                      <w:rFonts w:hint="default"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危废暂存</w:t>
                  </w:r>
                  <w:r>
                    <w:rPr>
                      <w:rFonts w:hint="eastAsia" w:ascii="Times New Roman" w:hAnsi="Times New Roman" w:eastAsia="宋体" w:cs="Times New Roman"/>
                      <w:color w:val="auto"/>
                      <w:szCs w:val="21"/>
                      <w:highlight w:val="none"/>
                      <w:lang w:eastAsia="zh-CN"/>
                    </w:rPr>
                    <w:t>间暂存，</w:t>
                  </w:r>
                  <w:r>
                    <w:rPr>
                      <w:rFonts w:hint="eastAsia" w:ascii="Times New Roman" w:hAnsi="Times New Roman" w:eastAsia="宋体" w:cs="Times New Roman"/>
                      <w:color w:val="auto"/>
                      <w:szCs w:val="21"/>
                      <w:highlight w:val="none"/>
                      <w:lang w:val="en-US" w:eastAsia="zh-CN"/>
                    </w:rPr>
                    <w:t>交由具有相应处理资质的单位进行处置</w:t>
                  </w:r>
                  <w:r>
                    <w:rPr>
                      <w:rFonts w:hint="default" w:ascii="Times New Roman" w:hAnsi="Times New Roman" w:eastAsia="宋体" w:cs="Times New Roman"/>
                      <w:color w:val="auto"/>
                      <w:szCs w:val="21"/>
                      <w:highlight w:val="none"/>
                      <w:lang w:eastAsia="zh-CN"/>
                    </w:rPr>
                    <w:t>。</w:t>
                  </w:r>
                </w:p>
              </w:tc>
              <w:tc>
                <w:tcPr>
                  <w:tcW w:w="898"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center"/>
                    <w:textAlignment w:val="auto"/>
                    <w:outlineLvl w:val="9"/>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10</w:t>
                  </w:r>
                </w:p>
              </w:tc>
              <w:tc>
                <w:tcPr>
                  <w:tcW w:w="713"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center"/>
                    <w:textAlignment w:val="auto"/>
                    <w:outlineLvl w:val="9"/>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center"/>
                    <w:textAlignment w:val="auto"/>
                    <w:outlineLvl w:val="9"/>
                    <w:rPr>
                      <w:rFonts w:hint="default" w:ascii="Times New Roman" w:hAnsi="Times New Roman" w:cs="Times New Roman"/>
                      <w:color w:val="auto"/>
                      <w:highlight w:val="none"/>
                    </w:rPr>
                  </w:pPr>
                </w:p>
              </w:tc>
              <w:tc>
                <w:tcPr>
                  <w:tcW w:w="1488" w:type="dxa"/>
                  <w:noWrap w:val="0"/>
                  <w:vAlign w:val="center"/>
                </w:tcPr>
                <w:p>
                  <w:pPr>
                    <w:adjustRightInd w:val="0"/>
                    <w:jc w:val="center"/>
                    <w:textAlignment w:val="baseline"/>
                    <w:rPr>
                      <w:rFonts w:hint="default" w:ascii="Times New Roman" w:hAnsi="Times New Roman" w:eastAsia="宋体" w:cs="Times New Roman"/>
                      <w:color w:val="auto"/>
                      <w:highlight w:val="none"/>
                      <w:lang w:eastAsia="zh-CN"/>
                    </w:rPr>
                  </w:pPr>
                  <w:r>
                    <w:rPr>
                      <w:rFonts w:hint="eastAsia"/>
                      <w:color w:val="auto"/>
                      <w:szCs w:val="21"/>
                      <w:highlight w:val="none"/>
                      <w:lang w:val="en-US" w:eastAsia="zh-CN"/>
                    </w:rPr>
                    <w:t>废滤料</w:t>
                  </w:r>
                </w:p>
              </w:tc>
              <w:tc>
                <w:tcPr>
                  <w:tcW w:w="413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left"/>
                    <w:textAlignment w:val="auto"/>
                    <w:outlineLvl w:val="9"/>
                    <w:rPr>
                      <w:rFonts w:hint="default" w:ascii="Times New Roman" w:hAnsi="Times New Roman" w:eastAsia="宋体" w:cs="Times New Roman"/>
                      <w:color w:val="auto"/>
                      <w:highlight w:val="none"/>
                      <w:lang w:eastAsia="zh-CN"/>
                    </w:rPr>
                  </w:pPr>
                </w:p>
              </w:tc>
              <w:tc>
                <w:tcPr>
                  <w:tcW w:w="89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center"/>
                    <w:textAlignment w:val="auto"/>
                    <w:outlineLvl w:val="9"/>
                    <w:rPr>
                      <w:rFonts w:hint="default" w:ascii="Times New Roman" w:hAnsi="Times New Roman" w:eastAsia="宋体" w:cs="Times New Roman"/>
                      <w:color w:val="auto"/>
                      <w:highlight w:val="none"/>
                      <w:lang w:val="en-US" w:eastAsia="zh-CN"/>
                    </w:rPr>
                  </w:pPr>
                </w:p>
              </w:tc>
              <w:tc>
                <w:tcPr>
                  <w:tcW w:w="71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center"/>
                    <w:textAlignment w:val="auto"/>
                    <w:outlineLvl w:val="9"/>
                    <w:rPr>
                      <w:rFonts w:hint="default" w:ascii="Times New Roman" w:hAnsi="Times New Roman" w:cs="Times New Roman"/>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center"/>
                    <w:textAlignment w:val="auto"/>
                    <w:outlineLvl w:val="9"/>
                    <w:rPr>
                      <w:rFonts w:hint="default" w:ascii="Times New Roman" w:hAnsi="Times New Roman" w:cs="Times New Roman"/>
                      <w:color w:val="auto"/>
                      <w:highlight w:val="none"/>
                    </w:rPr>
                  </w:pPr>
                </w:p>
              </w:tc>
              <w:tc>
                <w:tcPr>
                  <w:tcW w:w="1488" w:type="dxa"/>
                  <w:noWrap w:val="0"/>
                  <w:vAlign w:val="center"/>
                </w:tcPr>
                <w:p>
                  <w:pPr>
                    <w:adjustRightInd w:val="0"/>
                    <w:jc w:val="center"/>
                    <w:textAlignment w:val="baseline"/>
                    <w:rPr>
                      <w:rFonts w:hint="eastAsia"/>
                      <w:color w:val="auto"/>
                      <w:szCs w:val="21"/>
                      <w:highlight w:val="none"/>
                      <w:lang w:eastAsia="zh-CN"/>
                    </w:rPr>
                  </w:pPr>
                  <w:r>
                    <w:rPr>
                      <w:rFonts w:hint="eastAsia"/>
                      <w:color w:val="auto"/>
                      <w:szCs w:val="21"/>
                      <w:highlight w:val="none"/>
                      <w:lang w:val="en-US" w:eastAsia="zh-CN"/>
                    </w:rPr>
                    <w:t>漆渣</w:t>
                  </w:r>
                </w:p>
              </w:tc>
              <w:tc>
                <w:tcPr>
                  <w:tcW w:w="413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left"/>
                    <w:textAlignment w:val="auto"/>
                    <w:outlineLvl w:val="9"/>
                    <w:rPr>
                      <w:rFonts w:hint="eastAsia" w:ascii="Times New Roman" w:hAnsi="Times New Roman" w:eastAsia="宋体" w:cs="Times New Roman"/>
                      <w:color w:val="auto"/>
                      <w:highlight w:val="none"/>
                      <w:lang w:eastAsia="zh-CN"/>
                    </w:rPr>
                  </w:pPr>
                </w:p>
              </w:tc>
              <w:tc>
                <w:tcPr>
                  <w:tcW w:w="89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center"/>
                    <w:textAlignment w:val="auto"/>
                    <w:outlineLvl w:val="9"/>
                    <w:rPr>
                      <w:rFonts w:hint="default" w:ascii="Times New Roman" w:hAnsi="Times New Roman" w:eastAsia="宋体" w:cs="Times New Roman"/>
                      <w:color w:val="auto"/>
                      <w:highlight w:val="none"/>
                      <w:lang w:val="en-US" w:eastAsia="zh-CN"/>
                    </w:rPr>
                  </w:pPr>
                </w:p>
              </w:tc>
              <w:tc>
                <w:tcPr>
                  <w:tcW w:w="71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center"/>
                    <w:textAlignment w:val="auto"/>
                    <w:outlineLvl w:val="9"/>
                    <w:rPr>
                      <w:rFonts w:hint="default" w:ascii="Times New Roman" w:hAnsi="Times New Roman" w:cs="Times New Roman"/>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center"/>
                    <w:textAlignment w:val="auto"/>
                    <w:outlineLvl w:val="9"/>
                    <w:rPr>
                      <w:rFonts w:hint="default" w:ascii="Times New Roman" w:hAnsi="Times New Roman" w:cs="Times New Roman"/>
                      <w:color w:val="auto"/>
                      <w:highlight w:val="none"/>
                    </w:rPr>
                  </w:pPr>
                </w:p>
              </w:tc>
              <w:tc>
                <w:tcPr>
                  <w:tcW w:w="1488" w:type="dxa"/>
                  <w:noWrap w:val="0"/>
                  <w:vAlign w:val="center"/>
                </w:tcPr>
                <w:p>
                  <w:pPr>
                    <w:adjustRightInd w:val="0"/>
                    <w:jc w:val="center"/>
                    <w:textAlignment w:val="baseline"/>
                    <w:rPr>
                      <w:rFonts w:hint="eastAsia" w:ascii="Times New Roman" w:hAnsi="Times New Roman" w:cs="Times New Roman"/>
                      <w:color w:val="auto"/>
                      <w:highlight w:val="none"/>
                      <w:lang w:eastAsia="zh-CN"/>
                    </w:rPr>
                  </w:pPr>
                  <w:r>
                    <w:rPr>
                      <w:rFonts w:hint="eastAsia"/>
                      <w:color w:val="auto"/>
                      <w:szCs w:val="21"/>
                      <w:highlight w:val="none"/>
                      <w:lang w:eastAsia="zh-CN"/>
                    </w:rPr>
                    <w:t>废活性炭</w:t>
                  </w:r>
                </w:p>
              </w:tc>
              <w:tc>
                <w:tcPr>
                  <w:tcW w:w="413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left"/>
                    <w:textAlignment w:val="auto"/>
                    <w:outlineLvl w:val="9"/>
                    <w:rPr>
                      <w:rFonts w:hint="default" w:ascii="Times New Roman" w:hAnsi="Times New Roman" w:cs="Times New Roman"/>
                      <w:color w:val="auto"/>
                      <w:highlight w:val="none"/>
                      <w:lang w:eastAsia="zh-CN"/>
                    </w:rPr>
                  </w:pPr>
                </w:p>
              </w:tc>
              <w:tc>
                <w:tcPr>
                  <w:tcW w:w="89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center"/>
                    <w:textAlignment w:val="auto"/>
                    <w:outlineLvl w:val="9"/>
                    <w:rPr>
                      <w:rFonts w:hint="default" w:ascii="Times New Roman" w:hAnsi="Times New Roman" w:cs="Times New Roman"/>
                      <w:color w:val="auto"/>
                      <w:highlight w:val="none"/>
                      <w:lang w:val="en-US" w:eastAsia="zh-CN"/>
                    </w:rPr>
                  </w:pPr>
                </w:p>
              </w:tc>
              <w:tc>
                <w:tcPr>
                  <w:tcW w:w="71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center"/>
                    <w:textAlignment w:val="auto"/>
                    <w:outlineLvl w:val="9"/>
                    <w:rPr>
                      <w:rFonts w:hint="default" w:ascii="Times New Roman" w:hAnsi="Times New Roman" w:cs="Times New Roman"/>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center"/>
                    <w:textAlignment w:val="auto"/>
                    <w:outlineLvl w:val="9"/>
                    <w:rPr>
                      <w:rFonts w:hint="default" w:ascii="Times New Roman" w:hAnsi="Times New Roman" w:cs="Times New Roman"/>
                      <w:color w:val="auto"/>
                      <w:highlight w:val="none"/>
                    </w:rPr>
                  </w:pPr>
                </w:p>
              </w:tc>
              <w:tc>
                <w:tcPr>
                  <w:tcW w:w="1488" w:type="dxa"/>
                  <w:noWrap w:val="0"/>
                  <w:vAlign w:val="center"/>
                </w:tcPr>
                <w:p>
                  <w:pPr>
                    <w:adjustRightInd w:val="0"/>
                    <w:jc w:val="center"/>
                    <w:textAlignment w:val="baseline"/>
                    <w:rPr>
                      <w:rFonts w:hint="eastAsia" w:ascii="Times New Roman" w:hAnsi="Times New Roman" w:cs="Times New Roman"/>
                      <w:color w:val="auto"/>
                      <w:highlight w:val="none"/>
                      <w:lang w:eastAsia="zh-CN"/>
                    </w:rPr>
                  </w:pPr>
                  <w:r>
                    <w:rPr>
                      <w:rFonts w:hint="eastAsia"/>
                      <w:color w:val="auto"/>
                      <w:szCs w:val="21"/>
                      <w:highlight w:val="none"/>
                      <w:lang w:eastAsia="zh-CN"/>
                    </w:rPr>
                    <w:t>废油桶和</w:t>
                  </w:r>
                  <w:r>
                    <w:rPr>
                      <w:color w:val="auto"/>
                      <w:szCs w:val="21"/>
                      <w:highlight w:val="none"/>
                    </w:rPr>
                    <w:t>含油棉纱手套</w:t>
                  </w:r>
                </w:p>
              </w:tc>
              <w:tc>
                <w:tcPr>
                  <w:tcW w:w="413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left"/>
                    <w:textAlignment w:val="auto"/>
                    <w:outlineLvl w:val="9"/>
                    <w:rPr>
                      <w:rFonts w:hint="default" w:ascii="Times New Roman" w:hAnsi="Times New Roman" w:cs="Times New Roman"/>
                      <w:color w:val="auto"/>
                      <w:highlight w:val="none"/>
                      <w:lang w:eastAsia="zh-CN"/>
                    </w:rPr>
                  </w:pPr>
                </w:p>
              </w:tc>
              <w:tc>
                <w:tcPr>
                  <w:tcW w:w="89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center"/>
                    <w:textAlignment w:val="auto"/>
                    <w:outlineLvl w:val="9"/>
                    <w:rPr>
                      <w:rFonts w:hint="default" w:ascii="Times New Roman" w:hAnsi="Times New Roman" w:cs="Times New Roman"/>
                      <w:color w:val="auto"/>
                      <w:highlight w:val="none"/>
                      <w:lang w:val="en-US" w:eastAsia="zh-CN"/>
                    </w:rPr>
                  </w:pPr>
                </w:p>
              </w:tc>
              <w:tc>
                <w:tcPr>
                  <w:tcW w:w="71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center"/>
                    <w:textAlignment w:val="auto"/>
                    <w:outlineLvl w:val="9"/>
                    <w:rPr>
                      <w:rFonts w:hint="default" w:ascii="Times New Roman" w:hAnsi="Times New Roman" w:cs="Times New Roman"/>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6" w:type="dxa"/>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center"/>
                    <w:textAlignment w:val="auto"/>
                    <w:outlineLvl w:val="9"/>
                    <w:rPr>
                      <w:rFonts w:hint="eastAsia" w:ascii="Times New Roman" w:hAnsi="Times New Roman" w:cs="Times New Roman"/>
                      <w:color w:val="auto"/>
                      <w:highlight w:val="none"/>
                      <w:lang w:eastAsia="zh-CN"/>
                    </w:rPr>
                  </w:pPr>
                  <w:r>
                    <w:rPr>
                      <w:rFonts w:hint="eastAsia" w:ascii="Times New Roman" w:hAnsi="Times New Roman" w:cs="Times New Roman"/>
                      <w:color w:val="auto"/>
                      <w:highlight w:val="none"/>
                      <w:lang w:eastAsia="zh-CN"/>
                    </w:rPr>
                    <w:t>环境</w:t>
                  </w:r>
                </w:p>
                <w:p>
                  <w:pPr>
                    <w:keepNext w:val="0"/>
                    <w:keepLines w:val="0"/>
                    <w:pageBreakBefore w:val="0"/>
                    <w:widowControl w:val="0"/>
                    <w:kinsoku/>
                    <w:wordWrap/>
                    <w:overflowPunct/>
                    <w:topLinePunct w:val="0"/>
                    <w:autoSpaceDE/>
                    <w:autoSpaceDN/>
                    <w:bidi w:val="0"/>
                    <w:adjustRightInd/>
                    <w:snapToGrid/>
                    <w:spacing w:line="264" w:lineRule="auto"/>
                    <w:jc w:val="center"/>
                    <w:textAlignment w:val="auto"/>
                    <w:outlineLvl w:val="9"/>
                    <w:rPr>
                      <w:rFonts w:hint="eastAsia" w:ascii="Times New Roman" w:hAnsi="Times New Roman" w:eastAsia="宋体" w:cs="Times New Roman"/>
                      <w:color w:val="auto"/>
                      <w:highlight w:val="none"/>
                      <w:lang w:eastAsia="zh-CN"/>
                    </w:rPr>
                  </w:pPr>
                  <w:r>
                    <w:rPr>
                      <w:rFonts w:hint="eastAsia" w:ascii="Times New Roman" w:hAnsi="Times New Roman" w:cs="Times New Roman"/>
                      <w:color w:val="auto"/>
                      <w:highlight w:val="none"/>
                      <w:lang w:eastAsia="zh-CN"/>
                    </w:rPr>
                    <w:t>风险</w:t>
                  </w:r>
                </w:p>
              </w:tc>
              <w:tc>
                <w:tcPr>
                  <w:tcW w:w="5623"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left"/>
                    <w:textAlignment w:val="auto"/>
                    <w:outlineLvl w:val="9"/>
                    <w:rPr>
                      <w:rFonts w:hint="default" w:ascii="Times New Roman" w:hAnsi="Times New Roman" w:cs="Times New Roman"/>
                      <w:color w:val="auto"/>
                      <w:highlight w:val="none"/>
                      <w:lang w:eastAsia="zh-CN"/>
                    </w:rPr>
                  </w:pPr>
                  <w:r>
                    <w:rPr>
                      <w:rFonts w:hint="default" w:ascii="Times New Roman" w:hAnsi="Times New Roman" w:cs="Times New Roman"/>
                      <w:color w:val="auto"/>
                      <w:szCs w:val="21"/>
                      <w:highlight w:val="none"/>
                      <w:lang w:eastAsia="zh-CN"/>
                    </w:rPr>
                    <w:t>分区防渗，危废暂存间、</w:t>
                  </w:r>
                  <w:r>
                    <w:rPr>
                      <w:rFonts w:hint="eastAsia" w:ascii="Times New Roman" w:hAnsi="Times New Roman" w:cs="Times New Roman"/>
                      <w:color w:val="auto"/>
                      <w:szCs w:val="21"/>
                      <w:highlight w:val="none"/>
                      <w:lang w:eastAsia="zh-CN"/>
                    </w:rPr>
                    <w:t>漆库房、喷漆房作</w:t>
                  </w:r>
                  <w:r>
                    <w:rPr>
                      <w:rFonts w:hint="default" w:ascii="Times New Roman" w:hAnsi="Times New Roman" w:cs="Times New Roman"/>
                      <w:color w:val="auto"/>
                      <w:szCs w:val="21"/>
                      <w:highlight w:val="none"/>
                      <w:lang w:eastAsia="zh-CN"/>
                    </w:rPr>
                    <w:t>重点防渗</w:t>
                  </w:r>
                  <w:r>
                    <w:rPr>
                      <w:rFonts w:hint="default" w:ascii="Times New Roman" w:hAnsi="Times New Roman" w:cs="Times New Roman"/>
                      <w:color w:val="auto"/>
                      <w:szCs w:val="21"/>
                      <w:highlight w:val="none"/>
                      <w:lang w:val="en-US" w:eastAsia="zh-CN"/>
                    </w:rPr>
                    <w:t>；</w:t>
                  </w:r>
                  <w:r>
                    <w:rPr>
                      <w:rFonts w:hint="eastAsia" w:ascii="Times New Roman" w:hAnsi="Times New Roman" w:cs="Times New Roman"/>
                      <w:color w:val="auto"/>
                      <w:szCs w:val="21"/>
                      <w:highlight w:val="none"/>
                      <w:lang w:val="en-US" w:eastAsia="zh-CN"/>
                    </w:rPr>
                    <w:t>循环水池、生产区进行一般防渗；其他生活办公区域进行简单防渗。</w:t>
                  </w:r>
                  <w:r>
                    <w:rPr>
                      <w:rFonts w:hint="default" w:ascii="Times New Roman" w:hAnsi="Times New Roman" w:cs="Times New Roman"/>
                      <w:color w:val="auto"/>
                      <w:szCs w:val="21"/>
                      <w:highlight w:val="none"/>
                      <w:lang w:val="en-US" w:eastAsia="zh-CN"/>
                    </w:rPr>
                    <w:t>配备灭火器等消防设施</w:t>
                  </w:r>
                  <w:r>
                    <w:rPr>
                      <w:rFonts w:hint="eastAsia" w:ascii="Times New Roman" w:hAnsi="Times New Roman" w:cs="Times New Roman"/>
                      <w:color w:val="auto"/>
                      <w:szCs w:val="21"/>
                      <w:highlight w:val="none"/>
                      <w:lang w:val="en-US" w:eastAsia="zh-CN"/>
                    </w:rPr>
                    <w:t>。</w:t>
                  </w:r>
                </w:p>
              </w:tc>
              <w:tc>
                <w:tcPr>
                  <w:tcW w:w="898" w:type="dxa"/>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center"/>
                    <w:textAlignment w:val="auto"/>
                    <w:outlineLvl w:val="9"/>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5</w:t>
                  </w:r>
                </w:p>
              </w:tc>
              <w:tc>
                <w:tcPr>
                  <w:tcW w:w="713" w:type="dxa"/>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center"/>
                    <w:textAlignment w:val="auto"/>
                    <w:outlineLvl w:val="9"/>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6379"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center"/>
                    <w:textAlignment w:val="auto"/>
                    <w:outlineLvl w:val="9"/>
                    <w:rPr>
                      <w:rFonts w:hint="default" w:ascii="Times New Roman" w:hAnsi="Times New Roman" w:cs="Times New Roman"/>
                      <w:color w:val="auto"/>
                      <w:highlight w:val="none"/>
                    </w:rPr>
                  </w:pPr>
                  <w:r>
                    <w:rPr>
                      <w:rFonts w:hint="default" w:ascii="Times New Roman" w:hAnsi="Times New Roman" w:cs="Times New Roman"/>
                      <w:color w:val="auto"/>
                      <w:highlight w:val="none"/>
                    </w:rPr>
                    <w:t>合计</w:t>
                  </w:r>
                </w:p>
              </w:tc>
              <w:tc>
                <w:tcPr>
                  <w:tcW w:w="898" w:type="dxa"/>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center"/>
                    <w:textAlignment w:val="auto"/>
                    <w:outlineLvl w:val="9"/>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67.5</w:t>
                  </w:r>
                </w:p>
              </w:tc>
              <w:tc>
                <w:tcPr>
                  <w:tcW w:w="713" w:type="dxa"/>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center"/>
                    <w:textAlignment w:val="auto"/>
                    <w:outlineLvl w:val="9"/>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r>
          </w:tbl>
          <w:p>
            <w:pPr>
              <w:autoSpaceDE w:val="0"/>
              <w:autoSpaceDN w:val="0"/>
              <w:adjustRightInd w:val="0"/>
              <w:spacing w:line="360" w:lineRule="auto"/>
              <w:ind w:firstLine="442" w:firstLineChars="200"/>
              <w:rPr>
                <w:rFonts w:hint="default" w:ascii="Times New Roman" w:hAnsi="Times New Roman" w:cs="Times New Roman"/>
                <w:b/>
                <w:bCs/>
                <w:color w:val="auto"/>
                <w:sz w:val="22"/>
                <w:szCs w:val="22"/>
                <w:highlight w:val="none"/>
                <w:lang w:val="en-US" w:eastAsia="zh-CN"/>
              </w:rPr>
            </w:pPr>
            <w:r>
              <w:rPr>
                <w:rFonts w:hint="eastAsia" w:ascii="Times New Roman" w:hAnsi="Times New Roman" w:cs="Times New Roman"/>
                <w:b/>
                <w:bCs/>
                <w:color w:val="auto"/>
                <w:sz w:val="22"/>
                <w:szCs w:val="22"/>
                <w:highlight w:val="none"/>
                <w:lang w:val="en-US" w:eastAsia="zh-CN"/>
              </w:rPr>
              <w:t>9</w:t>
            </w:r>
            <w:r>
              <w:rPr>
                <w:rFonts w:hint="default" w:ascii="Times New Roman" w:hAnsi="Times New Roman" w:cs="Times New Roman"/>
                <w:b/>
                <w:bCs/>
                <w:color w:val="auto"/>
                <w:sz w:val="22"/>
                <w:szCs w:val="22"/>
                <w:highlight w:val="none"/>
                <w:lang w:val="en-US" w:eastAsia="zh-CN"/>
              </w:rPr>
              <w:t>、</w:t>
            </w:r>
            <w:r>
              <w:rPr>
                <w:rFonts w:hint="eastAsia" w:ascii="Times New Roman" w:hAnsi="Times New Roman" w:cs="Times New Roman"/>
                <w:b/>
                <w:bCs/>
                <w:color w:val="auto"/>
                <w:sz w:val="22"/>
                <w:szCs w:val="22"/>
                <w:highlight w:val="none"/>
                <w:lang w:val="en-US" w:eastAsia="zh-CN"/>
              </w:rPr>
              <w:t>环境管理和</w:t>
            </w:r>
            <w:r>
              <w:rPr>
                <w:rFonts w:hint="default" w:ascii="Times New Roman" w:hAnsi="Times New Roman" w:cs="Times New Roman"/>
                <w:b/>
                <w:bCs/>
                <w:color w:val="auto"/>
                <w:sz w:val="22"/>
                <w:szCs w:val="22"/>
                <w:highlight w:val="none"/>
                <w:lang w:val="en-US" w:eastAsia="zh-CN"/>
              </w:rPr>
              <w:t>自行监测计划</w:t>
            </w:r>
          </w:p>
          <w:p>
            <w:pPr>
              <w:autoSpaceDE w:val="0"/>
              <w:autoSpaceDN w:val="0"/>
              <w:adjustRightInd w:val="0"/>
              <w:spacing w:line="360" w:lineRule="auto"/>
              <w:ind w:firstLine="442" w:firstLineChars="200"/>
              <w:rPr>
                <w:rFonts w:hint="default" w:ascii="Times New Roman" w:hAnsi="Times New Roman" w:cs="Times New Roman"/>
                <w:b/>
                <w:bCs/>
                <w:color w:val="auto"/>
                <w:sz w:val="22"/>
                <w:szCs w:val="22"/>
                <w:highlight w:val="none"/>
                <w:lang w:val="en-US" w:eastAsia="zh-CN"/>
              </w:rPr>
            </w:pPr>
            <w:r>
              <w:rPr>
                <w:rFonts w:hint="eastAsia" w:ascii="Times New Roman" w:hAnsi="Times New Roman" w:cs="Times New Roman"/>
                <w:b/>
                <w:bCs/>
                <w:color w:val="auto"/>
                <w:sz w:val="22"/>
                <w:szCs w:val="22"/>
                <w:highlight w:val="none"/>
                <w:lang w:val="en-US" w:eastAsia="zh-CN"/>
              </w:rPr>
              <w:t>9.1环境管理</w:t>
            </w:r>
          </w:p>
          <w:p>
            <w:pPr>
              <w:autoSpaceDE w:val="0"/>
              <w:autoSpaceDN w:val="0"/>
              <w:adjustRightInd w:val="0"/>
              <w:spacing w:line="360" w:lineRule="auto"/>
              <w:ind w:firstLine="440" w:firstLineChars="200"/>
              <w:rPr>
                <w:rFonts w:hint="eastAsia" w:ascii="Times New Roman" w:hAnsi="Times New Roman" w:cs="Times New Roman"/>
                <w:color w:val="auto"/>
                <w:sz w:val="22"/>
                <w:szCs w:val="22"/>
                <w:highlight w:val="none"/>
                <w:lang w:val="en-US" w:eastAsia="zh-CN"/>
              </w:rPr>
            </w:pPr>
            <w:r>
              <w:rPr>
                <w:rFonts w:hint="eastAsia" w:ascii="Times New Roman" w:hAnsi="Times New Roman" w:cs="Times New Roman"/>
                <w:color w:val="auto"/>
                <w:sz w:val="22"/>
                <w:szCs w:val="22"/>
                <w:highlight w:val="none"/>
                <w:lang w:val="en-US" w:eastAsia="zh-CN"/>
              </w:rPr>
              <w:t>（1）建立和完善环保管理机构</w:t>
            </w:r>
          </w:p>
          <w:p>
            <w:pPr>
              <w:autoSpaceDE w:val="0"/>
              <w:autoSpaceDN w:val="0"/>
              <w:adjustRightInd w:val="0"/>
              <w:spacing w:line="360" w:lineRule="auto"/>
              <w:ind w:firstLine="440" w:firstLineChars="200"/>
              <w:rPr>
                <w:rFonts w:hint="default" w:ascii="Times New Roman" w:hAnsi="Times New Roman" w:cs="Times New Roman"/>
                <w:color w:val="auto"/>
                <w:sz w:val="22"/>
                <w:szCs w:val="22"/>
                <w:highlight w:val="none"/>
                <w:lang w:val="en-US" w:eastAsia="zh-CN"/>
              </w:rPr>
            </w:pPr>
            <w:r>
              <w:rPr>
                <w:rFonts w:hint="eastAsia" w:ascii="Times New Roman" w:hAnsi="Times New Roman" w:cs="Times New Roman"/>
                <w:color w:val="auto"/>
                <w:sz w:val="22"/>
                <w:szCs w:val="22"/>
                <w:highlight w:val="none"/>
                <w:lang w:val="en-US" w:eastAsia="zh-CN"/>
              </w:rPr>
              <w:t>项目在落实环保审批和措施后，应设置专门环保管理机构，并实行总经理负责制，配备环保员一名，负责企业环保管理工作，制订环保管理制度，监督、检查环保设施的运行和维护及保养情况与环保制度的执行情况，不断提高全厂的环保管理水平。</w:t>
            </w:r>
          </w:p>
          <w:p>
            <w:pPr>
              <w:autoSpaceDE w:val="0"/>
              <w:autoSpaceDN w:val="0"/>
              <w:adjustRightInd w:val="0"/>
              <w:spacing w:line="360" w:lineRule="auto"/>
              <w:ind w:firstLine="440" w:firstLineChars="200"/>
              <w:rPr>
                <w:rFonts w:hint="default" w:ascii="Times New Roman" w:hAnsi="Times New Roman" w:cs="Times New Roman"/>
                <w:color w:val="auto"/>
                <w:sz w:val="22"/>
                <w:szCs w:val="22"/>
                <w:highlight w:val="none"/>
                <w:lang w:val="en-US" w:eastAsia="zh-CN"/>
              </w:rPr>
            </w:pPr>
            <w:r>
              <w:rPr>
                <w:rFonts w:hint="eastAsia" w:ascii="Times New Roman" w:hAnsi="Times New Roman" w:cs="Times New Roman"/>
                <w:color w:val="auto"/>
                <w:sz w:val="22"/>
                <w:szCs w:val="22"/>
                <w:highlight w:val="none"/>
                <w:lang w:val="en-US" w:eastAsia="zh-CN"/>
              </w:rPr>
              <w:t>（2）</w:t>
            </w:r>
            <w:r>
              <w:rPr>
                <w:rFonts w:hint="default" w:ascii="Times New Roman" w:hAnsi="Times New Roman" w:cs="Times New Roman"/>
                <w:color w:val="auto"/>
                <w:sz w:val="22"/>
                <w:szCs w:val="22"/>
                <w:highlight w:val="none"/>
                <w:lang w:val="en-US" w:eastAsia="zh-CN"/>
              </w:rPr>
              <w:t>建立和完善各项规章制度</w:t>
            </w:r>
          </w:p>
          <w:p>
            <w:pPr>
              <w:autoSpaceDE w:val="0"/>
              <w:autoSpaceDN w:val="0"/>
              <w:adjustRightInd w:val="0"/>
              <w:spacing w:line="360" w:lineRule="auto"/>
              <w:ind w:firstLine="440" w:firstLineChars="200"/>
              <w:rPr>
                <w:rFonts w:hint="default" w:ascii="Times New Roman" w:hAnsi="Times New Roman" w:cs="Times New Roman"/>
                <w:color w:val="auto"/>
                <w:sz w:val="22"/>
                <w:szCs w:val="22"/>
                <w:highlight w:val="none"/>
                <w:lang w:val="en-US" w:eastAsia="zh-CN"/>
              </w:rPr>
            </w:pPr>
            <w:r>
              <w:rPr>
                <w:rFonts w:hint="default" w:ascii="Times New Roman" w:hAnsi="Times New Roman" w:cs="Times New Roman"/>
                <w:color w:val="auto"/>
                <w:sz w:val="22"/>
                <w:szCs w:val="22"/>
                <w:highlight w:val="none"/>
                <w:lang w:val="en-US" w:eastAsia="zh-CN"/>
              </w:rPr>
              <w:t>建立和完善企业环保管理制度和岗位责任制，保障环保设施的正常运转，同时要按照环保部门的要求，按时上报环保运行情况及排污申报表，做好废气处理设施运行维护和管理与监测及记录台帐，做好一般固废和危险废物收集、暂存和处置及记录台帐，以接受生态环境部门的监督。</w:t>
            </w:r>
          </w:p>
          <w:p>
            <w:pPr>
              <w:autoSpaceDE w:val="0"/>
              <w:autoSpaceDN w:val="0"/>
              <w:adjustRightInd w:val="0"/>
              <w:spacing w:line="360" w:lineRule="auto"/>
              <w:ind w:firstLine="442" w:firstLineChars="200"/>
              <w:rPr>
                <w:rFonts w:hint="default" w:ascii="Times New Roman" w:hAnsi="Times New Roman" w:cs="Times New Roman"/>
                <w:b/>
                <w:bCs/>
                <w:color w:val="auto"/>
                <w:sz w:val="22"/>
                <w:szCs w:val="22"/>
                <w:highlight w:val="none"/>
                <w:lang w:val="en-US" w:eastAsia="zh-CN"/>
              </w:rPr>
            </w:pPr>
            <w:r>
              <w:rPr>
                <w:rFonts w:hint="eastAsia" w:ascii="Times New Roman" w:hAnsi="Times New Roman" w:cs="Times New Roman"/>
                <w:b/>
                <w:bCs/>
                <w:color w:val="auto"/>
                <w:sz w:val="22"/>
                <w:szCs w:val="22"/>
                <w:highlight w:val="none"/>
                <w:lang w:val="en-US" w:eastAsia="zh-CN"/>
              </w:rPr>
              <w:t>9.2监测计划</w:t>
            </w:r>
          </w:p>
          <w:p>
            <w:pPr>
              <w:autoSpaceDE w:val="0"/>
              <w:autoSpaceDN w:val="0"/>
              <w:adjustRightInd w:val="0"/>
              <w:spacing w:line="360" w:lineRule="auto"/>
              <w:ind w:firstLine="440" w:firstLineChars="200"/>
              <w:rPr>
                <w:rFonts w:hint="default" w:ascii="Times New Roman" w:hAnsi="Times New Roman" w:cs="Times New Roman"/>
                <w:color w:val="auto"/>
                <w:sz w:val="22"/>
                <w:szCs w:val="22"/>
                <w:highlight w:val="none"/>
                <w:lang w:val="en-US" w:eastAsia="zh-CN"/>
              </w:rPr>
            </w:pPr>
            <w:r>
              <w:rPr>
                <w:rFonts w:hint="default" w:ascii="Times New Roman" w:hAnsi="Times New Roman" w:cs="Times New Roman"/>
                <w:color w:val="auto"/>
                <w:sz w:val="22"/>
                <w:szCs w:val="22"/>
                <w:highlight w:val="none"/>
                <w:lang w:val="en-US" w:eastAsia="zh-CN"/>
              </w:rPr>
              <w:t>环境监测是一项政府行为，也是环境管理的技术支持。环境监测是企业搞好环境管理，促进污染治理设施正常运行的主要保障。通过定期的环境监测，了解邻近地区的环境质量状况，可以及时发现问题、解决问题，从而有利于监督各项环保措施的落实，并根据监测结果适时调整环境保护计划。本项目运营期环境监测计划如下：</w:t>
            </w:r>
          </w:p>
          <w:p>
            <w:pPr>
              <w:pStyle w:val="14"/>
              <w:tabs>
                <w:tab w:val="left" w:pos="1425"/>
              </w:tabs>
              <w:spacing w:before="0" w:after="0" w:line="240" w:lineRule="auto"/>
              <w:ind w:right="0"/>
              <w:jc w:val="center"/>
              <w:outlineLvl w:val="0"/>
              <w:rPr>
                <w:rFonts w:hint="default" w:ascii="Times New Roman" w:hAnsi="Times New Roman" w:cs="Times New Roman"/>
                <w:b/>
                <w:color w:val="auto"/>
                <w:kern w:val="2"/>
                <w:sz w:val="21"/>
                <w:szCs w:val="21"/>
                <w:highlight w:val="none"/>
                <w:lang w:val="zh-CN"/>
              </w:rPr>
            </w:pPr>
            <w:r>
              <w:rPr>
                <w:rFonts w:hint="default" w:ascii="Times New Roman" w:hAnsi="Times New Roman" w:cs="Times New Roman"/>
                <w:b/>
                <w:color w:val="auto"/>
                <w:kern w:val="2"/>
                <w:sz w:val="21"/>
                <w:szCs w:val="21"/>
                <w:highlight w:val="none"/>
              </w:rPr>
              <w:t>表4-</w:t>
            </w:r>
            <w:r>
              <w:rPr>
                <w:rFonts w:hint="default" w:ascii="Times New Roman" w:hAnsi="Times New Roman" w:cs="Times New Roman"/>
                <w:b/>
                <w:color w:val="auto"/>
                <w:kern w:val="2"/>
                <w:sz w:val="21"/>
                <w:szCs w:val="21"/>
                <w:highlight w:val="none"/>
                <w:lang w:val="en-US" w:eastAsia="zh-CN"/>
              </w:rPr>
              <w:t>2</w:t>
            </w:r>
            <w:r>
              <w:rPr>
                <w:rFonts w:hint="eastAsia" w:ascii="Times New Roman" w:hAnsi="Times New Roman" w:cs="Times New Roman"/>
                <w:b/>
                <w:color w:val="auto"/>
                <w:kern w:val="2"/>
                <w:sz w:val="21"/>
                <w:szCs w:val="21"/>
                <w:highlight w:val="none"/>
                <w:lang w:val="en-US" w:eastAsia="zh-CN"/>
              </w:rPr>
              <w:t>2</w:t>
            </w:r>
            <w:r>
              <w:rPr>
                <w:rFonts w:hint="default" w:ascii="Times New Roman" w:hAnsi="Times New Roman" w:cs="Times New Roman"/>
                <w:b/>
                <w:color w:val="auto"/>
                <w:kern w:val="2"/>
                <w:sz w:val="21"/>
                <w:szCs w:val="21"/>
                <w:highlight w:val="none"/>
              </w:rPr>
              <w:t xml:space="preserve"> </w:t>
            </w:r>
            <w:r>
              <w:rPr>
                <w:rFonts w:hint="default" w:ascii="Times New Roman" w:hAnsi="Times New Roman" w:cs="Times New Roman"/>
                <w:b/>
                <w:color w:val="auto"/>
                <w:kern w:val="2"/>
                <w:sz w:val="21"/>
                <w:szCs w:val="21"/>
                <w:highlight w:val="none"/>
                <w:lang w:val="zh-CN"/>
              </w:rPr>
              <w:t>环境监测计划</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1"/>
              <w:gridCol w:w="1674"/>
              <w:gridCol w:w="2695"/>
              <w:gridCol w:w="24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171" w:type="dxa"/>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监测项目</w:t>
                  </w:r>
                </w:p>
              </w:tc>
              <w:tc>
                <w:tcPr>
                  <w:tcW w:w="1674" w:type="dxa"/>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监测点位</w:t>
                  </w:r>
                </w:p>
              </w:tc>
              <w:tc>
                <w:tcPr>
                  <w:tcW w:w="2695" w:type="dxa"/>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监测因子</w:t>
                  </w:r>
                </w:p>
              </w:tc>
              <w:tc>
                <w:tcPr>
                  <w:tcW w:w="2400" w:type="dxa"/>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监测频率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171" w:type="dxa"/>
                  <w:vMerge w:val="restart"/>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废气监测</w:t>
                  </w:r>
                </w:p>
              </w:tc>
              <w:tc>
                <w:tcPr>
                  <w:tcW w:w="1674" w:type="dxa"/>
                  <w:vMerge w:val="restart"/>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DA001</w:t>
                  </w:r>
                </w:p>
              </w:tc>
              <w:tc>
                <w:tcPr>
                  <w:tcW w:w="2695" w:type="dxa"/>
                  <w:noWrap w:val="0"/>
                  <w:vAlign w:val="center"/>
                </w:tcPr>
                <w:p>
                  <w:pPr>
                    <w:adjustRightInd w:val="0"/>
                    <w:snapToGrid w:val="0"/>
                    <w:jc w:val="center"/>
                    <w:rPr>
                      <w:rFonts w:hint="eastAsia"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lang w:val="en-US" w:eastAsia="zh-CN"/>
                    </w:rPr>
                    <w:t>VOCs</w:t>
                  </w:r>
                  <w:r>
                    <w:rPr>
                      <w:rFonts w:hint="eastAsia" w:ascii="Times New Roman" w:hAnsi="Times New Roman" w:cs="Times New Roman"/>
                      <w:color w:val="auto"/>
                      <w:szCs w:val="21"/>
                      <w:highlight w:val="none"/>
                      <w:lang w:val="en-US" w:eastAsia="zh-CN"/>
                    </w:rPr>
                    <w:t>（以非甲烷总烃计）</w:t>
                  </w:r>
                </w:p>
              </w:tc>
              <w:tc>
                <w:tcPr>
                  <w:tcW w:w="2400" w:type="dxa"/>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1次/年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171" w:type="dxa"/>
                  <w:vMerge w:val="continue"/>
                  <w:noWrap w:val="0"/>
                  <w:vAlign w:val="center"/>
                </w:tcPr>
                <w:p>
                  <w:pPr>
                    <w:adjustRightInd w:val="0"/>
                    <w:snapToGrid w:val="0"/>
                    <w:jc w:val="center"/>
                    <w:rPr>
                      <w:rFonts w:hint="default" w:ascii="Times New Roman" w:hAnsi="Times New Roman" w:cs="Times New Roman"/>
                      <w:color w:val="auto"/>
                      <w:szCs w:val="21"/>
                      <w:highlight w:val="none"/>
                    </w:rPr>
                  </w:pPr>
                </w:p>
              </w:tc>
              <w:tc>
                <w:tcPr>
                  <w:tcW w:w="1674" w:type="dxa"/>
                  <w:vMerge w:val="continue"/>
                  <w:noWrap w:val="0"/>
                  <w:vAlign w:val="center"/>
                </w:tcPr>
                <w:p>
                  <w:pPr>
                    <w:adjustRightInd w:val="0"/>
                    <w:snapToGrid w:val="0"/>
                    <w:jc w:val="center"/>
                    <w:rPr>
                      <w:rFonts w:hint="default" w:ascii="Times New Roman" w:hAnsi="Times New Roman" w:cs="Times New Roman"/>
                      <w:color w:val="auto"/>
                      <w:szCs w:val="21"/>
                      <w:highlight w:val="none"/>
                    </w:rPr>
                  </w:pPr>
                </w:p>
              </w:tc>
              <w:tc>
                <w:tcPr>
                  <w:tcW w:w="2695" w:type="dxa"/>
                  <w:noWrap w:val="0"/>
                  <w:vAlign w:val="center"/>
                </w:tcPr>
                <w:p>
                  <w:pPr>
                    <w:adjustRightInd w:val="0"/>
                    <w:snapToGrid w:val="0"/>
                    <w:jc w:val="center"/>
                    <w:rPr>
                      <w:rFonts w:hint="eastAsia"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颗粒物</w:t>
                  </w:r>
                </w:p>
              </w:tc>
              <w:tc>
                <w:tcPr>
                  <w:tcW w:w="2400" w:type="dxa"/>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1次/年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1171" w:type="dxa"/>
                  <w:vMerge w:val="continue"/>
                  <w:noWrap w:val="0"/>
                  <w:vAlign w:val="center"/>
                </w:tcPr>
                <w:p>
                  <w:pPr>
                    <w:adjustRightInd w:val="0"/>
                    <w:snapToGrid w:val="0"/>
                    <w:jc w:val="center"/>
                    <w:rPr>
                      <w:rFonts w:hint="default" w:ascii="Times New Roman" w:hAnsi="Times New Roman" w:cs="Times New Roman"/>
                      <w:color w:val="auto"/>
                      <w:szCs w:val="21"/>
                      <w:highlight w:val="none"/>
                    </w:rPr>
                  </w:pPr>
                </w:p>
              </w:tc>
              <w:tc>
                <w:tcPr>
                  <w:tcW w:w="1674" w:type="dxa"/>
                  <w:vMerge w:val="restart"/>
                  <w:noWrap w:val="0"/>
                  <w:vAlign w:val="center"/>
                </w:tcPr>
                <w:p>
                  <w:pPr>
                    <w:adjustRightInd w:val="0"/>
                    <w:snapToGrid w:val="0"/>
                    <w:jc w:val="center"/>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lang w:eastAsia="zh-CN"/>
                    </w:rPr>
                    <w:t>厂界无组织</w:t>
                  </w:r>
                </w:p>
              </w:tc>
              <w:tc>
                <w:tcPr>
                  <w:tcW w:w="2695" w:type="dxa"/>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VOCs</w:t>
                  </w:r>
                  <w:r>
                    <w:rPr>
                      <w:rFonts w:hint="eastAsia" w:ascii="Times New Roman" w:hAnsi="Times New Roman" w:cs="Times New Roman"/>
                      <w:color w:val="auto"/>
                      <w:szCs w:val="21"/>
                      <w:highlight w:val="none"/>
                      <w:lang w:val="en-US" w:eastAsia="zh-CN"/>
                    </w:rPr>
                    <w:t>（以非甲烷总烃计）</w:t>
                  </w:r>
                </w:p>
              </w:tc>
              <w:tc>
                <w:tcPr>
                  <w:tcW w:w="2400" w:type="dxa"/>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1次/</w:t>
                  </w:r>
                  <w:r>
                    <w:rPr>
                      <w:rFonts w:hint="default" w:ascii="Times New Roman" w:hAnsi="Times New Roman" w:cs="Times New Roman"/>
                      <w:color w:val="auto"/>
                      <w:szCs w:val="21"/>
                      <w:highlight w:val="none"/>
                      <w:lang w:val="en-US" w:eastAsia="zh-CN"/>
                    </w:rPr>
                    <w:t>半</w:t>
                  </w:r>
                  <w:r>
                    <w:rPr>
                      <w:rFonts w:hint="default" w:ascii="Times New Roman" w:hAnsi="Times New Roman" w:cs="Times New Roman"/>
                      <w:color w:val="auto"/>
                      <w:szCs w:val="21"/>
                      <w:highlight w:val="none"/>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1171" w:type="dxa"/>
                  <w:vMerge w:val="continue"/>
                  <w:noWrap w:val="0"/>
                  <w:vAlign w:val="center"/>
                </w:tcPr>
                <w:p>
                  <w:pPr>
                    <w:adjustRightInd w:val="0"/>
                    <w:snapToGrid w:val="0"/>
                    <w:jc w:val="center"/>
                    <w:rPr>
                      <w:rFonts w:hint="default" w:ascii="Times New Roman" w:hAnsi="Times New Roman" w:cs="Times New Roman"/>
                      <w:color w:val="auto"/>
                      <w:szCs w:val="21"/>
                      <w:highlight w:val="none"/>
                    </w:rPr>
                  </w:pPr>
                </w:p>
              </w:tc>
              <w:tc>
                <w:tcPr>
                  <w:tcW w:w="1674" w:type="dxa"/>
                  <w:vMerge w:val="continue"/>
                  <w:noWrap w:val="0"/>
                  <w:vAlign w:val="center"/>
                </w:tcPr>
                <w:p>
                  <w:pPr>
                    <w:adjustRightInd w:val="0"/>
                    <w:snapToGrid w:val="0"/>
                    <w:jc w:val="center"/>
                    <w:rPr>
                      <w:rFonts w:hint="default" w:ascii="Times New Roman" w:hAnsi="Times New Roman" w:cs="Times New Roman"/>
                      <w:color w:val="auto"/>
                      <w:szCs w:val="21"/>
                      <w:highlight w:val="none"/>
                    </w:rPr>
                  </w:pPr>
                </w:p>
              </w:tc>
              <w:tc>
                <w:tcPr>
                  <w:tcW w:w="2695" w:type="dxa"/>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颗粒物</w:t>
                  </w:r>
                </w:p>
              </w:tc>
              <w:tc>
                <w:tcPr>
                  <w:tcW w:w="2400" w:type="dxa"/>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1次/</w:t>
                  </w:r>
                  <w:r>
                    <w:rPr>
                      <w:rFonts w:hint="default" w:ascii="Times New Roman" w:hAnsi="Times New Roman" w:cs="Times New Roman"/>
                      <w:color w:val="auto"/>
                      <w:szCs w:val="21"/>
                      <w:highlight w:val="none"/>
                      <w:lang w:val="en-US" w:eastAsia="zh-CN"/>
                    </w:rPr>
                    <w:t>半</w:t>
                  </w:r>
                  <w:r>
                    <w:rPr>
                      <w:rFonts w:hint="default" w:ascii="Times New Roman" w:hAnsi="Times New Roman" w:cs="Times New Roman"/>
                      <w:color w:val="auto"/>
                      <w:szCs w:val="21"/>
                      <w:highlight w:val="none"/>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1171" w:type="dxa"/>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噪声</w:t>
                  </w:r>
                </w:p>
              </w:tc>
              <w:tc>
                <w:tcPr>
                  <w:tcW w:w="1674" w:type="dxa"/>
                  <w:noWrap w:val="0"/>
                  <w:vAlign w:val="center"/>
                </w:tcPr>
                <w:p>
                  <w:pPr>
                    <w:numPr>
                      <w:ilvl w:val="0"/>
                      <w:numId w:val="0"/>
                    </w:numPr>
                    <w:spacing w:line="240" w:lineRule="auto"/>
                    <w:ind w:left="0" w:leftChars="0" w:firstLine="0" w:firstLineChars="0"/>
                    <w:jc w:val="center"/>
                    <w:rPr>
                      <w:rFonts w:hint="default" w:ascii="Times New Roman" w:hAnsi="Times New Roman" w:cs="Times New Roman"/>
                      <w:color w:val="auto"/>
                      <w:szCs w:val="21"/>
                      <w:highlight w:val="none"/>
                      <w:lang w:val="en-US"/>
                    </w:rPr>
                  </w:pPr>
                  <w:r>
                    <w:rPr>
                      <w:rFonts w:hint="eastAsia" w:cs="Times New Roman"/>
                      <w:kern w:val="2"/>
                      <w:sz w:val="21"/>
                      <w:szCs w:val="21"/>
                      <w:highlight w:val="none"/>
                      <w:vertAlign w:val="baseline"/>
                      <w:lang w:val="en-US" w:eastAsia="zh-CN" w:bidi="ar-SA"/>
                    </w:rPr>
                    <w:t>项目厂界四周</w:t>
                  </w:r>
                </w:p>
              </w:tc>
              <w:tc>
                <w:tcPr>
                  <w:tcW w:w="269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等效连续A声级</w:t>
                  </w:r>
                </w:p>
              </w:tc>
              <w:tc>
                <w:tcPr>
                  <w:tcW w:w="240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color w:val="auto"/>
                      <w:szCs w:val="21"/>
                      <w:highlight w:val="none"/>
                    </w:rPr>
                  </w:pPr>
                  <w:r>
                    <w:rPr>
                      <w:rFonts w:hint="default" w:ascii="Times New Roman" w:hAnsi="Times New Roman" w:cs="Times New Roman"/>
                      <w:b w:val="0"/>
                      <w:bCs w:val="0"/>
                      <w:color w:val="auto"/>
                      <w:sz w:val="21"/>
                      <w:szCs w:val="24"/>
                      <w:highlight w:val="none"/>
                      <w:vertAlign w:val="baseline"/>
                      <w:lang w:val="en-US" w:eastAsia="zh-CN"/>
                    </w:rPr>
                    <w:t>1次/季度</w:t>
                  </w:r>
                </w:p>
              </w:tc>
            </w:tr>
          </w:tbl>
          <w:p>
            <w:pPr>
              <w:autoSpaceDE w:val="0"/>
              <w:autoSpaceDN w:val="0"/>
              <w:adjustRightInd w:val="0"/>
              <w:spacing w:line="360" w:lineRule="auto"/>
              <w:ind w:firstLine="442" w:firstLineChars="200"/>
              <w:rPr>
                <w:rFonts w:hint="default" w:ascii="Times New Roman" w:hAnsi="Times New Roman" w:eastAsia="宋体" w:cs="Times New Roman"/>
                <w:b/>
                <w:bCs/>
                <w:color w:val="auto"/>
                <w:sz w:val="22"/>
                <w:szCs w:val="22"/>
                <w:highlight w:val="none"/>
                <w:lang w:val="en-US" w:eastAsia="zh-CN"/>
              </w:rPr>
            </w:pPr>
            <w:r>
              <w:rPr>
                <w:rFonts w:hint="eastAsia" w:ascii="Times New Roman" w:hAnsi="Times New Roman" w:eastAsia="宋体" w:cs="Times New Roman"/>
                <w:b/>
                <w:bCs/>
                <w:color w:val="auto"/>
                <w:sz w:val="22"/>
                <w:szCs w:val="22"/>
                <w:highlight w:val="none"/>
                <w:lang w:val="en-US" w:eastAsia="zh-CN"/>
              </w:rPr>
              <w:t>9</w:t>
            </w:r>
            <w:r>
              <w:rPr>
                <w:rFonts w:hint="default" w:ascii="Times New Roman" w:hAnsi="Times New Roman" w:eastAsia="宋体" w:cs="Times New Roman"/>
                <w:b/>
                <w:bCs/>
                <w:color w:val="auto"/>
                <w:sz w:val="22"/>
                <w:szCs w:val="22"/>
                <w:highlight w:val="none"/>
                <w:lang w:val="en-US" w:eastAsia="zh-CN"/>
              </w:rPr>
              <w:t>.</w:t>
            </w:r>
            <w:r>
              <w:rPr>
                <w:rFonts w:hint="eastAsia" w:ascii="Times New Roman" w:hAnsi="Times New Roman" w:eastAsia="宋体" w:cs="Times New Roman"/>
                <w:b/>
                <w:bCs/>
                <w:color w:val="auto"/>
                <w:sz w:val="22"/>
                <w:szCs w:val="22"/>
                <w:highlight w:val="none"/>
                <w:lang w:val="en-US" w:eastAsia="zh-CN"/>
              </w:rPr>
              <w:t>3排污口设置规范</w:t>
            </w:r>
          </w:p>
          <w:p>
            <w:pPr>
              <w:autoSpaceDE w:val="0"/>
              <w:autoSpaceDN w:val="0"/>
              <w:adjustRightInd w:val="0"/>
              <w:spacing w:line="360" w:lineRule="auto"/>
              <w:ind w:firstLine="440" w:firstLineChars="200"/>
              <w:rPr>
                <w:rFonts w:hint="eastAsia" w:ascii="Times New Roman" w:hAnsi="Times New Roman" w:cs="Times New Roman"/>
                <w:b/>
                <w:bCs/>
                <w:color w:val="auto"/>
                <w:sz w:val="22"/>
                <w:szCs w:val="22"/>
                <w:highlight w:val="none"/>
                <w:lang w:val="en-US" w:eastAsia="zh-CN"/>
              </w:rPr>
            </w:pPr>
            <w:r>
              <w:rPr>
                <w:rFonts w:hint="default" w:ascii="Times New Roman" w:hAnsi="Times New Roman" w:cs="Times New Roman"/>
                <w:color w:val="auto"/>
                <w:sz w:val="22"/>
                <w:szCs w:val="22"/>
                <w:highlight w:val="none"/>
              </w:rPr>
              <w:t>根据《环境保护图形标志》（GB15562.1-1995）</w:t>
            </w:r>
            <w:r>
              <w:rPr>
                <w:rFonts w:hint="eastAsia" w:cs="Times New Roman"/>
                <w:color w:val="auto"/>
                <w:sz w:val="22"/>
                <w:szCs w:val="22"/>
                <w:highlight w:val="none"/>
                <w:lang w:eastAsia="zh-CN"/>
              </w:rPr>
              <w:t>等</w:t>
            </w:r>
            <w:r>
              <w:rPr>
                <w:rFonts w:hint="default" w:ascii="Times New Roman" w:hAnsi="Times New Roman" w:cs="Times New Roman"/>
                <w:color w:val="auto"/>
                <w:sz w:val="22"/>
                <w:szCs w:val="22"/>
                <w:highlight w:val="none"/>
              </w:rPr>
              <w:t>的规定，企业所有排放口，必须按照</w:t>
            </w:r>
            <w:r>
              <w:rPr>
                <w:rFonts w:hint="eastAsia" w:cs="Times New Roman"/>
                <w:color w:val="auto"/>
                <w:sz w:val="22"/>
                <w:szCs w:val="22"/>
                <w:highlight w:val="none"/>
                <w:lang w:eastAsia="zh-CN"/>
              </w:rPr>
              <w:t>“</w:t>
            </w:r>
            <w:r>
              <w:rPr>
                <w:rFonts w:hint="default" w:ascii="Times New Roman" w:hAnsi="Times New Roman" w:cs="Times New Roman"/>
                <w:color w:val="auto"/>
                <w:sz w:val="22"/>
                <w:szCs w:val="22"/>
                <w:highlight w:val="none"/>
              </w:rPr>
              <w:t>便于计量监测、便于日常现场监督检查</w:t>
            </w:r>
            <w:r>
              <w:rPr>
                <w:rFonts w:hint="eastAsia" w:cs="Times New Roman"/>
                <w:color w:val="auto"/>
                <w:sz w:val="22"/>
                <w:szCs w:val="22"/>
                <w:highlight w:val="none"/>
                <w:lang w:eastAsia="zh-CN"/>
              </w:rPr>
              <w:t>”</w:t>
            </w:r>
            <w:r>
              <w:rPr>
                <w:rFonts w:hint="default" w:ascii="Times New Roman" w:hAnsi="Times New Roman" w:cs="Times New Roman"/>
                <w:color w:val="auto"/>
                <w:sz w:val="22"/>
                <w:szCs w:val="22"/>
                <w:highlight w:val="none"/>
              </w:rPr>
              <w:t>的原则和规范化要求，设置与之相适应的环境保护图形标志牌。</w:t>
            </w:r>
            <w:r>
              <w:rPr>
                <w:rFonts w:hint="default" w:ascii="Times New Roman" w:hAnsi="Times New Roman" w:cs="Times New Roman"/>
                <w:color w:val="auto"/>
                <w:sz w:val="22"/>
                <w:szCs w:val="22"/>
                <w:highlight w:val="none"/>
                <w:lang w:val="en-US" w:eastAsia="zh-CN"/>
              </w:rPr>
              <w:t>标志牌外观质量要求标志牌、立柱无明显变形，标志牌无气泡，膜或搪瓷无脱落。图案清晰，色泽一致，不得有明显缺损。标志牌表面不应有开裂、脱落及其他破损。</w:t>
            </w:r>
          </w:p>
          <w:p>
            <w:pPr>
              <w:pStyle w:val="14"/>
              <w:tabs>
                <w:tab w:val="left" w:pos="1425"/>
              </w:tabs>
              <w:spacing w:before="0" w:after="0" w:line="240" w:lineRule="auto"/>
              <w:ind w:right="0"/>
              <w:jc w:val="center"/>
              <w:outlineLvl w:val="0"/>
              <w:rPr>
                <w:rFonts w:hint="default" w:ascii="Times New Roman" w:hAnsi="Times New Roman" w:eastAsia="宋体" w:cs="Times New Roman"/>
                <w:b/>
                <w:color w:val="auto"/>
                <w:kern w:val="2"/>
                <w:sz w:val="21"/>
                <w:szCs w:val="21"/>
                <w:highlight w:val="none"/>
                <w:lang w:val="zh-CN"/>
              </w:rPr>
            </w:pPr>
            <w:r>
              <w:rPr>
                <w:rFonts w:hint="default" w:ascii="Times New Roman" w:hAnsi="Times New Roman" w:eastAsia="宋体" w:cs="Times New Roman"/>
                <w:b/>
                <w:color w:val="auto"/>
                <w:kern w:val="2"/>
                <w:sz w:val="21"/>
                <w:szCs w:val="21"/>
                <w:highlight w:val="none"/>
              </w:rPr>
              <w:t>表4-</w:t>
            </w:r>
            <w:r>
              <w:rPr>
                <w:rFonts w:hint="default" w:ascii="Times New Roman" w:hAnsi="Times New Roman" w:eastAsia="宋体" w:cs="Times New Roman"/>
                <w:b/>
                <w:color w:val="auto"/>
                <w:kern w:val="2"/>
                <w:sz w:val="21"/>
                <w:szCs w:val="21"/>
                <w:highlight w:val="none"/>
                <w:lang w:val="en-US" w:eastAsia="zh-CN"/>
              </w:rPr>
              <w:t>2</w:t>
            </w:r>
            <w:r>
              <w:rPr>
                <w:rFonts w:hint="eastAsia" w:eastAsia="宋体" w:cs="Times New Roman"/>
                <w:b/>
                <w:color w:val="auto"/>
                <w:kern w:val="2"/>
                <w:sz w:val="21"/>
                <w:szCs w:val="21"/>
                <w:highlight w:val="none"/>
                <w:lang w:val="en-US" w:eastAsia="zh-CN"/>
              </w:rPr>
              <w:t>3</w:t>
            </w:r>
            <w:r>
              <w:rPr>
                <w:rFonts w:hint="default" w:ascii="Times New Roman" w:hAnsi="Times New Roman" w:eastAsia="宋体" w:cs="Times New Roman"/>
                <w:b/>
                <w:color w:val="auto"/>
                <w:kern w:val="2"/>
                <w:sz w:val="21"/>
                <w:szCs w:val="21"/>
                <w:highlight w:val="none"/>
              </w:rPr>
              <w:t xml:space="preserve"> </w:t>
            </w:r>
            <w:r>
              <w:rPr>
                <w:rFonts w:hint="eastAsia" w:eastAsia="宋体" w:cs="Times New Roman"/>
                <w:b/>
                <w:color w:val="auto"/>
                <w:kern w:val="2"/>
                <w:sz w:val="21"/>
                <w:szCs w:val="21"/>
                <w:highlight w:val="none"/>
                <w:lang w:val="zh-CN"/>
              </w:rPr>
              <w:t>环境保护图形标志</w:t>
            </w:r>
          </w:p>
          <w:tbl>
            <w:tblPr>
              <w:tblStyle w:val="43"/>
              <w:tblW w:w="78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6"/>
              <w:gridCol w:w="2288"/>
              <w:gridCol w:w="1850"/>
              <w:gridCol w:w="27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1036"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eastAsia="宋体" w:cs="Times New Roman"/>
                      <w:color w:val="auto"/>
                      <w:szCs w:val="21"/>
                      <w:highlight w:val="none"/>
                      <w:lang w:val="en-US" w:eastAsia="zh-CN"/>
                    </w:rPr>
                    <w:t>序号</w:t>
                  </w:r>
                </w:p>
              </w:tc>
              <w:tc>
                <w:tcPr>
                  <w:tcW w:w="2288"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eastAsia="宋体" w:cs="Times New Roman"/>
                      <w:color w:val="auto"/>
                      <w:szCs w:val="21"/>
                      <w:highlight w:val="none"/>
                      <w:lang w:val="en-US" w:eastAsia="zh-CN"/>
                    </w:rPr>
                    <w:t>提示图形符号</w:t>
                  </w:r>
                </w:p>
              </w:tc>
              <w:tc>
                <w:tcPr>
                  <w:tcW w:w="1850"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eastAsia="宋体" w:cs="Times New Roman"/>
                      <w:color w:val="auto"/>
                      <w:szCs w:val="21"/>
                      <w:highlight w:val="none"/>
                      <w:lang w:val="en-US" w:eastAsia="zh-CN"/>
                    </w:rPr>
                    <w:t>名称</w:t>
                  </w:r>
                </w:p>
              </w:tc>
              <w:tc>
                <w:tcPr>
                  <w:tcW w:w="2704"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eastAsia="宋体" w:cs="Times New Roman"/>
                      <w:color w:val="auto"/>
                      <w:szCs w:val="21"/>
                      <w:highlight w:val="none"/>
                      <w:lang w:val="en-US" w:eastAsia="zh-CN"/>
                    </w:rPr>
                    <w:t>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8" w:hRule="atLeast"/>
                <w:jc w:val="center"/>
              </w:trPr>
              <w:tc>
                <w:tcPr>
                  <w:tcW w:w="1036"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eastAsia="宋体" w:cs="Times New Roman"/>
                      <w:color w:val="auto"/>
                      <w:szCs w:val="21"/>
                      <w:highlight w:val="none"/>
                      <w:lang w:val="en-US" w:eastAsia="zh-CN"/>
                    </w:rPr>
                    <w:t>1</w:t>
                  </w:r>
                </w:p>
              </w:tc>
              <w:tc>
                <w:tcPr>
                  <w:tcW w:w="2288"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drawing>
                      <wp:inline distT="0" distB="0" distL="114300" distR="114300">
                        <wp:extent cx="1012190" cy="1012190"/>
                        <wp:effectExtent l="0" t="0" r="16510" b="16510"/>
                        <wp:docPr id="20" name="图片 32" descr="提示-废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2" descr="提示-废气"/>
                                <pic:cNvPicPr>
                                  <a:picLocks noChangeAspect="1"/>
                                </pic:cNvPicPr>
                              </pic:nvPicPr>
                              <pic:blipFill>
                                <a:blip r:embed="rId42"/>
                                <a:stretch>
                                  <a:fillRect/>
                                </a:stretch>
                              </pic:blipFill>
                              <pic:spPr>
                                <a:xfrm>
                                  <a:off x="0" y="0"/>
                                  <a:ext cx="1012190" cy="1012190"/>
                                </a:xfrm>
                                <a:prstGeom prst="rect">
                                  <a:avLst/>
                                </a:prstGeom>
                                <a:noFill/>
                                <a:ln>
                                  <a:noFill/>
                                </a:ln>
                              </pic:spPr>
                            </pic:pic>
                          </a:graphicData>
                        </a:graphic>
                      </wp:inline>
                    </w:drawing>
                  </w:r>
                </w:p>
              </w:tc>
              <w:tc>
                <w:tcPr>
                  <w:tcW w:w="1850"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eastAsia="宋体" w:cs="Times New Roman"/>
                      <w:color w:val="auto"/>
                      <w:szCs w:val="21"/>
                      <w:highlight w:val="none"/>
                      <w:lang w:val="en-US" w:eastAsia="zh-CN"/>
                    </w:rPr>
                    <w:t>废气排放口</w:t>
                  </w:r>
                </w:p>
              </w:tc>
              <w:tc>
                <w:tcPr>
                  <w:tcW w:w="2704"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eastAsia="宋体" w:cs="Times New Roman"/>
                      <w:color w:val="auto"/>
                      <w:szCs w:val="21"/>
                      <w:highlight w:val="none"/>
                      <w:lang w:val="en-US" w:eastAsia="zh-CN"/>
                    </w:rPr>
                    <w:t>表示大气向大气环境排放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8" w:hRule="atLeast"/>
                <w:jc w:val="center"/>
              </w:trPr>
              <w:tc>
                <w:tcPr>
                  <w:tcW w:w="1036"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eastAsia="宋体" w:cs="Times New Roman"/>
                      <w:color w:val="auto"/>
                      <w:szCs w:val="21"/>
                      <w:highlight w:val="none"/>
                      <w:lang w:val="en-US" w:eastAsia="zh-CN"/>
                    </w:rPr>
                    <w:t>2</w:t>
                  </w:r>
                </w:p>
              </w:tc>
              <w:tc>
                <w:tcPr>
                  <w:tcW w:w="2288"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drawing>
                      <wp:inline distT="0" distB="0" distL="114300" distR="114300">
                        <wp:extent cx="1010285" cy="1005840"/>
                        <wp:effectExtent l="0" t="0" r="18415" b="3810"/>
                        <wp:docPr id="12" name="图片 33" descr="提示-噪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3" descr="提示-噪声"/>
                                <pic:cNvPicPr>
                                  <a:picLocks noChangeAspect="1"/>
                                </pic:cNvPicPr>
                              </pic:nvPicPr>
                              <pic:blipFill>
                                <a:blip r:embed="rId43"/>
                                <a:stretch>
                                  <a:fillRect/>
                                </a:stretch>
                              </pic:blipFill>
                              <pic:spPr>
                                <a:xfrm>
                                  <a:off x="0" y="0"/>
                                  <a:ext cx="1010285" cy="1005840"/>
                                </a:xfrm>
                                <a:prstGeom prst="rect">
                                  <a:avLst/>
                                </a:prstGeom>
                                <a:noFill/>
                                <a:ln>
                                  <a:noFill/>
                                </a:ln>
                              </pic:spPr>
                            </pic:pic>
                          </a:graphicData>
                        </a:graphic>
                      </wp:inline>
                    </w:drawing>
                  </w:r>
                </w:p>
              </w:tc>
              <w:tc>
                <w:tcPr>
                  <w:tcW w:w="1850"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eastAsia="宋体" w:cs="Times New Roman"/>
                      <w:color w:val="auto"/>
                      <w:szCs w:val="21"/>
                      <w:highlight w:val="none"/>
                      <w:lang w:val="en-US" w:eastAsia="zh-CN"/>
                    </w:rPr>
                    <w:t>噪声排放源</w:t>
                  </w:r>
                </w:p>
              </w:tc>
              <w:tc>
                <w:tcPr>
                  <w:tcW w:w="2704"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eastAsia="宋体" w:cs="Times New Roman"/>
                      <w:color w:val="auto"/>
                      <w:szCs w:val="21"/>
                      <w:highlight w:val="none"/>
                      <w:lang w:val="en-US" w:eastAsia="zh-CN"/>
                    </w:rPr>
                    <w:t>表示噪声向外环境排放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8" w:hRule="atLeast"/>
                <w:jc w:val="center"/>
              </w:trPr>
              <w:tc>
                <w:tcPr>
                  <w:tcW w:w="1036"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eastAsia="宋体" w:cs="Times New Roman"/>
                      <w:color w:val="auto"/>
                      <w:szCs w:val="21"/>
                      <w:highlight w:val="none"/>
                      <w:lang w:val="en-US" w:eastAsia="zh-CN"/>
                    </w:rPr>
                    <w:t>3</w:t>
                  </w:r>
                </w:p>
              </w:tc>
              <w:tc>
                <w:tcPr>
                  <w:tcW w:w="2288"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drawing>
                      <wp:inline distT="0" distB="0" distL="114300" distR="114300">
                        <wp:extent cx="1010285" cy="1001395"/>
                        <wp:effectExtent l="0" t="0" r="18415" b="8255"/>
                        <wp:docPr id="11" name="图片 34" descr="提示-一般固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4" descr="提示-一般固废"/>
                                <pic:cNvPicPr>
                                  <a:picLocks noChangeAspect="1"/>
                                </pic:cNvPicPr>
                              </pic:nvPicPr>
                              <pic:blipFill>
                                <a:blip r:embed="rId44"/>
                                <a:stretch>
                                  <a:fillRect/>
                                </a:stretch>
                              </pic:blipFill>
                              <pic:spPr>
                                <a:xfrm>
                                  <a:off x="0" y="0"/>
                                  <a:ext cx="1010285" cy="1001395"/>
                                </a:xfrm>
                                <a:prstGeom prst="rect">
                                  <a:avLst/>
                                </a:prstGeom>
                                <a:noFill/>
                                <a:ln>
                                  <a:noFill/>
                                </a:ln>
                              </pic:spPr>
                            </pic:pic>
                          </a:graphicData>
                        </a:graphic>
                      </wp:inline>
                    </w:drawing>
                  </w:r>
                </w:p>
              </w:tc>
              <w:tc>
                <w:tcPr>
                  <w:tcW w:w="1850"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eastAsia="宋体" w:cs="Times New Roman"/>
                      <w:color w:val="auto"/>
                      <w:szCs w:val="21"/>
                      <w:highlight w:val="none"/>
                      <w:lang w:val="en-US" w:eastAsia="zh-CN"/>
                    </w:rPr>
                    <w:t>一般固体废物</w:t>
                  </w:r>
                </w:p>
              </w:tc>
              <w:tc>
                <w:tcPr>
                  <w:tcW w:w="2704"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eastAsia="宋体" w:cs="Times New Roman"/>
                      <w:color w:val="auto"/>
                      <w:szCs w:val="21"/>
                      <w:highlight w:val="none"/>
                      <w:lang w:val="en-US" w:eastAsia="zh-CN"/>
                    </w:rPr>
                    <w:t>表示一般固体废物贮存、迟滞处置场</w:t>
                  </w:r>
                </w:p>
              </w:tc>
            </w:tr>
          </w:tbl>
          <w:p>
            <w:pPr>
              <w:autoSpaceDE w:val="0"/>
              <w:autoSpaceDN w:val="0"/>
              <w:adjustRightInd w:val="0"/>
              <w:spacing w:line="360" w:lineRule="auto"/>
              <w:ind w:firstLine="442" w:firstLineChars="200"/>
              <w:rPr>
                <w:rFonts w:hint="default" w:ascii="Times New Roman" w:hAnsi="Times New Roman" w:cs="Times New Roman"/>
                <w:b/>
                <w:bCs/>
                <w:color w:val="auto"/>
                <w:sz w:val="22"/>
                <w:szCs w:val="22"/>
                <w:highlight w:val="none"/>
                <w:lang w:val="en-US" w:eastAsia="zh-CN"/>
              </w:rPr>
            </w:pPr>
            <w:r>
              <w:rPr>
                <w:rFonts w:hint="eastAsia" w:ascii="Times New Roman" w:hAnsi="Times New Roman" w:cs="Times New Roman"/>
                <w:b/>
                <w:bCs/>
                <w:color w:val="auto"/>
                <w:sz w:val="22"/>
                <w:szCs w:val="22"/>
                <w:highlight w:val="none"/>
                <w:lang w:val="en-US" w:eastAsia="zh-CN"/>
              </w:rPr>
              <w:t>9.3排污许可</w:t>
            </w:r>
          </w:p>
          <w:p>
            <w:pPr>
              <w:autoSpaceDE w:val="0"/>
              <w:autoSpaceDN w:val="0"/>
              <w:adjustRightInd w:val="0"/>
              <w:spacing w:line="360" w:lineRule="auto"/>
              <w:ind w:firstLine="440" w:firstLineChars="200"/>
              <w:rPr>
                <w:rFonts w:hint="eastAsia" w:ascii="Times New Roman" w:hAnsi="Times New Roman" w:cs="Times New Roman"/>
                <w:color w:val="auto"/>
                <w:sz w:val="22"/>
                <w:szCs w:val="22"/>
                <w:highlight w:val="none"/>
                <w:lang w:val="en-US" w:eastAsia="zh-CN"/>
              </w:rPr>
            </w:pPr>
            <w:r>
              <w:rPr>
                <w:rFonts w:hint="eastAsia" w:ascii="Times New Roman" w:hAnsi="Times New Roman" w:cs="Times New Roman"/>
                <w:color w:val="auto"/>
                <w:sz w:val="22"/>
                <w:szCs w:val="22"/>
                <w:highlight w:val="none"/>
                <w:lang w:eastAsia="zh-CN"/>
              </w:rPr>
              <w:t>根据《固定污染源排污许可分类管理名录》（</w:t>
            </w:r>
            <w:r>
              <w:rPr>
                <w:rFonts w:hint="eastAsia" w:ascii="Times New Roman" w:hAnsi="Times New Roman" w:cs="Times New Roman"/>
                <w:color w:val="auto"/>
                <w:sz w:val="22"/>
                <w:szCs w:val="22"/>
                <w:highlight w:val="none"/>
                <w:lang w:val="en-US" w:eastAsia="zh-CN"/>
              </w:rPr>
              <w:t>2019年版</w:t>
            </w:r>
            <w:r>
              <w:rPr>
                <w:rFonts w:hint="eastAsia" w:ascii="Times New Roman" w:hAnsi="Times New Roman" w:cs="Times New Roman"/>
                <w:color w:val="auto"/>
                <w:sz w:val="22"/>
                <w:szCs w:val="22"/>
                <w:highlight w:val="none"/>
                <w:lang w:eastAsia="zh-CN"/>
              </w:rPr>
              <w:t>），本项目</w:t>
            </w:r>
            <w:r>
              <w:rPr>
                <w:rFonts w:hint="eastAsia" w:ascii="Times New Roman" w:hAnsi="Times New Roman" w:cs="Times New Roman"/>
                <w:color w:val="auto"/>
                <w:sz w:val="22"/>
                <w:szCs w:val="22"/>
                <w:highlight w:val="none"/>
                <w:lang w:val="en-US" w:eastAsia="zh-CN"/>
              </w:rPr>
              <w:t>属于二十五、非金属矿物制造业65中“特种玻璃制造3042”。具体见下表：</w:t>
            </w:r>
          </w:p>
          <w:p>
            <w:pPr>
              <w:pStyle w:val="14"/>
              <w:tabs>
                <w:tab w:val="left" w:pos="1425"/>
              </w:tabs>
              <w:spacing w:before="0" w:after="0" w:line="240" w:lineRule="auto"/>
              <w:ind w:right="0"/>
              <w:jc w:val="center"/>
              <w:outlineLvl w:val="0"/>
              <w:rPr>
                <w:rFonts w:hint="default" w:ascii="Times New Roman" w:hAnsi="Times New Roman" w:cs="Times New Roman"/>
                <w:b/>
                <w:color w:val="auto"/>
                <w:kern w:val="2"/>
                <w:sz w:val="21"/>
                <w:szCs w:val="21"/>
                <w:highlight w:val="none"/>
                <w:lang w:val="zh-CN"/>
              </w:rPr>
            </w:pPr>
            <w:r>
              <w:rPr>
                <w:rFonts w:hint="default" w:ascii="Times New Roman" w:hAnsi="Times New Roman" w:cs="Times New Roman"/>
                <w:b/>
                <w:color w:val="auto"/>
                <w:kern w:val="2"/>
                <w:sz w:val="21"/>
                <w:szCs w:val="21"/>
                <w:highlight w:val="none"/>
              </w:rPr>
              <w:t>表4-</w:t>
            </w:r>
            <w:r>
              <w:rPr>
                <w:rFonts w:hint="eastAsia" w:ascii="Times New Roman" w:hAnsi="Times New Roman" w:cs="Times New Roman"/>
                <w:b/>
                <w:color w:val="auto"/>
                <w:kern w:val="2"/>
                <w:sz w:val="21"/>
                <w:szCs w:val="21"/>
                <w:highlight w:val="none"/>
                <w:lang w:val="en-US" w:eastAsia="zh-CN"/>
              </w:rPr>
              <w:t>24</w:t>
            </w:r>
            <w:r>
              <w:rPr>
                <w:rFonts w:hint="eastAsia" w:ascii="Times New Roman" w:hAnsi="Times New Roman" w:cs="Times New Roman"/>
                <w:b/>
                <w:color w:val="auto"/>
                <w:kern w:val="2"/>
                <w:sz w:val="21"/>
                <w:szCs w:val="21"/>
                <w:highlight w:val="none"/>
                <w:lang w:eastAsia="zh-CN"/>
              </w:rPr>
              <w:t>本项目</w:t>
            </w:r>
            <w:r>
              <w:rPr>
                <w:rFonts w:hint="eastAsia" w:ascii="Times New Roman" w:hAnsi="Times New Roman" w:cs="Times New Roman"/>
                <w:b/>
                <w:color w:val="auto"/>
                <w:kern w:val="2"/>
                <w:sz w:val="21"/>
                <w:szCs w:val="21"/>
                <w:highlight w:val="none"/>
                <w:lang w:val="zh-CN"/>
              </w:rPr>
              <w:t>固定污染源排污许可分类管理名录</w:t>
            </w:r>
          </w:p>
          <w:tbl>
            <w:tblPr>
              <w:tblStyle w:val="43"/>
              <w:tblW w:w="79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8"/>
              <w:gridCol w:w="2047"/>
              <w:gridCol w:w="2222"/>
              <w:gridCol w:w="20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708" w:type="dxa"/>
                  <w:noWrap w:val="0"/>
                  <w:vAlign w:val="center"/>
                </w:tcPr>
                <w:p>
                  <w:pPr>
                    <w:adjustRightInd w:val="0"/>
                    <w:snapToGrid w:val="0"/>
                    <w:jc w:val="center"/>
                    <w:rPr>
                      <w:rFonts w:hint="eastAsia" w:ascii="Times New Roman" w:hAnsi="Times New Roman" w:cs="Times New Roman"/>
                      <w:b/>
                      <w:bCs/>
                      <w:color w:val="auto"/>
                      <w:szCs w:val="21"/>
                      <w:highlight w:val="none"/>
                      <w:lang w:val="en-US" w:eastAsia="zh-CN"/>
                    </w:rPr>
                  </w:pPr>
                  <w:r>
                    <w:rPr>
                      <w:rFonts w:hint="eastAsia" w:ascii="Times New Roman" w:hAnsi="Times New Roman" w:cs="Times New Roman"/>
                      <w:b/>
                      <w:bCs/>
                      <w:color w:val="auto"/>
                      <w:szCs w:val="21"/>
                      <w:highlight w:val="none"/>
                      <w:lang w:val="en-US" w:eastAsia="zh-CN"/>
                    </w:rPr>
                    <w:t>行业类别</w:t>
                  </w:r>
                </w:p>
              </w:tc>
              <w:tc>
                <w:tcPr>
                  <w:tcW w:w="2047" w:type="dxa"/>
                  <w:noWrap w:val="0"/>
                  <w:vAlign w:val="center"/>
                </w:tcPr>
                <w:p>
                  <w:pPr>
                    <w:adjustRightInd w:val="0"/>
                    <w:snapToGrid w:val="0"/>
                    <w:jc w:val="center"/>
                    <w:rPr>
                      <w:rFonts w:hint="eastAsia" w:ascii="Times New Roman" w:hAnsi="Times New Roman" w:cs="Times New Roman"/>
                      <w:b/>
                      <w:bCs/>
                      <w:color w:val="auto"/>
                      <w:szCs w:val="21"/>
                      <w:highlight w:val="none"/>
                      <w:lang w:val="en-US" w:eastAsia="zh-CN"/>
                    </w:rPr>
                  </w:pPr>
                  <w:r>
                    <w:rPr>
                      <w:rFonts w:hint="eastAsia" w:ascii="Times New Roman" w:hAnsi="Times New Roman" w:cs="Times New Roman"/>
                      <w:b/>
                      <w:bCs/>
                      <w:color w:val="auto"/>
                      <w:szCs w:val="21"/>
                      <w:highlight w:val="none"/>
                      <w:lang w:val="en-US" w:eastAsia="zh-CN"/>
                    </w:rPr>
                    <w:t>重点管理</w:t>
                  </w:r>
                </w:p>
              </w:tc>
              <w:tc>
                <w:tcPr>
                  <w:tcW w:w="2222" w:type="dxa"/>
                  <w:noWrap w:val="0"/>
                  <w:vAlign w:val="center"/>
                </w:tcPr>
                <w:p>
                  <w:pPr>
                    <w:adjustRightInd w:val="0"/>
                    <w:snapToGrid w:val="0"/>
                    <w:jc w:val="center"/>
                    <w:rPr>
                      <w:rFonts w:hint="eastAsia" w:ascii="Times New Roman" w:hAnsi="Times New Roman" w:cs="Times New Roman"/>
                      <w:b/>
                      <w:bCs/>
                      <w:color w:val="auto"/>
                      <w:szCs w:val="21"/>
                      <w:highlight w:val="none"/>
                      <w:lang w:val="en-US" w:eastAsia="zh-CN"/>
                    </w:rPr>
                  </w:pPr>
                  <w:r>
                    <w:rPr>
                      <w:rFonts w:hint="eastAsia" w:ascii="Times New Roman" w:hAnsi="Times New Roman" w:cs="Times New Roman"/>
                      <w:b/>
                      <w:bCs/>
                      <w:color w:val="auto"/>
                      <w:szCs w:val="21"/>
                      <w:highlight w:val="none"/>
                      <w:lang w:val="en-US" w:eastAsia="zh-CN"/>
                    </w:rPr>
                    <w:t>简化管理</w:t>
                  </w:r>
                </w:p>
              </w:tc>
              <w:tc>
                <w:tcPr>
                  <w:tcW w:w="2003" w:type="dxa"/>
                  <w:noWrap w:val="0"/>
                  <w:vAlign w:val="center"/>
                </w:tcPr>
                <w:p>
                  <w:pPr>
                    <w:adjustRightInd w:val="0"/>
                    <w:snapToGrid w:val="0"/>
                    <w:jc w:val="center"/>
                    <w:rPr>
                      <w:rFonts w:hint="eastAsia" w:ascii="Times New Roman" w:hAnsi="Times New Roman" w:cs="Times New Roman"/>
                      <w:b/>
                      <w:bCs/>
                      <w:color w:val="auto"/>
                      <w:szCs w:val="21"/>
                      <w:highlight w:val="none"/>
                      <w:lang w:val="en-US" w:eastAsia="zh-CN"/>
                    </w:rPr>
                  </w:pPr>
                  <w:r>
                    <w:rPr>
                      <w:rFonts w:hint="eastAsia" w:ascii="Times New Roman" w:hAnsi="Times New Roman" w:cs="Times New Roman"/>
                      <w:b/>
                      <w:bCs/>
                      <w:color w:val="auto"/>
                      <w:szCs w:val="21"/>
                      <w:highlight w:val="none"/>
                      <w:lang w:val="en-US" w:eastAsia="zh-CN"/>
                    </w:rPr>
                    <w:t>登记管理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7980" w:type="dxa"/>
                  <w:gridSpan w:val="4"/>
                  <w:noWrap w:val="0"/>
                  <w:vAlign w:val="center"/>
                </w:tcPr>
                <w:p>
                  <w:pPr>
                    <w:adjustRightInd w:val="0"/>
                    <w:snapToGrid w:val="0"/>
                    <w:jc w:val="left"/>
                    <w:rPr>
                      <w:rFonts w:hint="eastAsia" w:ascii="Times New Roman" w:hAnsi="Times New Roman" w:cs="Times New Roman"/>
                      <w:b/>
                      <w:bCs/>
                      <w:color w:val="auto"/>
                      <w:szCs w:val="21"/>
                      <w:highlight w:val="none"/>
                      <w:lang w:val="en-US" w:eastAsia="zh-CN"/>
                    </w:rPr>
                  </w:pPr>
                  <w:r>
                    <w:rPr>
                      <w:rFonts w:hint="eastAsia" w:ascii="Times New Roman" w:hAnsi="Times New Roman" w:cs="Times New Roman"/>
                      <w:b/>
                      <w:bCs/>
                      <w:color w:val="auto"/>
                      <w:szCs w:val="21"/>
                      <w:highlight w:val="none"/>
                      <w:lang w:val="en-US" w:eastAsia="zh-CN"/>
                    </w:rPr>
                    <w:t>二十五、非金属矿物制造业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1708" w:type="dxa"/>
                  <w:noWrap w:val="0"/>
                  <w:vAlign w:val="center"/>
                </w:tcPr>
                <w:p>
                  <w:pPr>
                    <w:adjustRightInd w:val="0"/>
                    <w:snapToGrid w:val="0"/>
                    <w:jc w:val="center"/>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玻璃制造304</w:t>
                  </w:r>
                </w:p>
              </w:tc>
              <w:tc>
                <w:tcPr>
                  <w:tcW w:w="2047" w:type="dxa"/>
                  <w:noWrap w:val="0"/>
                  <w:vAlign w:val="center"/>
                </w:tcPr>
                <w:p>
                  <w:pPr>
                    <w:adjustRightInd w:val="0"/>
                    <w:snapToGrid w:val="0"/>
                    <w:jc w:val="center"/>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平板玻璃制造3041</w:t>
                  </w:r>
                </w:p>
              </w:tc>
              <w:tc>
                <w:tcPr>
                  <w:tcW w:w="2222" w:type="dxa"/>
                  <w:noWrap w:val="0"/>
                  <w:vAlign w:val="center"/>
                </w:tcPr>
                <w:p>
                  <w:pPr>
                    <w:adjustRightInd w:val="0"/>
                    <w:snapToGrid w:val="0"/>
                    <w:jc w:val="center"/>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特种玻璃制造3042</w:t>
                  </w:r>
                </w:p>
              </w:tc>
              <w:tc>
                <w:tcPr>
                  <w:tcW w:w="2003" w:type="dxa"/>
                  <w:noWrap w:val="0"/>
                  <w:vAlign w:val="center"/>
                </w:tcPr>
                <w:p>
                  <w:pPr>
                    <w:adjustRightInd w:val="0"/>
                    <w:snapToGrid w:val="0"/>
                    <w:jc w:val="center"/>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其他玻璃制造3049</w:t>
                  </w:r>
                </w:p>
              </w:tc>
            </w:tr>
          </w:tbl>
          <w:p>
            <w:pPr>
              <w:autoSpaceDE w:val="0"/>
              <w:autoSpaceDN w:val="0"/>
              <w:adjustRightInd w:val="0"/>
              <w:spacing w:line="360" w:lineRule="auto"/>
              <w:ind w:firstLine="440" w:firstLineChars="200"/>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 w:val="22"/>
                <w:szCs w:val="22"/>
                <w:highlight w:val="none"/>
                <w:lang w:val="en-US" w:eastAsia="zh-CN"/>
              </w:rPr>
              <w:t>本项目主要生产夹层玻璃，属于特种玻璃制造，因此实行排污简化管理。</w:t>
            </w:r>
          </w:p>
          <w:p>
            <w:pPr>
              <w:spacing w:line="360" w:lineRule="auto"/>
              <w:ind w:firstLine="442" w:firstLineChars="200"/>
              <w:rPr>
                <w:rFonts w:hint="eastAsia"/>
                <w:b/>
                <w:bCs/>
                <w:color w:val="auto"/>
                <w:sz w:val="22"/>
                <w:szCs w:val="21"/>
                <w:highlight w:val="none"/>
                <w:lang w:val="en-US" w:eastAsia="zh-CN"/>
              </w:rPr>
            </w:pPr>
            <w:r>
              <w:rPr>
                <w:rFonts w:hint="eastAsia"/>
                <w:b/>
                <w:bCs/>
                <w:color w:val="auto"/>
                <w:sz w:val="22"/>
                <w:szCs w:val="21"/>
                <w:highlight w:val="none"/>
                <w:lang w:val="en-US" w:eastAsia="zh-CN"/>
              </w:rPr>
              <w:t>10、竣工环境保护验收</w:t>
            </w:r>
          </w:p>
          <w:p>
            <w:pPr>
              <w:adjustRightInd w:val="0"/>
              <w:jc w:val="center"/>
              <w:textAlignment w:val="baseline"/>
              <w:rPr>
                <w:b/>
                <w:bCs/>
                <w:color w:val="auto"/>
                <w:highlight w:val="none"/>
                <w:lang w:val="zh-CN"/>
              </w:rPr>
            </w:pPr>
            <w:r>
              <w:rPr>
                <w:b/>
                <w:bCs/>
                <w:color w:val="auto"/>
                <w:highlight w:val="none"/>
                <w:lang w:val="zh-CN"/>
              </w:rPr>
              <w:t>表</w:t>
            </w:r>
            <w:r>
              <w:rPr>
                <w:rFonts w:hint="eastAsia"/>
                <w:b/>
                <w:bCs/>
                <w:color w:val="auto"/>
                <w:highlight w:val="none"/>
              </w:rPr>
              <w:t>4-</w:t>
            </w:r>
            <w:r>
              <w:rPr>
                <w:rFonts w:hint="eastAsia"/>
                <w:b/>
                <w:bCs/>
                <w:color w:val="auto"/>
                <w:highlight w:val="none"/>
                <w:lang w:val="en-US" w:eastAsia="zh-CN"/>
              </w:rPr>
              <w:t>25</w:t>
            </w:r>
            <w:r>
              <w:rPr>
                <w:b/>
                <w:bCs/>
                <w:color w:val="auto"/>
                <w:highlight w:val="none"/>
                <w:lang w:val="zh-CN"/>
              </w:rPr>
              <w:t xml:space="preserve">  </w:t>
            </w:r>
            <w:r>
              <w:rPr>
                <w:rFonts w:hint="eastAsia"/>
                <w:b/>
                <w:bCs/>
                <w:color w:val="auto"/>
                <w:highlight w:val="none"/>
                <w:lang w:val="zh-CN"/>
              </w:rPr>
              <w:t>本项目竣工环境保护验收主要内容</w:t>
            </w:r>
            <w:r>
              <w:rPr>
                <w:b/>
                <w:bCs/>
                <w:color w:val="auto"/>
                <w:highlight w:val="none"/>
                <w:lang w:val="zh-CN"/>
              </w:rPr>
              <w:t>一览表</w:t>
            </w:r>
          </w:p>
          <w:tbl>
            <w:tblPr>
              <w:tblStyle w:val="42"/>
              <w:tblW w:w="792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3"/>
              <w:gridCol w:w="1405"/>
              <w:gridCol w:w="3095"/>
              <w:gridCol w:w="276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68"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leftChars="0" w:right="0" w:rightChars="0"/>
                    <w:jc w:val="center"/>
                    <w:textAlignment w:val="baseline"/>
                    <w:outlineLvl w:val="9"/>
                    <w:rPr>
                      <w:rFonts w:hint="default" w:ascii="Times New Roman" w:hAnsi="Times New Roman" w:cs="Times New Roman"/>
                      <w:color w:val="auto"/>
                      <w:highlight w:val="none"/>
                    </w:rPr>
                  </w:pPr>
                  <w:r>
                    <w:rPr>
                      <w:rFonts w:hint="eastAsia" w:ascii="Times New Roman" w:hAnsi="Times New Roman" w:cs="Times New Roman"/>
                      <w:color w:val="auto"/>
                      <w:kern w:val="2"/>
                      <w:sz w:val="21"/>
                      <w:szCs w:val="21"/>
                      <w:highlight w:val="none"/>
                      <w:lang w:eastAsia="zh-CN"/>
                    </w:rPr>
                    <w:t>验收</w:t>
                  </w:r>
                  <w:r>
                    <w:rPr>
                      <w:rFonts w:hint="default" w:ascii="Times New Roman" w:hAnsi="Times New Roman" w:cs="Times New Roman"/>
                      <w:color w:val="auto"/>
                      <w:kern w:val="2"/>
                      <w:sz w:val="21"/>
                      <w:szCs w:val="21"/>
                      <w:highlight w:val="none"/>
                    </w:rPr>
                    <w:t>项目</w:t>
                  </w:r>
                </w:p>
              </w:tc>
              <w:tc>
                <w:tcPr>
                  <w:tcW w:w="309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leftChars="0" w:right="0" w:rightChars="0"/>
                    <w:jc w:val="center"/>
                    <w:textAlignment w:val="baseline"/>
                    <w:outlineLvl w:val="9"/>
                    <w:rPr>
                      <w:rFonts w:hint="default" w:ascii="Times New Roman" w:hAnsi="Times New Roman" w:cs="Times New Roman"/>
                      <w:color w:val="auto"/>
                      <w:highlight w:val="none"/>
                    </w:rPr>
                  </w:pPr>
                  <w:r>
                    <w:rPr>
                      <w:rFonts w:hint="default" w:ascii="Times New Roman" w:hAnsi="Times New Roman" w:cs="Times New Roman"/>
                      <w:color w:val="auto"/>
                      <w:kern w:val="2"/>
                      <w:sz w:val="21"/>
                      <w:szCs w:val="21"/>
                      <w:highlight w:val="none"/>
                    </w:rPr>
                    <w:t>验收环保措施</w:t>
                  </w:r>
                </w:p>
              </w:tc>
              <w:tc>
                <w:tcPr>
                  <w:tcW w:w="2763" w:type="dxa"/>
                  <w:noWrap w:val="0"/>
                  <w:vAlign w:val="center"/>
                </w:tcPr>
                <w:p>
                  <w:pPr>
                    <w:keepNext w:val="0"/>
                    <w:keepLines w:val="0"/>
                    <w:pageBreakBefore w:val="0"/>
                    <w:widowControl w:val="0"/>
                    <w:kinsoku/>
                    <w:wordWrap/>
                    <w:overflowPunct/>
                    <w:topLinePunct w:val="0"/>
                    <w:autoSpaceDE/>
                    <w:autoSpaceDN/>
                    <w:bidi w:val="0"/>
                    <w:adjustRightInd/>
                    <w:snapToGrid/>
                    <w:spacing w:line="264" w:lineRule="auto"/>
                    <w:ind w:left="-74" w:leftChars="-31" w:right="-106" w:rightChars="-44"/>
                    <w:jc w:val="center"/>
                    <w:textAlignment w:val="auto"/>
                    <w:outlineLvl w:val="9"/>
                    <w:rPr>
                      <w:rFonts w:hint="eastAsia" w:ascii="Times New Roman" w:hAnsi="Times New Roman" w:eastAsia="宋体" w:cs="Times New Roman"/>
                      <w:color w:val="auto"/>
                      <w:highlight w:val="none"/>
                      <w:lang w:eastAsia="zh-CN"/>
                    </w:rPr>
                  </w:pPr>
                  <w:r>
                    <w:rPr>
                      <w:rFonts w:hint="default" w:ascii="Times New Roman" w:hAnsi="Times New Roman" w:cs="Times New Roman"/>
                      <w:color w:val="auto"/>
                      <w:kern w:val="2"/>
                      <w:sz w:val="21"/>
                      <w:szCs w:val="21"/>
                      <w:highlight w:val="none"/>
                    </w:rPr>
                    <w:t>验收标准或要求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88" w:hRule="atLeast"/>
                <w:jc w:val="center"/>
              </w:trPr>
              <w:tc>
                <w:tcPr>
                  <w:tcW w:w="663"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center"/>
                    <w:textAlignment w:val="auto"/>
                    <w:outlineLvl w:val="9"/>
                    <w:rPr>
                      <w:rFonts w:hint="default" w:ascii="Times New Roman" w:hAnsi="Times New Roman" w:cs="Times New Roman"/>
                      <w:color w:val="auto"/>
                      <w:highlight w:val="none"/>
                    </w:rPr>
                  </w:pPr>
                  <w:r>
                    <w:rPr>
                      <w:rFonts w:hint="default" w:ascii="Times New Roman" w:hAnsi="Times New Roman" w:cs="Times New Roman"/>
                      <w:color w:val="auto"/>
                      <w:highlight w:val="none"/>
                    </w:rPr>
                    <w:t>废气</w:t>
                  </w:r>
                </w:p>
              </w:tc>
              <w:tc>
                <w:tcPr>
                  <w:tcW w:w="1405" w:type="dxa"/>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center"/>
                    <w:textAlignment w:val="auto"/>
                    <w:outlineLvl w:val="9"/>
                    <w:rPr>
                      <w:rFonts w:hint="default" w:ascii="Times New Roman" w:hAnsi="Times New Roman" w:eastAsia="宋体" w:cs="Times New Roman"/>
                      <w:color w:val="auto"/>
                      <w:highlight w:val="none"/>
                      <w:lang w:eastAsia="zh-CN"/>
                    </w:rPr>
                  </w:pPr>
                  <w:r>
                    <w:rPr>
                      <w:rFonts w:hint="eastAsia" w:ascii="Times New Roman" w:hAnsi="Times New Roman" w:cs="Times New Roman"/>
                      <w:color w:val="auto"/>
                      <w:highlight w:val="none"/>
                      <w:lang w:val="en-US" w:eastAsia="zh-CN"/>
                    </w:rPr>
                    <w:t>喷漆</w:t>
                  </w:r>
                  <w:r>
                    <w:rPr>
                      <w:rFonts w:hint="eastAsia" w:ascii="Times New Roman" w:hAnsi="Times New Roman" w:cs="Times New Roman"/>
                      <w:color w:val="auto"/>
                      <w:highlight w:val="none"/>
                      <w:lang w:eastAsia="zh-CN"/>
                    </w:rPr>
                    <w:t>废气（</w:t>
                  </w:r>
                  <w:r>
                    <w:rPr>
                      <w:rFonts w:hint="eastAsia" w:ascii="Times New Roman" w:hAnsi="Times New Roman" w:cs="Times New Roman"/>
                      <w:color w:val="auto"/>
                      <w:highlight w:val="none"/>
                      <w:lang w:val="en-US" w:eastAsia="zh-CN"/>
                    </w:rPr>
                    <w:t>颗粒物、VOCs</w:t>
                  </w:r>
                  <w:r>
                    <w:rPr>
                      <w:rFonts w:hint="eastAsia" w:ascii="Times New Roman" w:hAnsi="Times New Roman" w:cs="Times New Roman"/>
                      <w:color w:val="auto"/>
                      <w:highlight w:val="none"/>
                      <w:lang w:eastAsia="zh-CN"/>
                    </w:rPr>
                    <w:t>）</w:t>
                  </w:r>
                </w:p>
              </w:tc>
              <w:tc>
                <w:tcPr>
                  <w:tcW w:w="3095" w:type="dxa"/>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left"/>
                    <w:textAlignment w:val="auto"/>
                    <w:outlineLvl w:val="9"/>
                    <w:rPr>
                      <w:rFonts w:hint="default" w:ascii="Times New Roman" w:hAnsi="Times New Roman" w:eastAsia="宋体" w:cs="Times New Roman"/>
                      <w:color w:val="auto"/>
                      <w:highlight w:val="none"/>
                      <w:lang w:val="en-US" w:eastAsia="zh-CN"/>
                    </w:rPr>
                  </w:pPr>
                  <w:r>
                    <w:rPr>
                      <w:rStyle w:val="44"/>
                      <w:rFonts w:hint="default" w:ascii="Times New Roman" w:hAnsi="Times New Roman" w:eastAsia="宋体" w:cs="Times New Roman"/>
                      <w:kern w:val="2"/>
                      <w:sz w:val="21"/>
                      <w:szCs w:val="21"/>
                      <w:lang w:val="en-US" w:eastAsia="zh-CN" w:bidi="ar-SA"/>
                    </w:rPr>
                    <w:t>水帘柜+干式过滤+两级活性炭处理后通过1根15m排气筒（DA00</w:t>
                  </w:r>
                  <w:r>
                    <w:rPr>
                      <w:rStyle w:val="44"/>
                      <w:rFonts w:hint="eastAsia" w:ascii="Times New Roman" w:hAnsi="Times New Roman" w:eastAsia="宋体" w:cs="Times New Roman"/>
                      <w:kern w:val="2"/>
                      <w:sz w:val="21"/>
                      <w:szCs w:val="21"/>
                      <w:lang w:val="en-US" w:eastAsia="zh-CN" w:bidi="ar-SA"/>
                    </w:rPr>
                    <w:t>1</w:t>
                  </w:r>
                  <w:r>
                    <w:rPr>
                      <w:rStyle w:val="44"/>
                      <w:rFonts w:hint="default" w:ascii="Times New Roman" w:hAnsi="Times New Roman" w:eastAsia="宋体" w:cs="Times New Roman"/>
                      <w:kern w:val="2"/>
                      <w:sz w:val="21"/>
                      <w:szCs w:val="21"/>
                      <w:lang w:val="en-US" w:eastAsia="zh-CN" w:bidi="ar-SA"/>
                    </w:rPr>
                    <w:t>）排放。</w:t>
                  </w:r>
                </w:p>
              </w:tc>
              <w:tc>
                <w:tcPr>
                  <w:tcW w:w="2763"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center"/>
                    <w:textAlignment w:val="auto"/>
                    <w:outlineLvl w:val="9"/>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《四川省固定污染源大气挥发性有机物排放标准》（DB51/2377-2017）</w:t>
                  </w:r>
                  <w:r>
                    <w:rPr>
                      <w:rFonts w:hint="eastAsia" w:ascii="Times New Roman" w:hAnsi="Times New Roman" w:eastAsia="宋体" w:cs="Times New Roman"/>
                      <w:color w:val="auto"/>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264" w:lineRule="auto"/>
                    <w:jc w:val="center"/>
                    <w:textAlignment w:val="auto"/>
                    <w:outlineLvl w:val="9"/>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《大气污染物综合排放标准》（GB16297-1996）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center"/>
                    <w:textAlignment w:val="auto"/>
                    <w:outlineLvl w:val="9"/>
                    <w:rPr>
                      <w:rFonts w:hint="default" w:ascii="Times New Roman" w:hAnsi="Times New Roman" w:cs="Times New Roman"/>
                      <w:color w:val="auto"/>
                      <w:highlight w:val="none"/>
                    </w:rPr>
                  </w:pPr>
                </w:p>
              </w:tc>
              <w:tc>
                <w:tcPr>
                  <w:tcW w:w="1405" w:type="dxa"/>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center"/>
                    <w:textAlignment w:val="auto"/>
                    <w:outlineLvl w:val="9"/>
                    <w:rPr>
                      <w:rFonts w:hint="eastAsia" w:ascii="Times New Roman" w:hAnsi="Times New Roman" w:cs="Times New Roman"/>
                      <w:color w:val="auto"/>
                      <w:highlight w:val="none"/>
                      <w:lang w:eastAsia="zh-CN"/>
                    </w:rPr>
                  </w:pPr>
                  <w:r>
                    <w:rPr>
                      <w:rFonts w:hint="eastAsia" w:ascii="Times New Roman" w:hAnsi="Times New Roman" w:cs="Times New Roman"/>
                      <w:color w:val="auto"/>
                      <w:highlight w:val="none"/>
                      <w:lang w:val="en-US" w:eastAsia="zh-CN"/>
                    </w:rPr>
                    <w:t>危废暂存间、晾干区废气</w:t>
                  </w:r>
                </w:p>
              </w:tc>
              <w:tc>
                <w:tcPr>
                  <w:tcW w:w="3095" w:type="dxa"/>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left"/>
                    <w:textAlignment w:val="auto"/>
                    <w:outlineLvl w:val="9"/>
                    <w:rPr>
                      <w:rFonts w:hint="default" w:ascii="Times New Roman" w:hAnsi="Times New Roman" w:eastAsia="宋体" w:cs="Times New Roman"/>
                      <w:color w:val="auto"/>
                      <w:highlight w:val="none"/>
                      <w:lang w:eastAsia="zh-CN"/>
                    </w:rPr>
                  </w:pPr>
                  <w:r>
                    <w:rPr>
                      <w:rStyle w:val="44"/>
                      <w:rFonts w:hint="eastAsia" w:ascii="Times New Roman" w:hAnsi="Times New Roman" w:eastAsia="宋体" w:cs="Times New Roman"/>
                      <w:kern w:val="2"/>
                      <w:sz w:val="21"/>
                      <w:szCs w:val="21"/>
                      <w:lang w:val="en-US" w:eastAsia="zh-CN" w:bidi="ar-SA"/>
                    </w:rPr>
                    <w:t>收集后依托喷漆房废气的两级活性炭设施处理后通过</w:t>
                  </w:r>
                  <w:r>
                    <w:rPr>
                      <w:rStyle w:val="44"/>
                      <w:rFonts w:hint="default" w:ascii="Times New Roman" w:hAnsi="Times New Roman" w:eastAsia="宋体" w:cs="Times New Roman"/>
                      <w:kern w:val="2"/>
                      <w:sz w:val="21"/>
                      <w:szCs w:val="21"/>
                      <w:lang w:val="en-US" w:eastAsia="zh-CN" w:bidi="ar-SA"/>
                    </w:rPr>
                    <w:t>15m排气筒（DA00</w:t>
                  </w:r>
                  <w:r>
                    <w:rPr>
                      <w:rStyle w:val="44"/>
                      <w:rFonts w:hint="eastAsia" w:ascii="Times New Roman" w:hAnsi="Times New Roman" w:eastAsia="宋体" w:cs="Times New Roman"/>
                      <w:kern w:val="2"/>
                      <w:sz w:val="21"/>
                      <w:szCs w:val="21"/>
                      <w:lang w:val="en-US" w:eastAsia="zh-CN" w:bidi="ar-SA"/>
                    </w:rPr>
                    <w:t>1</w:t>
                  </w:r>
                  <w:r>
                    <w:rPr>
                      <w:rStyle w:val="44"/>
                      <w:rFonts w:hint="default" w:ascii="Times New Roman" w:hAnsi="Times New Roman" w:eastAsia="宋体" w:cs="Times New Roman"/>
                      <w:kern w:val="2"/>
                      <w:sz w:val="21"/>
                      <w:szCs w:val="21"/>
                      <w:lang w:val="en-US" w:eastAsia="zh-CN" w:bidi="ar-SA"/>
                    </w:rPr>
                    <w:t>）</w:t>
                  </w:r>
                  <w:r>
                    <w:rPr>
                      <w:rStyle w:val="44"/>
                      <w:rFonts w:hint="eastAsia" w:ascii="Times New Roman" w:hAnsi="Times New Roman" w:eastAsia="宋体" w:cs="Times New Roman"/>
                      <w:kern w:val="2"/>
                      <w:sz w:val="21"/>
                      <w:szCs w:val="21"/>
                      <w:lang w:val="en-US" w:eastAsia="zh-CN" w:bidi="ar-SA"/>
                    </w:rPr>
                    <w:t>排放。</w:t>
                  </w:r>
                </w:p>
              </w:tc>
              <w:tc>
                <w:tcPr>
                  <w:tcW w:w="276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center"/>
                    <w:textAlignment w:val="auto"/>
                    <w:outlineLvl w:val="9"/>
                    <w:rPr>
                      <w:rFonts w:hint="default" w:ascii="Times New Roman" w:hAnsi="Times New Roman" w:eastAsia="宋体" w:cs="Times New Roman"/>
                      <w:color w:val="auto"/>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663"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64" w:lineRule="auto"/>
                    <w:ind w:left="-122" w:leftChars="-51" w:right="-120" w:rightChars="-50"/>
                    <w:jc w:val="center"/>
                    <w:textAlignment w:val="auto"/>
                    <w:outlineLvl w:val="9"/>
                    <w:rPr>
                      <w:rFonts w:hint="eastAsia" w:ascii="Times New Roman" w:hAnsi="Times New Roman" w:eastAsia="宋体" w:cs="Times New Roman"/>
                      <w:color w:val="auto"/>
                      <w:highlight w:val="none"/>
                      <w:lang w:eastAsia="zh-CN"/>
                    </w:rPr>
                  </w:pPr>
                  <w:r>
                    <w:rPr>
                      <w:rFonts w:hint="eastAsia" w:ascii="Times New Roman" w:hAnsi="Times New Roman" w:cs="Times New Roman"/>
                      <w:color w:val="auto"/>
                      <w:highlight w:val="none"/>
                      <w:lang w:eastAsia="zh-CN"/>
                    </w:rPr>
                    <w:t>废水</w:t>
                  </w:r>
                </w:p>
              </w:tc>
              <w:tc>
                <w:tcPr>
                  <w:tcW w:w="1405" w:type="dxa"/>
                  <w:noWrap w:val="0"/>
                  <w:vAlign w:val="center"/>
                </w:tcPr>
                <w:p>
                  <w:pPr>
                    <w:keepNext w:val="0"/>
                    <w:keepLines w:val="0"/>
                    <w:pageBreakBefore w:val="0"/>
                    <w:widowControl w:val="0"/>
                    <w:kinsoku/>
                    <w:wordWrap/>
                    <w:overflowPunct/>
                    <w:topLinePunct w:val="0"/>
                    <w:autoSpaceDE/>
                    <w:autoSpaceDN/>
                    <w:bidi w:val="0"/>
                    <w:adjustRightInd/>
                    <w:snapToGrid/>
                    <w:spacing w:line="264" w:lineRule="auto"/>
                    <w:ind w:left="-122" w:leftChars="-51" w:right="-120" w:rightChars="-50" w:firstLine="122" w:firstLineChars="51"/>
                    <w:jc w:val="center"/>
                    <w:textAlignment w:val="auto"/>
                    <w:outlineLvl w:val="9"/>
                    <w:rPr>
                      <w:rFonts w:hint="eastAsia"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生活污水</w:t>
                  </w:r>
                </w:p>
              </w:tc>
              <w:tc>
                <w:tcPr>
                  <w:tcW w:w="3095" w:type="dxa"/>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left"/>
                    <w:textAlignment w:val="auto"/>
                    <w:outlineLvl w:val="9"/>
                    <w:rPr>
                      <w:rFonts w:hint="eastAsia" w:ascii="Times New Roman" w:hAnsi="Times New Roman" w:cs="Times New Roman"/>
                      <w:color w:val="auto"/>
                      <w:highlight w:val="none"/>
                      <w:lang w:eastAsia="zh-CN"/>
                    </w:rPr>
                  </w:pPr>
                  <w:r>
                    <w:rPr>
                      <w:rFonts w:hint="eastAsia" w:ascii="Times New Roman" w:hAnsi="Times New Roman" w:cs="Times New Roman"/>
                      <w:color w:val="auto"/>
                      <w:highlight w:val="none"/>
                      <w:lang w:eastAsia="zh-CN"/>
                    </w:rPr>
                    <w:t>化粪池预处理后，</w:t>
                  </w:r>
                  <w:r>
                    <w:rPr>
                      <w:rStyle w:val="44"/>
                      <w:rFonts w:hint="eastAsia" w:ascii="宋体" w:hAnsi="宋体" w:eastAsia="宋体" w:cs="Times New Roman"/>
                      <w:color w:val="auto"/>
                      <w:kern w:val="2"/>
                      <w:sz w:val="21"/>
                      <w:szCs w:val="21"/>
                      <w:lang w:val="en-US" w:eastAsia="zh-CN" w:bidi="ar-SA"/>
                    </w:rPr>
                    <w:t>排入乐山市工业集中区污水处理厂。</w:t>
                  </w:r>
                </w:p>
              </w:tc>
              <w:tc>
                <w:tcPr>
                  <w:tcW w:w="2763"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center"/>
                    <w:textAlignment w:val="auto"/>
                    <w:outlineLvl w:val="9"/>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按要求落实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66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64" w:lineRule="auto"/>
                    <w:ind w:left="-122" w:leftChars="-51" w:right="-120" w:rightChars="-50"/>
                    <w:jc w:val="center"/>
                    <w:textAlignment w:val="auto"/>
                    <w:outlineLvl w:val="9"/>
                    <w:rPr>
                      <w:rFonts w:hint="eastAsia" w:ascii="Times New Roman" w:hAnsi="Times New Roman" w:cs="Times New Roman"/>
                      <w:color w:val="auto"/>
                      <w:highlight w:val="none"/>
                      <w:lang w:eastAsia="zh-CN"/>
                    </w:rPr>
                  </w:pPr>
                </w:p>
              </w:tc>
              <w:tc>
                <w:tcPr>
                  <w:tcW w:w="1405" w:type="dxa"/>
                  <w:noWrap w:val="0"/>
                  <w:vAlign w:val="center"/>
                </w:tcPr>
                <w:p>
                  <w:pPr>
                    <w:keepNext w:val="0"/>
                    <w:keepLines w:val="0"/>
                    <w:pageBreakBefore w:val="0"/>
                    <w:widowControl w:val="0"/>
                    <w:kinsoku/>
                    <w:wordWrap/>
                    <w:overflowPunct/>
                    <w:topLinePunct w:val="0"/>
                    <w:autoSpaceDE/>
                    <w:autoSpaceDN/>
                    <w:bidi w:val="0"/>
                    <w:adjustRightInd/>
                    <w:snapToGrid/>
                    <w:spacing w:line="264" w:lineRule="auto"/>
                    <w:ind w:left="-122" w:leftChars="-51" w:right="-120" w:rightChars="-50" w:firstLine="122" w:firstLineChars="51"/>
                    <w:jc w:val="center"/>
                    <w:textAlignment w:val="auto"/>
                    <w:outlineLvl w:val="9"/>
                    <w:rPr>
                      <w:rFonts w:hint="default" w:ascii="Times New Roman" w:hAnsi="Times New Roman" w:cs="Times New Roman"/>
                      <w:color w:val="auto"/>
                      <w:highlight w:val="none"/>
                    </w:rPr>
                  </w:pPr>
                  <w:r>
                    <w:rPr>
                      <w:rFonts w:hint="eastAsia" w:ascii="Times New Roman" w:hAnsi="Times New Roman" w:cs="Times New Roman"/>
                      <w:color w:val="auto"/>
                      <w:highlight w:val="none"/>
                      <w:lang w:val="en-US" w:eastAsia="zh-CN"/>
                    </w:rPr>
                    <w:t>磨边、清洗废水</w:t>
                  </w:r>
                </w:p>
              </w:tc>
              <w:tc>
                <w:tcPr>
                  <w:tcW w:w="3095" w:type="dxa"/>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left"/>
                    <w:textAlignment w:val="auto"/>
                    <w:outlineLvl w:val="9"/>
                    <w:rPr>
                      <w:rFonts w:hint="eastAsia" w:ascii="Times New Roman" w:hAnsi="Times New Roman" w:cs="Times New Roman"/>
                      <w:color w:val="auto"/>
                      <w:highlight w:val="none"/>
                      <w:lang w:eastAsia="zh-CN"/>
                    </w:rPr>
                  </w:pPr>
                  <w:r>
                    <w:rPr>
                      <w:rStyle w:val="44"/>
                      <w:rFonts w:hint="eastAsia" w:ascii="Times New Roman" w:hAnsi="Times New Roman" w:eastAsia="宋体" w:cs="Times New Roman"/>
                      <w:color w:val="auto"/>
                      <w:kern w:val="2"/>
                      <w:sz w:val="21"/>
                      <w:szCs w:val="21"/>
                      <w:lang w:val="en-US" w:eastAsia="zh-CN" w:bidi="ar-SA"/>
                    </w:rPr>
                    <w:t>经循环水池</w:t>
                  </w:r>
                  <w:r>
                    <w:rPr>
                      <w:rStyle w:val="44"/>
                      <w:rFonts w:hint="default" w:ascii="Times New Roman" w:hAnsi="Times New Roman" w:eastAsia="宋体" w:cs="Times New Roman"/>
                      <w:color w:val="auto"/>
                      <w:kern w:val="2"/>
                      <w:sz w:val="21"/>
                      <w:szCs w:val="21"/>
                      <w:lang w:val="en-US" w:eastAsia="zh-CN" w:bidi="ar-SA"/>
                    </w:rPr>
                    <w:t>（</w:t>
                  </w:r>
                  <w:r>
                    <w:rPr>
                      <w:rStyle w:val="44"/>
                      <w:rFonts w:hint="eastAsia" w:ascii="Times New Roman" w:hAnsi="Times New Roman" w:eastAsia="宋体" w:cs="Times New Roman"/>
                      <w:color w:val="auto"/>
                      <w:kern w:val="2"/>
                      <w:sz w:val="21"/>
                      <w:szCs w:val="21"/>
                      <w:highlight w:val="none"/>
                      <w:lang w:val="en-US" w:eastAsia="zh-CN" w:bidi="ar-SA"/>
                    </w:rPr>
                    <w:t>160</w:t>
                  </w:r>
                  <w:r>
                    <w:rPr>
                      <w:rStyle w:val="44"/>
                      <w:rFonts w:hint="default" w:ascii="Times New Roman" w:hAnsi="Times New Roman" w:eastAsia="宋体" w:cs="Times New Roman"/>
                      <w:color w:val="auto"/>
                      <w:kern w:val="2"/>
                      <w:sz w:val="21"/>
                      <w:szCs w:val="21"/>
                      <w:highlight w:val="none"/>
                      <w:lang w:val="en-US" w:eastAsia="zh-CN" w:bidi="ar-SA"/>
                    </w:rPr>
                    <w:t>m</w:t>
                  </w:r>
                  <w:r>
                    <w:rPr>
                      <w:rStyle w:val="44"/>
                      <w:rFonts w:hint="default" w:ascii="Times New Roman" w:hAnsi="Times New Roman" w:eastAsia="宋体" w:cs="Times New Roman"/>
                      <w:color w:val="auto"/>
                      <w:kern w:val="2"/>
                      <w:sz w:val="21"/>
                      <w:szCs w:val="21"/>
                      <w:highlight w:val="none"/>
                      <w:vertAlign w:val="superscript"/>
                      <w:lang w:val="en-US" w:eastAsia="zh-CN" w:bidi="ar-SA"/>
                    </w:rPr>
                    <w:t>3</w:t>
                  </w:r>
                  <w:r>
                    <w:rPr>
                      <w:rStyle w:val="44"/>
                      <w:rFonts w:hint="default" w:ascii="Times New Roman" w:hAnsi="Times New Roman" w:eastAsia="宋体" w:cs="Times New Roman"/>
                      <w:color w:val="auto"/>
                      <w:kern w:val="2"/>
                      <w:sz w:val="21"/>
                      <w:szCs w:val="21"/>
                      <w:lang w:val="en-US" w:eastAsia="zh-CN" w:bidi="ar-SA"/>
                    </w:rPr>
                    <w:t>）</w:t>
                  </w:r>
                  <w:r>
                    <w:rPr>
                      <w:rStyle w:val="44"/>
                      <w:rFonts w:hint="eastAsia" w:ascii="Times New Roman" w:hAnsi="Times New Roman" w:eastAsia="宋体" w:cs="Times New Roman"/>
                      <w:color w:val="auto"/>
                      <w:kern w:val="2"/>
                      <w:sz w:val="21"/>
                      <w:szCs w:val="21"/>
                      <w:lang w:val="en-US" w:eastAsia="zh-CN" w:bidi="ar-SA"/>
                    </w:rPr>
                    <w:t>沉淀后循环使用</w:t>
                  </w:r>
                  <w:r>
                    <w:rPr>
                      <w:rFonts w:hint="default" w:ascii="Times New Roman" w:hAnsi="Times New Roman" w:eastAsia="宋体" w:cs="Times New Roman"/>
                      <w:color w:val="auto"/>
                      <w:szCs w:val="21"/>
                      <w:highlight w:val="none"/>
                      <w:lang w:eastAsia="zh-CN"/>
                    </w:rPr>
                    <w:t>。</w:t>
                  </w:r>
                </w:p>
              </w:tc>
              <w:tc>
                <w:tcPr>
                  <w:tcW w:w="276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center"/>
                    <w:textAlignment w:val="auto"/>
                    <w:outlineLvl w:val="9"/>
                    <w:rPr>
                      <w:rFonts w:hint="eastAsia" w:ascii="Times New Roman" w:hAnsi="Times New Roman" w:cs="Times New Roman"/>
                      <w:color w:val="auto"/>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66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64" w:lineRule="auto"/>
                    <w:ind w:left="-122" w:leftChars="-51" w:right="-120" w:rightChars="-50"/>
                    <w:jc w:val="center"/>
                    <w:textAlignment w:val="auto"/>
                    <w:outlineLvl w:val="9"/>
                    <w:rPr>
                      <w:rFonts w:hint="eastAsia" w:ascii="Times New Roman" w:hAnsi="Times New Roman" w:cs="Times New Roman"/>
                      <w:color w:val="auto"/>
                      <w:highlight w:val="none"/>
                      <w:lang w:eastAsia="zh-CN"/>
                    </w:rPr>
                  </w:pPr>
                </w:p>
              </w:tc>
              <w:tc>
                <w:tcPr>
                  <w:tcW w:w="1405" w:type="dxa"/>
                  <w:noWrap w:val="0"/>
                  <w:vAlign w:val="center"/>
                </w:tcPr>
                <w:p>
                  <w:pPr>
                    <w:keepNext w:val="0"/>
                    <w:keepLines w:val="0"/>
                    <w:pageBreakBefore w:val="0"/>
                    <w:widowControl w:val="0"/>
                    <w:kinsoku/>
                    <w:wordWrap/>
                    <w:overflowPunct/>
                    <w:topLinePunct w:val="0"/>
                    <w:autoSpaceDE/>
                    <w:autoSpaceDN/>
                    <w:bidi w:val="0"/>
                    <w:adjustRightInd/>
                    <w:snapToGrid/>
                    <w:spacing w:line="264" w:lineRule="auto"/>
                    <w:ind w:left="-122" w:leftChars="-51" w:right="-120" w:rightChars="-50" w:firstLine="122" w:firstLineChars="51"/>
                    <w:jc w:val="center"/>
                    <w:textAlignment w:val="auto"/>
                    <w:outlineLvl w:val="9"/>
                    <w:rPr>
                      <w:rFonts w:hint="default" w:ascii="Times New Roman" w:hAnsi="Times New Roman" w:cs="Times New Roman"/>
                      <w:color w:val="auto"/>
                      <w:highlight w:val="none"/>
                    </w:rPr>
                  </w:pPr>
                  <w:r>
                    <w:rPr>
                      <w:rFonts w:hint="eastAsia" w:ascii="Times New Roman" w:hAnsi="Times New Roman" w:cs="Times New Roman"/>
                      <w:color w:val="auto"/>
                      <w:highlight w:val="none"/>
                      <w:lang w:val="en-US" w:eastAsia="zh-CN"/>
                    </w:rPr>
                    <w:t>冷却水</w:t>
                  </w:r>
                </w:p>
              </w:tc>
              <w:tc>
                <w:tcPr>
                  <w:tcW w:w="3095" w:type="dxa"/>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left"/>
                    <w:textAlignment w:val="auto"/>
                    <w:outlineLvl w:val="9"/>
                    <w:rPr>
                      <w:rFonts w:hint="eastAsia" w:ascii="Times New Roman" w:hAnsi="Times New Roman" w:cs="Times New Roman"/>
                      <w:color w:val="auto"/>
                      <w:highlight w:val="none"/>
                      <w:lang w:eastAsia="zh-CN"/>
                    </w:rPr>
                  </w:pPr>
                  <w:r>
                    <w:rPr>
                      <w:rStyle w:val="44"/>
                      <w:rFonts w:hint="eastAsia" w:ascii="Times New Roman" w:hAnsi="Times New Roman" w:eastAsia="宋体" w:cs="Times New Roman"/>
                      <w:color w:val="auto"/>
                      <w:kern w:val="2"/>
                      <w:sz w:val="21"/>
                      <w:szCs w:val="21"/>
                      <w:lang w:val="en-US" w:eastAsia="zh-CN" w:bidi="ar-SA"/>
                    </w:rPr>
                    <w:t>设置20m</w:t>
                  </w:r>
                  <w:r>
                    <w:rPr>
                      <w:rStyle w:val="44"/>
                      <w:rFonts w:hint="eastAsia" w:ascii="Times New Roman" w:hAnsi="Times New Roman" w:eastAsia="宋体" w:cs="Times New Roman"/>
                      <w:color w:val="auto"/>
                      <w:kern w:val="2"/>
                      <w:sz w:val="21"/>
                      <w:szCs w:val="21"/>
                      <w:vertAlign w:val="superscript"/>
                      <w:lang w:val="en-US" w:eastAsia="zh-CN" w:bidi="ar-SA"/>
                    </w:rPr>
                    <w:t>3</w:t>
                  </w:r>
                  <w:r>
                    <w:rPr>
                      <w:rStyle w:val="44"/>
                      <w:rFonts w:hint="eastAsia" w:ascii="Times New Roman" w:hAnsi="Times New Roman" w:eastAsia="宋体" w:cs="Times New Roman"/>
                      <w:color w:val="auto"/>
                      <w:kern w:val="2"/>
                      <w:sz w:val="21"/>
                      <w:szCs w:val="21"/>
                      <w:lang w:val="en-US" w:eastAsia="zh-CN" w:bidi="ar-SA"/>
                    </w:rPr>
                    <w:t>冷却水池，冷却水循环使用。</w:t>
                  </w:r>
                </w:p>
              </w:tc>
              <w:tc>
                <w:tcPr>
                  <w:tcW w:w="276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center"/>
                    <w:textAlignment w:val="auto"/>
                    <w:outlineLvl w:val="9"/>
                    <w:rPr>
                      <w:rFonts w:hint="eastAsia" w:ascii="Times New Roman" w:hAnsi="Times New Roman" w:cs="Times New Roman"/>
                      <w:color w:val="auto"/>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66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64" w:lineRule="auto"/>
                    <w:ind w:left="-122" w:leftChars="-51" w:right="-120" w:rightChars="-50"/>
                    <w:jc w:val="center"/>
                    <w:textAlignment w:val="auto"/>
                    <w:outlineLvl w:val="9"/>
                    <w:rPr>
                      <w:rFonts w:hint="eastAsia" w:ascii="Times New Roman" w:hAnsi="Times New Roman" w:cs="Times New Roman"/>
                      <w:color w:val="auto"/>
                      <w:highlight w:val="none"/>
                      <w:lang w:eastAsia="zh-CN"/>
                    </w:rPr>
                  </w:pPr>
                </w:p>
              </w:tc>
              <w:tc>
                <w:tcPr>
                  <w:tcW w:w="1405" w:type="dxa"/>
                  <w:noWrap w:val="0"/>
                  <w:vAlign w:val="center"/>
                </w:tcPr>
                <w:p>
                  <w:pPr>
                    <w:keepNext w:val="0"/>
                    <w:keepLines w:val="0"/>
                    <w:pageBreakBefore w:val="0"/>
                    <w:widowControl w:val="0"/>
                    <w:kinsoku/>
                    <w:wordWrap/>
                    <w:overflowPunct/>
                    <w:topLinePunct w:val="0"/>
                    <w:autoSpaceDE/>
                    <w:autoSpaceDN/>
                    <w:bidi w:val="0"/>
                    <w:adjustRightInd/>
                    <w:snapToGrid/>
                    <w:spacing w:line="264" w:lineRule="auto"/>
                    <w:ind w:left="-122" w:leftChars="-51" w:right="-120" w:rightChars="-50" w:firstLine="122" w:firstLineChars="51"/>
                    <w:jc w:val="center"/>
                    <w:textAlignment w:val="auto"/>
                    <w:outlineLvl w:val="9"/>
                    <w:rPr>
                      <w:rFonts w:hint="default" w:ascii="Times New Roman" w:hAnsi="Times New Roman" w:cs="Times New Roman"/>
                      <w:color w:val="auto"/>
                      <w:highlight w:val="none"/>
                    </w:rPr>
                  </w:pPr>
                  <w:r>
                    <w:rPr>
                      <w:rFonts w:hint="eastAsia" w:ascii="Times New Roman" w:hAnsi="Times New Roman" w:cs="Times New Roman"/>
                      <w:color w:val="auto"/>
                      <w:highlight w:val="none"/>
                      <w:lang w:val="en-US" w:eastAsia="zh-CN"/>
                    </w:rPr>
                    <w:t>水帘水</w:t>
                  </w:r>
                </w:p>
              </w:tc>
              <w:tc>
                <w:tcPr>
                  <w:tcW w:w="3095" w:type="dxa"/>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left"/>
                    <w:textAlignment w:val="auto"/>
                    <w:outlineLvl w:val="9"/>
                    <w:rPr>
                      <w:rFonts w:hint="eastAsia" w:ascii="Times New Roman" w:hAnsi="Times New Roman" w:cs="Times New Roman"/>
                      <w:color w:val="auto"/>
                      <w:highlight w:val="none"/>
                      <w:lang w:eastAsia="zh-CN"/>
                    </w:rPr>
                  </w:pPr>
                  <w:r>
                    <w:rPr>
                      <w:rStyle w:val="44"/>
                      <w:rFonts w:hint="eastAsia" w:ascii="Times New Roman" w:hAnsi="Times New Roman" w:eastAsia="宋体" w:cs="Times New Roman"/>
                      <w:kern w:val="2"/>
                      <w:sz w:val="21"/>
                      <w:szCs w:val="21"/>
                      <w:lang w:val="en-US" w:eastAsia="zh-CN" w:bidi="ar-SA"/>
                    </w:rPr>
                    <w:t>打捞浮渣（漆渣）后循环使用，一年更换一次，</w:t>
                  </w:r>
                  <w:r>
                    <w:rPr>
                      <w:rStyle w:val="44"/>
                      <w:rFonts w:hint="eastAsia" w:ascii="宋体" w:hAnsi="宋体" w:eastAsia="宋体" w:cs="Times New Roman"/>
                      <w:color w:val="auto"/>
                      <w:kern w:val="2"/>
                      <w:sz w:val="21"/>
                      <w:szCs w:val="21"/>
                      <w:lang w:val="en-US" w:eastAsia="zh-CN" w:bidi="ar-SA"/>
                    </w:rPr>
                    <w:t>排入乐山市工业集中区污水处理厂。</w:t>
                  </w:r>
                </w:p>
              </w:tc>
              <w:tc>
                <w:tcPr>
                  <w:tcW w:w="276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center"/>
                    <w:textAlignment w:val="auto"/>
                    <w:outlineLvl w:val="9"/>
                    <w:rPr>
                      <w:rFonts w:hint="eastAsia" w:ascii="Times New Roman" w:hAnsi="Times New Roman" w:cs="Times New Roman"/>
                      <w:color w:val="auto"/>
                      <w:highlight w:val="none"/>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63"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center"/>
                    <w:textAlignment w:val="auto"/>
                    <w:outlineLvl w:val="9"/>
                    <w:rPr>
                      <w:rFonts w:hint="default" w:ascii="Times New Roman" w:hAnsi="Times New Roman" w:cs="Times New Roman"/>
                      <w:color w:val="auto"/>
                      <w:highlight w:val="none"/>
                    </w:rPr>
                  </w:pPr>
                  <w:r>
                    <w:rPr>
                      <w:rFonts w:hint="default" w:ascii="Times New Roman" w:hAnsi="Times New Roman" w:cs="Times New Roman"/>
                      <w:color w:val="auto"/>
                      <w:highlight w:val="none"/>
                    </w:rPr>
                    <w:t>噪声</w:t>
                  </w:r>
                </w:p>
              </w:tc>
              <w:tc>
                <w:tcPr>
                  <w:tcW w:w="1405"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center"/>
                    <w:textAlignment w:val="auto"/>
                    <w:outlineLvl w:val="9"/>
                    <w:rPr>
                      <w:rFonts w:hint="default" w:ascii="Times New Roman" w:hAnsi="Times New Roman" w:cs="Times New Roman"/>
                      <w:color w:val="auto"/>
                      <w:highlight w:val="none"/>
                    </w:rPr>
                  </w:pPr>
                  <w:r>
                    <w:rPr>
                      <w:rFonts w:hint="default" w:ascii="Times New Roman" w:hAnsi="Times New Roman" w:cs="Times New Roman"/>
                      <w:color w:val="auto"/>
                      <w:highlight w:val="none"/>
                    </w:rPr>
                    <w:t>设备噪声</w:t>
                  </w:r>
                </w:p>
              </w:tc>
              <w:tc>
                <w:tcPr>
                  <w:tcW w:w="3095"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left"/>
                    <w:textAlignment w:val="auto"/>
                    <w:outlineLvl w:val="9"/>
                    <w:rPr>
                      <w:rFonts w:hint="eastAsia"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选用低噪声设备，安装减震垫、建筑物隔声和合理布局</w:t>
                  </w:r>
                  <w:r>
                    <w:rPr>
                      <w:rFonts w:hint="eastAsia" w:ascii="Times New Roman" w:hAnsi="Times New Roman" w:cs="Times New Roman"/>
                      <w:color w:val="auto"/>
                      <w:highlight w:val="none"/>
                      <w:lang w:eastAsia="zh-CN"/>
                    </w:rPr>
                    <w:t>。</w:t>
                  </w:r>
                </w:p>
              </w:tc>
              <w:tc>
                <w:tcPr>
                  <w:tcW w:w="2763"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center"/>
                    <w:textAlignment w:val="auto"/>
                    <w:outlineLvl w:val="9"/>
                    <w:rPr>
                      <w:rFonts w:hint="default" w:ascii="Times New Roman" w:hAnsi="Times New Roman" w:cs="Times New Roman"/>
                      <w:color w:val="auto"/>
                      <w:highlight w:val="none"/>
                    </w:rPr>
                  </w:pPr>
                  <w:r>
                    <w:rPr>
                      <w:rFonts w:hint="default" w:ascii="Times New Roman" w:hAnsi="Times New Roman" w:cs="Times New Roman"/>
                      <w:color w:val="auto"/>
                      <w:kern w:val="2"/>
                      <w:sz w:val="21"/>
                      <w:szCs w:val="21"/>
                      <w:highlight w:val="none"/>
                    </w:rPr>
                    <w:t>《工业企业厂界环境噪声排放标准》（GB12348-2008）</w:t>
                  </w:r>
                  <w:r>
                    <w:rPr>
                      <w:rFonts w:hint="eastAsia" w:ascii="Times New Roman" w:hAnsi="Times New Roman" w:cs="Times New Roman"/>
                      <w:color w:val="auto"/>
                      <w:kern w:val="2"/>
                      <w:sz w:val="21"/>
                      <w:szCs w:val="21"/>
                      <w:highlight w:val="none"/>
                      <w:lang w:val="en-US" w:eastAsia="zh-CN"/>
                    </w:rPr>
                    <w:t>3</w:t>
                  </w:r>
                  <w:r>
                    <w:rPr>
                      <w:rFonts w:hint="default" w:ascii="Times New Roman" w:hAnsi="Times New Roman" w:cs="Times New Roman"/>
                      <w:color w:val="auto"/>
                      <w:kern w:val="2"/>
                      <w:sz w:val="21"/>
                      <w:szCs w:val="21"/>
                      <w:highlight w:val="none"/>
                    </w:rPr>
                    <w:t>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66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center"/>
                    <w:textAlignment w:val="auto"/>
                    <w:outlineLvl w:val="9"/>
                    <w:rPr>
                      <w:rFonts w:hint="default" w:ascii="Times New Roman" w:hAnsi="Times New Roman" w:cs="Times New Roman"/>
                      <w:color w:val="auto"/>
                      <w:highlight w:val="none"/>
                    </w:rPr>
                  </w:pPr>
                </w:p>
              </w:tc>
              <w:tc>
                <w:tcPr>
                  <w:tcW w:w="140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center"/>
                    <w:textAlignment w:val="auto"/>
                    <w:outlineLvl w:val="9"/>
                    <w:rPr>
                      <w:rFonts w:hint="default" w:ascii="Times New Roman" w:hAnsi="Times New Roman" w:cs="Times New Roman"/>
                      <w:color w:val="auto"/>
                      <w:highlight w:val="none"/>
                    </w:rPr>
                  </w:pPr>
                </w:p>
              </w:tc>
              <w:tc>
                <w:tcPr>
                  <w:tcW w:w="309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center"/>
                    <w:textAlignment w:val="auto"/>
                    <w:outlineLvl w:val="9"/>
                    <w:rPr>
                      <w:rFonts w:hint="default" w:ascii="Times New Roman" w:hAnsi="Times New Roman" w:cs="Times New Roman"/>
                      <w:color w:val="auto"/>
                      <w:highlight w:val="none"/>
                    </w:rPr>
                  </w:pPr>
                </w:p>
              </w:tc>
              <w:tc>
                <w:tcPr>
                  <w:tcW w:w="276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center"/>
                    <w:textAlignment w:val="auto"/>
                    <w:outlineLvl w:val="9"/>
                    <w:rPr>
                      <w:rFonts w:hint="default" w:ascii="Times New Roman" w:hAnsi="Times New Roman" w:cs="Times New Roman"/>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663"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center"/>
                    <w:textAlignment w:val="auto"/>
                    <w:outlineLvl w:val="9"/>
                    <w:rPr>
                      <w:rFonts w:hint="default" w:ascii="Times New Roman" w:hAnsi="Times New Roman" w:cs="Times New Roman"/>
                      <w:color w:val="auto"/>
                      <w:highlight w:val="none"/>
                    </w:rPr>
                  </w:pPr>
                  <w:r>
                    <w:rPr>
                      <w:rFonts w:hint="default" w:ascii="Times New Roman" w:hAnsi="Times New Roman" w:cs="Times New Roman"/>
                      <w:color w:val="auto"/>
                      <w:highlight w:val="none"/>
                    </w:rPr>
                    <w:t>固废</w:t>
                  </w:r>
                </w:p>
              </w:tc>
              <w:tc>
                <w:tcPr>
                  <w:tcW w:w="1405" w:type="dxa"/>
                  <w:noWrap w:val="0"/>
                  <w:vAlign w:val="center"/>
                </w:tcPr>
                <w:p>
                  <w:pPr>
                    <w:adjustRightInd w:val="0"/>
                    <w:jc w:val="center"/>
                    <w:textAlignment w:val="baseline"/>
                    <w:rPr>
                      <w:rFonts w:hint="default" w:ascii="Times New Roman" w:hAnsi="Times New Roman" w:cs="Times New Roman"/>
                      <w:color w:val="auto"/>
                      <w:highlight w:val="none"/>
                    </w:rPr>
                  </w:pPr>
                  <w:r>
                    <w:rPr>
                      <w:bCs/>
                      <w:color w:val="auto"/>
                      <w:szCs w:val="21"/>
                      <w:highlight w:val="none"/>
                    </w:rPr>
                    <w:t>生活垃圾</w:t>
                  </w:r>
                </w:p>
              </w:tc>
              <w:tc>
                <w:tcPr>
                  <w:tcW w:w="3095" w:type="dxa"/>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left"/>
                    <w:textAlignment w:val="auto"/>
                    <w:outlineLvl w:val="9"/>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环卫部门进行统一清理</w:t>
                  </w:r>
                  <w:r>
                    <w:rPr>
                      <w:rFonts w:hint="default" w:ascii="Times New Roman" w:hAnsi="Times New Roman" w:cs="Times New Roman"/>
                      <w:color w:val="auto"/>
                      <w:highlight w:val="none"/>
                      <w:lang w:eastAsia="zh-CN"/>
                    </w:rPr>
                    <w:t>。</w:t>
                  </w:r>
                </w:p>
              </w:tc>
              <w:tc>
                <w:tcPr>
                  <w:tcW w:w="2763"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center"/>
                    <w:textAlignment w:val="auto"/>
                    <w:outlineLvl w:val="9"/>
                    <w:rPr>
                      <w:rFonts w:hint="eastAsia" w:ascii="Times New Roman" w:hAnsi="Times New Roman" w:eastAsia="宋体" w:cs="Times New Roman"/>
                      <w:color w:val="auto"/>
                      <w:highlight w:val="none"/>
                      <w:lang w:eastAsia="zh-CN"/>
                    </w:rPr>
                  </w:pPr>
                  <w:r>
                    <w:rPr>
                      <w:rFonts w:hint="default" w:ascii="Times New Roman" w:hAnsi="Times New Roman" w:cs="Times New Roman"/>
                      <w:color w:val="auto"/>
                      <w:kern w:val="2"/>
                      <w:sz w:val="21"/>
                      <w:szCs w:val="21"/>
                      <w:highlight w:val="none"/>
                      <w:lang w:eastAsia="zh-CN"/>
                    </w:rPr>
                    <w:t>按要求落实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66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center"/>
                    <w:textAlignment w:val="auto"/>
                    <w:outlineLvl w:val="9"/>
                    <w:rPr>
                      <w:rFonts w:hint="default" w:ascii="Times New Roman" w:hAnsi="Times New Roman" w:cs="Times New Roman"/>
                      <w:color w:val="auto"/>
                      <w:highlight w:val="none"/>
                    </w:rPr>
                  </w:pPr>
                </w:p>
              </w:tc>
              <w:tc>
                <w:tcPr>
                  <w:tcW w:w="1405" w:type="dxa"/>
                  <w:noWrap w:val="0"/>
                  <w:vAlign w:val="center"/>
                </w:tcPr>
                <w:p>
                  <w:pPr>
                    <w:jc w:val="center"/>
                    <w:rPr>
                      <w:rFonts w:hint="default" w:ascii="Times New Roman" w:hAnsi="Times New Roman" w:cs="Times New Roman"/>
                      <w:color w:val="auto"/>
                      <w:highlight w:val="none"/>
                    </w:rPr>
                  </w:pPr>
                  <w:r>
                    <w:rPr>
                      <w:rFonts w:hint="eastAsia" w:ascii="Times New Roman" w:hAnsi="Times New Roman" w:cs="Times New Roman"/>
                      <w:color w:val="auto"/>
                      <w:szCs w:val="21"/>
                      <w:highlight w:val="none"/>
                      <w:lang w:val="en-US" w:eastAsia="zh-CN"/>
                    </w:rPr>
                    <w:t>水池沉渣</w:t>
                  </w:r>
                </w:p>
              </w:tc>
              <w:tc>
                <w:tcPr>
                  <w:tcW w:w="3095" w:type="dxa"/>
                  <w:noWrap w:val="0"/>
                  <w:vAlign w:val="center"/>
                </w:tcPr>
                <w:p>
                  <w:pPr>
                    <w:jc w:val="left"/>
                    <w:rPr>
                      <w:rFonts w:hint="eastAsia" w:ascii="Times New Roman" w:hAnsi="Times New Roman" w:eastAsia="宋体" w:cs="Times New Roman"/>
                      <w:color w:val="auto"/>
                      <w:highlight w:val="none"/>
                      <w:lang w:val="en-US" w:eastAsia="zh-CN"/>
                    </w:rPr>
                  </w:pPr>
                  <w:r>
                    <w:rPr>
                      <w:rFonts w:hint="default" w:ascii="Times New Roman" w:hAnsi="Times New Roman" w:cs="Times New Roman"/>
                      <w:color w:val="auto"/>
                      <w:szCs w:val="21"/>
                      <w:highlight w:val="none"/>
                    </w:rPr>
                    <w:t>交由环卫部门处理</w:t>
                  </w:r>
                  <w:r>
                    <w:rPr>
                      <w:rFonts w:hint="default" w:ascii="Times New Roman" w:hAnsi="Times New Roman" w:cs="Times New Roman"/>
                      <w:color w:val="auto"/>
                      <w:szCs w:val="21"/>
                      <w:highlight w:val="none"/>
                      <w:lang w:eastAsia="zh-CN"/>
                    </w:rPr>
                    <w:t>。</w:t>
                  </w:r>
                </w:p>
              </w:tc>
              <w:tc>
                <w:tcPr>
                  <w:tcW w:w="276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center"/>
                    <w:textAlignment w:val="auto"/>
                    <w:outlineLvl w:val="9"/>
                    <w:rPr>
                      <w:rFonts w:hint="eastAsia" w:ascii="Times New Roman" w:hAnsi="Times New Roman" w:eastAsia="宋体" w:cs="Times New Roman"/>
                      <w:color w:val="auto"/>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66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center"/>
                    <w:textAlignment w:val="auto"/>
                    <w:outlineLvl w:val="9"/>
                    <w:rPr>
                      <w:rFonts w:hint="default" w:ascii="Times New Roman" w:hAnsi="Times New Roman" w:cs="Times New Roman"/>
                      <w:color w:val="auto"/>
                      <w:highlight w:val="none"/>
                    </w:rPr>
                  </w:pPr>
                </w:p>
              </w:tc>
              <w:tc>
                <w:tcPr>
                  <w:tcW w:w="1405" w:type="dxa"/>
                  <w:noWrap w:val="0"/>
                  <w:vAlign w:val="center"/>
                </w:tcPr>
                <w:p>
                  <w:pPr>
                    <w:jc w:val="center"/>
                    <w:rPr>
                      <w:rFonts w:hint="eastAsia"/>
                      <w:color w:val="auto"/>
                      <w:szCs w:val="21"/>
                      <w:highlight w:val="none"/>
                      <w:lang w:val="en-US" w:eastAsia="zh-CN"/>
                    </w:rPr>
                  </w:pPr>
                  <w:r>
                    <w:rPr>
                      <w:rFonts w:hint="default" w:ascii="Times New Roman" w:hAnsi="Times New Roman" w:cs="Times New Roman"/>
                      <w:color w:val="auto"/>
                      <w:szCs w:val="21"/>
                      <w:highlight w:val="none"/>
                      <w:lang w:eastAsia="zh-CN"/>
                    </w:rPr>
                    <w:t>边角料和不合格产品</w:t>
                  </w:r>
                </w:p>
              </w:tc>
              <w:tc>
                <w:tcPr>
                  <w:tcW w:w="3095" w:type="dxa"/>
                  <w:noWrap w:val="0"/>
                  <w:vAlign w:val="center"/>
                </w:tcPr>
                <w:p>
                  <w:pPr>
                    <w:jc w:val="left"/>
                    <w:rPr>
                      <w:rFonts w:hint="eastAsia" w:ascii="Times New Roman" w:hAnsi="Times New Roman" w:eastAsia="宋体" w:cs="Times New Roman"/>
                      <w:color w:val="auto"/>
                      <w:szCs w:val="21"/>
                      <w:highlight w:val="none"/>
                      <w:lang w:eastAsia="zh-CN"/>
                    </w:rPr>
                  </w:pPr>
                  <w:r>
                    <w:rPr>
                      <w:rFonts w:hint="eastAsia" w:ascii="Times New Roman" w:hAnsi="Times New Roman" w:cs="Times New Roman"/>
                      <w:color w:val="auto"/>
                      <w:szCs w:val="21"/>
                      <w:highlight w:val="none"/>
                      <w:lang w:val="en-US" w:eastAsia="zh-CN"/>
                    </w:rPr>
                    <w:t>收集</w:t>
                  </w:r>
                  <w:r>
                    <w:rPr>
                      <w:rFonts w:hint="eastAsia" w:ascii="Times New Roman" w:hAnsi="Times New Roman" w:cs="Times New Roman"/>
                      <w:color w:val="auto"/>
                      <w:szCs w:val="21"/>
                      <w:highlight w:val="none"/>
                      <w:lang w:eastAsia="zh-CN"/>
                    </w:rPr>
                    <w:t>外售或厂家回收</w:t>
                  </w:r>
                  <w:r>
                    <w:rPr>
                      <w:rFonts w:hint="default" w:ascii="Times New Roman" w:hAnsi="Times New Roman" w:cs="Times New Roman"/>
                      <w:color w:val="auto"/>
                      <w:szCs w:val="21"/>
                      <w:highlight w:val="none"/>
                      <w:lang w:eastAsia="zh-CN"/>
                    </w:rPr>
                    <w:t>。</w:t>
                  </w:r>
                </w:p>
              </w:tc>
              <w:tc>
                <w:tcPr>
                  <w:tcW w:w="276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center"/>
                    <w:textAlignment w:val="auto"/>
                    <w:outlineLvl w:val="9"/>
                    <w:rPr>
                      <w:rFonts w:hint="eastAsia" w:ascii="Times New Roman" w:hAnsi="Times New Roman" w:eastAsia="宋体" w:cs="Times New Roman"/>
                      <w:color w:val="auto"/>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66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center"/>
                    <w:textAlignment w:val="auto"/>
                    <w:outlineLvl w:val="9"/>
                    <w:rPr>
                      <w:rFonts w:hint="default" w:ascii="Times New Roman" w:hAnsi="Times New Roman" w:cs="Times New Roman"/>
                      <w:color w:val="auto"/>
                      <w:highlight w:val="none"/>
                    </w:rPr>
                  </w:pPr>
                </w:p>
              </w:tc>
              <w:tc>
                <w:tcPr>
                  <w:tcW w:w="1405" w:type="dxa"/>
                  <w:noWrap w:val="0"/>
                  <w:vAlign w:val="center"/>
                </w:tcPr>
                <w:p>
                  <w:pPr>
                    <w:jc w:val="center"/>
                    <w:rPr>
                      <w:rFonts w:hint="eastAsia"/>
                      <w:color w:val="auto"/>
                      <w:szCs w:val="21"/>
                      <w:highlight w:val="none"/>
                      <w:lang w:val="en-US" w:eastAsia="zh-CN"/>
                    </w:rPr>
                  </w:pPr>
                  <w:r>
                    <w:rPr>
                      <w:rFonts w:hint="eastAsia" w:ascii="Times New Roman" w:hAnsi="Times New Roman" w:cs="Times New Roman"/>
                      <w:color w:val="auto"/>
                      <w:szCs w:val="21"/>
                      <w:highlight w:val="none"/>
                      <w:lang w:val="en-US" w:eastAsia="zh-CN"/>
                    </w:rPr>
                    <w:t>包装材料</w:t>
                  </w:r>
                </w:p>
              </w:tc>
              <w:tc>
                <w:tcPr>
                  <w:tcW w:w="3095" w:type="dxa"/>
                  <w:noWrap w:val="0"/>
                  <w:vAlign w:val="center"/>
                </w:tcPr>
                <w:p>
                  <w:pPr>
                    <w:jc w:val="left"/>
                    <w:rPr>
                      <w:rFonts w:hint="eastAsia" w:ascii="Times New Roman" w:hAnsi="Times New Roman" w:eastAsia="宋体" w:cs="Times New Roman"/>
                      <w:color w:val="auto"/>
                      <w:szCs w:val="21"/>
                      <w:highlight w:val="none"/>
                      <w:lang w:eastAsia="zh-CN"/>
                    </w:rPr>
                  </w:pPr>
                  <w:r>
                    <w:rPr>
                      <w:rFonts w:hint="eastAsia" w:ascii="Times New Roman" w:hAnsi="Times New Roman" w:cs="Times New Roman"/>
                      <w:color w:val="auto"/>
                      <w:szCs w:val="21"/>
                      <w:highlight w:val="none"/>
                      <w:lang w:eastAsia="zh-CN"/>
                    </w:rPr>
                    <w:t>收集外售。</w:t>
                  </w:r>
                </w:p>
              </w:tc>
              <w:tc>
                <w:tcPr>
                  <w:tcW w:w="276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center"/>
                    <w:textAlignment w:val="auto"/>
                    <w:outlineLvl w:val="9"/>
                    <w:rPr>
                      <w:rFonts w:hint="eastAsia" w:ascii="Times New Roman" w:hAnsi="Times New Roman" w:eastAsia="宋体" w:cs="Times New Roman"/>
                      <w:color w:val="auto"/>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66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center"/>
                    <w:textAlignment w:val="auto"/>
                    <w:outlineLvl w:val="9"/>
                    <w:rPr>
                      <w:rFonts w:hint="default" w:ascii="Times New Roman" w:hAnsi="Times New Roman" w:cs="Times New Roman"/>
                      <w:color w:val="auto"/>
                      <w:highlight w:val="none"/>
                    </w:rPr>
                  </w:pPr>
                </w:p>
              </w:tc>
              <w:tc>
                <w:tcPr>
                  <w:tcW w:w="1405" w:type="dxa"/>
                  <w:noWrap w:val="0"/>
                  <w:vAlign w:val="center"/>
                </w:tcPr>
                <w:p>
                  <w:pPr>
                    <w:jc w:val="center"/>
                    <w:rPr>
                      <w:rFonts w:hint="eastAsia"/>
                      <w:color w:val="auto"/>
                      <w:szCs w:val="21"/>
                      <w:highlight w:val="none"/>
                      <w:lang w:val="en-US" w:eastAsia="zh-CN"/>
                    </w:rPr>
                  </w:pPr>
                  <w:r>
                    <w:rPr>
                      <w:rFonts w:hint="eastAsia" w:ascii="Times New Roman" w:hAnsi="Times New Roman" w:cs="Times New Roman"/>
                      <w:color w:val="auto"/>
                      <w:szCs w:val="21"/>
                      <w:highlight w:val="none"/>
                      <w:lang w:eastAsia="zh-CN"/>
                    </w:rPr>
                    <w:t>废漆料桶（油漆、稀释剂、固化剂）</w:t>
                  </w:r>
                </w:p>
              </w:tc>
              <w:tc>
                <w:tcPr>
                  <w:tcW w:w="3095"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left"/>
                    <w:textAlignment w:val="auto"/>
                    <w:outlineLvl w:val="9"/>
                    <w:rPr>
                      <w:rFonts w:hint="default"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危</w:t>
                  </w:r>
                  <w:r>
                    <w:rPr>
                      <w:rFonts w:hint="eastAsia" w:ascii="Times New Roman" w:hAnsi="Times New Roman" w:eastAsia="宋体" w:cs="Times New Roman"/>
                      <w:color w:val="auto"/>
                      <w:szCs w:val="21"/>
                      <w:highlight w:val="none"/>
                      <w:lang w:eastAsia="zh-CN"/>
                    </w:rPr>
                    <w:t>废暂存间暂存，</w:t>
                  </w:r>
                  <w:r>
                    <w:rPr>
                      <w:rFonts w:hint="eastAsia" w:ascii="Times New Roman" w:hAnsi="Times New Roman" w:eastAsia="宋体" w:cs="Times New Roman"/>
                      <w:color w:val="auto"/>
                      <w:szCs w:val="21"/>
                      <w:highlight w:val="none"/>
                      <w:lang w:val="en-US" w:eastAsia="zh-CN"/>
                    </w:rPr>
                    <w:t>交由具有相应处理资质的单位进行处置</w:t>
                  </w:r>
                  <w:r>
                    <w:rPr>
                      <w:rFonts w:hint="default" w:ascii="Times New Roman" w:hAnsi="Times New Roman" w:cs="Times New Roman"/>
                      <w:color w:val="auto"/>
                      <w:highlight w:val="none"/>
                      <w:lang w:eastAsia="zh-CN"/>
                    </w:rPr>
                    <w:t>。</w:t>
                  </w:r>
                </w:p>
              </w:tc>
              <w:tc>
                <w:tcPr>
                  <w:tcW w:w="276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center"/>
                    <w:textAlignment w:val="auto"/>
                    <w:outlineLvl w:val="9"/>
                    <w:rPr>
                      <w:rFonts w:hint="eastAsia" w:ascii="Times New Roman" w:hAnsi="Times New Roman" w:eastAsia="宋体" w:cs="Times New Roman"/>
                      <w:color w:val="auto"/>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66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center"/>
                    <w:textAlignment w:val="auto"/>
                    <w:outlineLvl w:val="9"/>
                    <w:rPr>
                      <w:rFonts w:hint="default" w:ascii="Times New Roman" w:hAnsi="Times New Roman" w:cs="Times New Roman"/>
                      <w:color w:val="auto"/>
                      <w:highlight w:val="none"/>
                    </w:rPr>
                  </w:pPr>
                </w:p>
              </w:tc>
              <w:tc>
                <w:tcPr>
                  <w:tcW w:w="1405" w:type="dxa"/>
                  <w:noWrap w:val="0"/>
                  <w:vAlign w:val="center"/>
                </w:tcPr>
                <w:p>
                  <w:pPr>
                    <w:adjustRightInd w:val="0"/>
                    <w:jc w:val="center"/>
                    <w:textAlignment w:val="baseline"/>
                    <w:rPr>
                      <w:rFonts w:hint="eastAsia"/>
                      <w:color w:val="auto"/>
                      <w:szCs w:val="21"/>
                      <w:highlight w:val="none"/>
                      <w:lang w:val="en-US" w:eastAsia="zh-CN"/>
                    </w:rPr>
                  </w:pPr>
                  <w:r>
                    <w:rPr>
                      <w:rFonts w:hint="eastAsia"/>
                      <w:color w:val="auto"/>
                      <w:szCs w:val="21"/>
                      <w:highlight w:val="none"/>
                      <w:lang w:val="en-US" w:eastAsia="zh-CN"/>
                    </w:rPr>
                    <w:t>废滤料</w:t>
                  </w:r>
                </w:p>
              </w:tc>
              <w:tc>
                <w:tcPr>
                  <w:tcW w:w="309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left"/>
                    <w:textAlignment w:val="auto"/>
                    <w:outlineLvl w:val="9"/>
                    <w:rPr>
                      <w:rFonts w:hint="eastAsia" w:ascii="Times New Roman" w:hAnsi="Times New Roman" w:eastAsia="宋体" w:cs="Times New Roman"/>
                      <w:color w:val="auto"/>
                      <w:szCs w:val="21"/>
                      <w:highlight w:val="none"/>
                      <w:lang w:eastAsia="zh-CN"/>
                    </w:rPr>
                  </w:pPr>
                </w:p>
              </w:tc>
              <w:tc>
                <w:tcPr>
                  <w:tcW w:w="276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center"/>
                    <w:textAlignment w:val="auto"/>
                    <w:outlineLvl w:val="9"/>
                    <w:rPr>
                      <w:rFonts w:hint="eastAsia" w:ascii="Times New Roman" w:hAnsi="Times New Roman" w:eastAsia="宋体" w:cs="Times New Roman"/>
                      <w:color w:val="auto"/>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66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center"/>
                    <w:textAlignment w:val="auto"/>
                    <w:outlineLvl w:val="9"/>
                    <w:rPr>
                      <w:rFonts w:hint="default" w:ascii="Times New Roman" w:hAnsi="Times New Roman" w:cs="Times New Roman"/>
                      <w:color w:val="auto"/>
                      <w:highlight w:val="none"/>
                    </w:rPr>
                  </w:pPr>
                </w:p>
              </w:tc>
              <w:tc>
                <w:tcPr>
                  <w:tcW w:w="1405" w:type="dxa"/>
                  <w:noWrap w:val="0"/>
                  <w:vAlign w:val="center"/>
                </w:tcPr>
                <w:p>
                  <w:pPr>
                    <w:adjustRightInd w:val="0"/>
                    <w:jc w:val="center"/>
                    <w:textAlignment w:val="baseline"/>
                    <w:rPr>
                      <w:rFonts w:hint="eastAsia"/>
                      <w:color w:val="auto"/>
                      <w:szCs w:val="21"/>
                      <w:highlight w:val="none"/>
                      <w:lang w:val="en-US" w:eastAsia="zh-CN"/>
                    </w:rPr>
                  </w:pPr>
                  <w:r>
                    <w:rPr>
                      <w:rFonts w:hint="eastAsia"/>
                      <w:color w:val="auto"/>
                      <w:szCs w:val="21"/>
                      <w:highlight w:val="none"/>
                      <w:lang w:val="en-US" w:eastAsia="zh-CN"/>
                    </w:rPr>
                    <w:t>漆渣</w:t>
                  </w:r>
                </w:p>
              </w:tc>
              <w:tc>
                <w:tcPr>
                  <w:tcW w:w="309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left"/>
                    <w:textAlignment w:val="auto"/>
                    <w:outlineLvl w:val="9"/>
                    <w:rPr>
                      <w:rFonts w:hint="eastAsia" w:ascii="Times New Roman" w:hAnsi="Times New Roman" w:eastAsia="宋体" w:cs="Times New Roman"/>
                      <w:color w:val="auto"/>
                      <w:szCs w:val="21"/>
                      <w:highlight w:val="none"/>
                      <w:lang w:eastAsia="zh-CN"/>
                    </w:rPr>
                  </w:pPr>
                </w:p>
              </w:tc>
              <w:tc>
                <w:tcPr>
                  <w:tcW w:w="276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center"/>
                    <w:textAlignment w:val="auto"/>
                    <w:outlineLvl w:val="9"/>
                    <w:rPr>
                      <w:rFonts w:hint="eastAsia" w:ascii="Times New Roman" w:hAnsi="Times New Roman" w:eastAsia="宋体" w:cs="Times New Roman"/>
                      <w:color w:val="auto"/>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66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center"/>
                    <w:textAlignment w:val="auto"/>
                    <w:outlineLvl w:val="9"/>
                    <w:rPr>
                      <w:rFonts w:hint="default" w:ascii="Times New Roman" w:hAnsi="Times New Roman" w:cs="Times New Roman"/>
                      <w:color w:val="auto"/>
                      <w:highlight w:val="none"/>
                    </w:rPr>
                  </w:pPr>
                </w:p>
              </w:tc>
              <w:tc>
                <w:tcPr>
                  <w:tcW w:w="1405" w:type="dxa"/>
                  <w:noWrap w:val="0"/>
                  <w:vAlign w:val="center"/>
                </w:tcPr>
                <w:p>
                  <w:pPr>
                    <w:adjustRightInd w:val="0"/>
                    <w:jc w:val="center"/>
                    <w:textAlignment w:val="baseline"/>
                    <w:rPr>
                      <w:rFonts w:hint="eastAsia"/>
                      <w:color w:val="auto"/>
                      <w:szCs w:val="21"/>
                      <w:highlight w:val="none"/>
                      <w:lang w:val="en-US" w:eastAsia="zh-CN"/>
                    </w:rPr>
                  </w:pPr>
                  <w:r>
                    <w:rPr>
                      <w:rFonts w:hint="eastAsia"/>
                      <w:color w:val="auto"/>
                      <w:szCs w:val="21"/>
                      <w:highlight w:val="none"/>
                      <w:lang w:eastAsia="zh-CN"/>
                    </w:rPr>
                    <w:t>废活性炭</w:t>
                  </w:r>
                </w:p>
              </w:tc>
              <w:tc>
                <w:tcPr>
                  <w:tcW w:w="309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left"/>
                    <w:textAlignment w:val="auto"/>
                    <w:outlineLvl w:val="9"/>
                    <w:rPr>
                      <w:rFonts w:hint="eastAsia" w:ascii="Times New Roman" w:hAnsi="Times New Roman" w:eastAsia="宋体" w:cs="Times New Roman"/>
                      <w:color w:val="auto"/>
                      <w:szCs w:val="21"/>
                      <w:highlight w:val="none"/>
                      <w:lang w:eastAsia="zh-CN"/>
                    </w:rPr>
                  </w:pPr>
                </w:p>
              </w:tc>
              <w:tc>
                <w:tcPr>
                  <w:tcW w:w="276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center"/>
                    <w:textAlignment w:val="auto"/>
                    <w:outlineLvl w:val="9"/>
                    <w:rPr>
                      <w:rFonts w:hint="eastAsia" w:ascii="Times New Roman" w:hAnsi="Times New Roman" w:eastAsia="宋体" w:cs="Times New Roman"/>
                      <w:color w:val="auto"/>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center"/>
                    <w:textAlignment w:val="auto"/>
                    <w:outlineLvl w:val="9"/>
                    <w:rPr>
                      <w:rFonts w:hint="default" w:ascii="Times New Roman" w:hAnsi="Times New Roman" w:cs="Times New Roman"/>
                      <w:color w:val="auto"/>
                      <w:highlight w:val="none"/>
                    </w:rPr>
                  </w:pPr>
                </w:p>
              </w:tc>
              <w:tc>
                <w:tcPr>
                  <w:tcW w:w="1405" w:type="dxa"/>
                  <w:noWrap w:val="0"/>
                  <w:vAlign w:val="center"/>
                </w:tcPr>
                <w:p>
                  <w:pPr>
                    <w:adjustRightInd w:val="0"/>
                    <w:jc w:val="center"/>
                    <w:textAlignment w:val="baseline"/>
                    <w:rPr>
                      <w:rFonts w:hint="default" w:ascii="Times New Roman" w:hAnsi="Times New Roman" w:eastAsia="宋体" w:cs="Times New Roman"/>
                      <w:color w:val="auto"/>
                      <w:highlight w:val="none"/>
                      <w:lang w:eastAsia="zh-CN"/>
                    </w:rPr>
                  </w:pPr>
                  <w:r>
                    <w:rPr>
                      <w:rFonts w:hint="eastAsia"/>
                      <w:color w:val="auto"/>
                      <w:szCs w:val="21"/>
                      <w:highlight w:val="none"/>
                      <w:lang w:eastAsia="zh-CN"/>
                    </w:rPr>
                    <w:t>废油桶和</w:t>
                  </w:r>
                  <w:r>
                    <w:rPr>
                      <w:color w:val="auto"/>
                      <w:szCs w:val="21"/>
                      <w:highlight w:val="none"/>
                    </w:rPr>
                    <w:t>含油棉纱手套</w:t>
                  </w:r>
                </w:p>
              </w:tc>
              <w:tc>
                <w:tcPr>
                  <w:tcW w:w="309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left"/>
                    <w:textAlignment w:val="auto"/>
                    <w:outlineLvl w:val="9"/>
                    <w:rPr>
                      <w:rFonts w:hint="default" w:ascii="Times New Roman" w:hAnsi="Times New Roman" w:eastAsia="宋体" w:cs="Times New Roman"/>
                      <w:color w:val="auto"/>
                      <w:highlight w:val="none"/>
                      <w:lang w:eastAsia="zh-CN"/>
                    </w:rPr>
                  </w:pPr>
                </w:p>
              </w:tc>
              <w:tc>
                <w:tcPr>
                  <w:tcW w:w="276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center"/>
                    <w:textAlignment w:val="auto"/>
                    <w:outlineLvl w:val="9"/>
                    <w:rPr>
                      <w:rFonts w:hint="default" w:ascii="Times New Roman" w:hAnsi="Times New Roman" w:eastAsia="宋体" w:cs="Times New Roman"/>
                      <w:color w:val="auto"/>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87" w:hRule="atLeast"/>
                <w:jc w:val="center"/>
              </w:trPr>
              <w:tc>
                <w:tcPr>
                  <w:tcW w:w="663"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center"/>
                    <w:textAlignment w:val="auto"/>
                    <w:outlineLvl w:val="9"/>
                    <w:rPr>
                      <w:rFonts w:hint="eastAsia" w:ascii="Times New Roman" w:hAnsi="Times New Roman" w:cs="Times New Roman"/>
                      <w:color w:val="auto"/>
                      <w:highlight w:val="none"/>
                      <w:lang w:eastAsia="zh-CN"/>
                    </w:rPr>
                  </w:pPr>
                  <w:r>
                    <w:rPr>
                      <w:rFonts w:hint="eastAsia" w:ascii="Times New Roman" w:hAnsi="Times New Roman" w:cs="Times New Roman"/>
                      <w:color w:val="auto"/>
                      <w:highlight w:val="none"/>
                      <w:lang w:eastAsia="zh-CN"/>
                    </w:rPr>
                    <w:t>环境</w:t>
                  </w:r>
                </w:p>
                <w:p>
                  <w:pPr>
                    <w:keepNext w:val="0"/>
                    <w:keepLines w:val="0"/>
                    <w:pageBreakBefore w:val="0"/>
                    <w:widowControl w:val="0"/>
                    <w:kinsoku/>
                    <w:wordWrap/>
                    <w:overflowPunct/>
                    <w:topLinePunct w:val="0"/>
                    <w:autoSpaceDE/>
                    <w:autoSpaceDN/>
                    <w:bidi w:val="0"/>
                    <w:adjustRightInd/>
                    <w:snapToGrid/>
                    <w:spacing w:line="264" w:lineRule="auto"/>
                    <w:jc w:val="center"/>
                    <w:textAlignment w:val="auto"/>
                    <w:outlineLvl w:val="9"/>
                    <w:rPr>
                      <w:rFonts w:hint="eastAsia" w:ascii="Times New Roman" w:hAnsi="Times New Roman" w:eastAsia="宋体" w:cs="Times New Roman"/>
                      <w:color w:val="auto"/>
                      <w:highlight w:val="none"/>
                      <w:lang w:eastAsia="zh-CN"/>
                    </w:rPr>
                  </w:pPr>
                  <w:r>
                    <w:rPr>
                      <w:rFonts w:hint="eastAsia" w:ascii="Times New Roman" w:hAnsi="Times New Roman" w:cs="Times New Roman"/>
                      <w:color w:val="auto"/>
                      <w:highlight w:val="none"/>
                      <w:lang w:eastAsia="zh-CN"/>
                    </w:rPr>
                    <w:t>风险</w:t>
                  </w:r>
                </w:p>
              </w:tc>
              <w:tc>
                <w:tcPr>
                  <w:tcW w:w="450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left"/>
                    <w:textAlignment w:val="auto"/>
                    <w:outlineLvl w:val="9"/>
                    <w:rPr>
                      <w:rFonts w:hint="default" w:ascii="Times New Roman" w:hAnsi="Times New Roman" w:cs="Times New Roman"/>
                      <w:color w:val="auto"/>
                      <w:highlight w:val="none"/>
                      <w:lang w:eastAsia="zh-CN"/>
                    </w:rPr>
                  </w:pPr>
                  <w:r>
                    <w:rPr>
                      <w:rFonts w:hint="default" w:ascii="Times New Roman" w:hAnsi="Times New Roman" w:cs="Times New Roman"/>
                      <w:color w:val="auto"/>
                      <w:szCs w:val="21"/>
                      <w:highlight w:val="none"/>
                      <w:lang w:eastAsia="zh-CN"/>
                    </w:rPr>
                    <w:t>分区防渗，危废暂存间、</w:t>
                  </w:r>
                  <w:r>
                    <w:rPr>
                      <w:rFonts w:hint="eastAsia" w:ascii="Times New Roman" w:hAnsi="Times New Roman" w:cs="Times New Roman"/>
                      <w:color w:val="auto"/>
                      <w:szCs w:val="21"/>
                      <w:highlight w:val="none"/>
                      <w:lang w:eastAsia="zh-CN"/>
                    </w:rPr>
                    <w:t>漆库房、喷漆房作</w:t>
                  </w:r>
                  <w:r>
                    <w:rPr>
                      <w:rFonts w:hint="default" w:ascii="Times New Roman" w:hAnsi="Times New Roman" w:cs="Times New Roman"/>
                      <w:color w:val="auto"/>
                      <w:szCs w:val="21"/>
                      <w:highlight w:val="none"/>
                      <w:lang w:eastAsia="zh-CN"/>
                    </w:rPr>
                    <w:t>重点防渗</w:t>
                  </w:r>
                  <w:r>
                    <w:rPr>
                      <w:rFonts w:hint="default" w:ascii="Times New Roman" w:hAnsi="Times New Roman" w:cs="Times New Roman"/>
                      <w:color w:val="auto"/>
                      <w:szCs w:val="21"/>
                      <w:highlight w:val="none"/>
                      <w:lang w:val="en-US" w:eastAsia="zh-CN"/>
                    </w:rPr>
                    <w:t>；</w:t>
                  </w:r>
                  <w:r>
                    <w:rPr>
                      <w:rFonts w:hint="eastAsia" w:ascii="Times New Roman" w:hAnsi="Times New Roman" w:cs="Times New Roman"/>
                      <w:color w:val="auto"/>
                      <w:szCs w:val="21"/>
                      <w:highlight w:val="none"/>
                      <w:lang w:val="en-US" w:eastAsia="zh-CN"/>
                    </w:rPr>
                    <w:t>循环水池、生产区进行一般防渗；其他生活办公区域进行简单防渗。</w:t>
                  </w:r>
                  <w:r>
                    <w:rPr>
                      <w:rFonts w:hint="default" w:ascii="Times New Roman" w:hAnsi="Times New Roman" w:cs="Times New Roman"/>
                      <w:color w:val="auto"/>
                      <w:szCs w:val="21"/>
                      <w:highlight w:val="none"/>
                      <w:lang w:val="en-US" w:eastAsia="zh-CN"/>
                    </w:rPr>
                    <w:t>配备灭火器等消防设施</w:t>
                  </w:r>
                  <w:r>
                    <w:rPr>
                      <w:rFonts w:hint="eastAsia" w:ascii="Times New Roman" w:hAnsi="Times New Roman" w:cs="Times New Roman"/>
                      <w:color w:val="auto"/>
                      <w:szCs w:val="21"/>
                      <w:highlight w:val="none"/>
                      <w:lang w:val="en-US" w:eastAsia="zh-CN"/>
                    </w:rPr>
                    <w:t>。</w:t>
                  </w:r>
                </w:p>
              </w:tc>
              <w:tc>
                <w:tcPr>
                  <w:tcW w:w="2763"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center"/>
                    <w:textAlignment w:val="auto"/>
                    <w:outlineLvl w:val="9"/>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按要求落实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center"/>
                    <w:textAlignment w:val="auto"/>
                    <w:outlineLvl w:val="9"/>
                    <w:rPr>
                      <w:rFonts w:hint="eastAsia" w:ascii="Times New Roman" w:hAnsi="Times New Roman" w:cs="Times New Roman"/>
                      <w:color w:val="auto"/>
                      <w:highlight w:val="none"/>
                      <w:lang w:eastAsia="zh-CN"/>
                    </w:rPr>
                  </w:pPr>
                </w:p>
              </w:tc>
              <w:tc>
                <w:tcPr>
                  <w:tcW w:w="450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left"/>
                    <w:textAlignment w:val="auto"/>
                    <w:outlineLvl w:val="9"/>
                    <w:rPr>
                      <w:rFonts w:hint="eastAsia" w:ascii="Times New Roman" w:hAnsi="Times New Roman"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设置有健全的环境管理机构，制定完善环境风险管理制度</w:t>
                  </w:r>
                  <w:r>
                    <w:rPr>
                      <w:rFonts w:hint="eastAsia" w:ascii="Times New Roman" w:hAnsi="Times New Roman" w:eastAsia="宋体" w:cs="Times New Roman"/>
                      <w:color w:val="auto"/>
                      <w:szCs w:val="21"/>
                      <w:highlight w:val="none"/>
                      <w:lang w:val="en-US" w:eastAsia="zh-CN"/>
                    </w:rPr>
                    <w:t>。</w:t>
                  </w:r>
                </w:p>
              </w:tc>
              <w:tc>
                <w:tcPr>
                  <w:tcW w:w="276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center"/>
                    <w:textAlignment w:val="auto"/>
                    <w:outlineLvl w:val="9"/>
                    <w:rPr>
                      <w:rFonts w:hint="eastAsia" w:ascii="Times New Roman" w:hAnsi="Times New Roman" w:cs="Times New Roman"/>
                      <w:color w:val="auto"/>
                      <w:highlight w:val="none"/>
                      <w:lang w:val="en-US" w:eastAsia="zh-CN"/>
                    </w:rPr>
                  </w:pPr>
                </w:p>
              </w:tc>
            </w:tr>
          </w:tbl>
          <w:p>
            <w:pPr>
              <w:autoSpaceDE w:val="0"/>
              <w:autoSpaceDN w:val="0"/>
              <w:adjustRightInd w:val="0"/>
              <w:spacing w:line="360" w:lineRule="auto"/>
              <w:ind w:firstLine="480" w:firstLineChars="200"/>
              <w:rPr>
                <w:rFonts w:hint="default" w:ascii="Times New Roman" w:hAnsi="Times New Roman" w:cs="Times New Roman"/>
                <w:color w:val="auto"/>
                <w:highlight w:val="none"/>
                <w:lang w:val="en-US" w:eastAsia="zh-CN"/>
              </w:rPr>
            </w:pPr>
          </w:p>
        </w:tc>
      </w:tr>
    </w:tbl>
    <w:p>
      <w:pPr>
        <w:pStyle w:val="52"/>
        <w:rPr>
          <w:rFonts w:hint="default"/>
          <w:color w:val="auto"/>
          <w:highlight w:val="none"/>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37"/>
        <w:jc w:val="center"/>
        <w:outlineLvl w:val="0"/>
        <w:rPr>
          <w:rFonts w:hint="default" w:ascii="Times New Roman" w:hAnsi="Times New Roman" w:eastAsia="黑体" w:cs="Times New Roman"/>
          <w:snapToGrid w:val="0"/>
          <w:color w:val="auto"/>
          <w:sz w:val="30"/>
          <w:szCs w:val="30"/>
          <w:highlight w:val="none"/>
        </w:rPr>
      </w:pPr>
      <w:r>
        <w:rPr>
          <w:rFonts w:hint="default" w:ascii="Times New Roman" w:hAnsi="Times New Roman" w:eastAsia="黑体" w:cs="Times New Roman"/>
          <w:snapToGrid w:val="0"/>
          <w:color w:val="auto"/>
          <w:sz w:val="30"/>
          <w:szCs w:val="30"/>
          <w:highlight w:val="none"/>
        </w:rPr>
        <w:t>五、</w:t>
      </w:r>
      <w:bookmarkStart w:id="171" w:name="_Hlk54167917"/>
      <w:r>
        <w:rPr>
          <w:rFonts w:hint="default" w:ascii="Times New Roman" w:hAnsi="Times New Roman" w:eastAsia="黑体" w:cs="Times New Roman"/>
          <w:snapToGrid w:val="0"/>
          <w:color w:val="auto"/>
          <w:sz w:val="30"/>
          <w:szCs w:val="30"/>
          <w:highlight w:val="none"/>
        </w:rPr>
        <w:t>环境保护措施监督检查清单</w:t>
      </w:r>
      <w:bookmarkEnd w:id="171"/>
    </w:p>
    <w:tbl>
      <w:tblPr>
        <w:tblStyle w:val="4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1566"/>
        <w:gridCol w:w="1633"/>
        <w:gridCol w:w="1924"/>
        <w:gridCol w:w="211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60" w:type="dxa"/>
            <w:tcBorders>
              <w:tl2br w:val="single" w:color="auto" w:sz="4" w:space="0"/>
            </w:tcBorders>
            <w:noWrap w:val="0"/>
            <w:vAlign w:val="top"/>
          </w:tcPr>
          <w:p>
            <w:pPr>
              <w:adjustRightInd w:val="0"/>
              <w:snapToGrid w:val="0"/>
              <w:ind w:firstLine="84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内容</w:t>
            </w:r>
          </w:p>
          <w:p>
            <w:pPr>
              <w:adjustRightInd w:val="0"/>
              <w:snapToGrid w:val="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要素</w:t>
            </w:r>
          </w:p>
        </w:tc>
        <w:tc>
          <w:tcPr>
            <w:tcW w:w="1566" w:type="dxa"/>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排放口</w:t>
            </w:r>
            <w:r>
              <w:rPr>
                <w:rFonts w:hint="eastAsia"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编号、</w:t>
            </w:r>
          </w:p>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名称</w:t>
            </w:r>
            <w:r>
              <w:rPr>
                <w:rFonts w:hint="eastAsia"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/污染源</w:t>
            </w:r>
          </w:p>
        </w:tc>
        <w:tc>
          <w:tcPr>
            <w:tcW w:w="1633" w:type="dxa"/>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污染物项目</w:t>
            </w:r>
          </w:p>
        </w:tc>
        <w:tc>
          <w:tcPr>
            <w:tcW w:w="1924" w:type="dxa"/>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环境保护措施</w:t>
            </w:r>
          </w:p>
        </w:tc>
        <w:tc>
          <w:tcPr>
            <w:tcW w:w="2117" w:type="dxa"/>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60" w:type="dxa"/>
            <w:vMerge w:val="restart"/>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大气环境</w:t>
            </w:r>
          </w:p>
        </w:tc>
        <w:tc>
          <w:tcPr>
            <w:tcW w:w="1566" w:type="dxa"/>
            <w:vMerge w:val="restart"/>
            <w:noWrap w:val="0"/>
            <w:vAlign w:val="center"/>
          </w:tcPr>
          <w:p>
            <w:pPr>
              <w:adjustRightInd w:val="0"/>
              <w:snapToGrid w:val="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DA001</w:t>
            </w:r>
          </w:p>
        </w:tc>
        <w:tc>
          <w:tcPr>
            <w:tcW w:w="1633"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VOCs</w:t>
            </w:r>
            <w:r>
              <w:rPr>
                <w:rFonts w:hint="eastAsia" w:ascii="Times New Roman" w:hAnsi="Times New Roman" w:cs="Times New Roman"/>
                <w:color w:val="auto"/>
                <w:szCs w:val="21"/>
                <w:highlight w:val="none"/>
                <w:lang w:val="en-US" w:eastAsia="zh-CN"/>
              </w:rPr>
              <w:t>（以非甲烷总烃计）</w:t>
            </w:r>
          </w:p>
        </w:tc>
        <w:tc>
          <w:tcPr>
            <w:tcW w:w="1924" w:type="dxa"/>
            <w:vMerge w:val="restart"/>
            <w:noWrap w:val="0"/>
            <w:vAlign w:val="center"/>
          </w:tcPr>
          <w:p>
            <w:pPr>
              <w:adjustRightInd w:val="0"/>
              <w:snapToGrid w:val="0"/>
              <w:jc w:val="center"/>
              <w:rPr>
                <w:rFonts w:hint="eastAsia" w:ascii="Times New Roman" w:hAnsi="Times New Roman" w:eastAsia="宋体" w:cs="Times New Roman"/>
                <w:color w:val="auto"/>
                <w:szCs w:val="21"/>
                <w:highlight w:val="none"/>
                <w:lang w:val="en-US" w:eastAsia="zh-CN"/>
              </w:rPr>
            </w:pPr>
            <w:r>
              <w:rPr>
                <w:rStyle w:val="44"/>
                <w:rFonts w:hint="default" w:ascii="Times New Roman" w:hAnsi="Times New Roman" w:eastAsia="宋体" w:cs="Times New Roman"/>
                <w:kern w:val="2"/>
                <w:sz w:val="21"/>
                <w:szCs w:val="21"/>
                <w:lang w:val="en-US" w:eastAsia="zh-CN" w:bidi="ar-SA"/>
              </w:rPr>
              <w:t>水帘柜+干式过滤+两级活性炭处理后通过1根15m排气筒（DA00</w:t>
            </w:r>
            <w:r>
              <w:rPr>
                <w:rStyle w:val="44"/>
                <w:rFonts w:hint="eastAsia" w:ascii="Times New Roman" w:hAnsi="Times New Roman" w:eastAsia="宋体" w:cs="Times New Roman"/>
                <w:kern w:val="2"/>
                <w:sz w:val="21"/>
                <w:szCs w:val="21"/>
                <w:lang w:val="en-US" w:eastAsia="zh-CN" w:bidi="ar-SA"/>
              </w:rPr>
              <w:t>1</w:t>
            </w:r>
            <w:r>
              <w:rPr>
                <w:rStyle w:val="44"/>
                <w:rFonts w:hint="default" w:ascii="Times New Roman" w:hAnsi="Times New Roman" w:eastAsia="宋体" w:cs="Times New Roman"/>
                <w:kern w:val="2"/>
                <w:sz w:val="21"/>
                <w:szCs w:val="21"/>
                <w:lang w:val="en-US" w:eastAsia="zh-CN" w:bidi="ar-SA"/>
              </w:rPr>
              <w:t>）排放。</w:t>
            </w:r>
          </w:p>
        </w:tc>
        <w:tc>
          <w:tcPr>
            <w:tcW w:w="2117" w:type="dxa"/>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eastAsia="宋体" w:cs="Times New Roman"/>
                <w:color w:val="auto"/>
                <w:highlight w:val="none"/>
                <w:lang w:val="en-US" w:eastAsia="zh-CN"/>
              </w:rPr>
              <w:t>《四川省固定污染源大气挥发性有机物排放标准》（DB51/2377-2017）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60" w:type="dxa"/>
            <w:vMerge w:val="continue"/>
            <w:noWrap w:val="0"/>
            <w:vAlign w:val="center"/>
          </w:tcPr>
          <w:p>
            <w:pPr>
              <w:adjustRightInd w:val="0"/>
              <w:snapToGrid w:val="0"/>
              <w:jc w:val="center"/>
              <w:rPr>
                <w:rFonts w:hint="default" w:ascii="Times New Roman" w:hAnsi="Times New Roman" w:cs="Times New Roman"/>
                <w:color w:val="auto"/>
                <w:szCs w:val="21"/>
                <w:highlight w:val="none"/>
              </w:rPr>
            </w:pPr>
          </w:p>
        </w:tc>
        <w:tc>
          <w:tcPr>
            <w:tcW w:w="1566" w:type="dxa"/>
            <w:vMerge w:val="continue"/>
            <w:noWrap w:val="0"/>
            <w:vAlign w:val="center"/>
          </w:tcPr>
          <w:p>
            <w:pPr>
              <w:adjustRightInd w:val="0"/>
              <w:snapToGrid w:val="0"/>
              <w:jc w:val="center"/>
              <w:rPr>
                <w:rFonts w:hint="eastAsia" w:ascii="Times New Roman" w:hAnsi="Times New Roman" w:cs="Times New Roman"/>
                <w:color w:val="auto"/>
                <w:szCs w:val="21"/>
                <w:highlight w:val="none"/>
                <w:lang w:val="en-US" w:eastAsia="zh-CN"/>
              </w:rPr>
            </w:pPr>
          </w:p>
        </w:tc>
        <w:tc>
          <w:tcPr>
            <w:tcW w:w="1633" w:type="dxa"/>
            <w:noWrap w:val="0"/>
            <w:vAlign w:val="center"/>
          </w:tcPr>
          <w:p>
            <w:pPr>
              <w:adjustRightInd w:val="0"/>
              <w:snapToGrid w:val="0"/>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颗粒物</w:t>
            </w:r>
          </w:p>
        </w:tc>
        <w:tc>
          <w:tcPr>
            <w:tcW w:w="1924" w:type="dxa"/>
            <w:vMerge w:val="continue"/>
            <w:noWrap w:val="0"/>
            <w:vAlign w:val="center"/>
          </w:tcPr>
          <w:p>
            <w:pPr>
              <w:adjustRightInd w:val="0"/>
              <w:snapToGrid w:val="0"/>
              <w:jc w:val="center"/>
              <w:rPr>
                <w:rStyle w:val="44"/>
                <w:rFonts w:hint="default" w:ascii="Times New Roman" w:hAnsi="Times New Roman" w:eastAsia="宋体" w:cs="Times New Roman"/>
                <w:kern w:val="2"/>
                <w:sz w:val="21"/>
                <w:szCs w:val="21"/>
                <w:lang w:val="en-US" w:eastAsia="zh-CN" w:bidi="ar-SA"/>
              </w:rPr>
            </w:pPr>
          </w:p>
        </w:tc>
        <w:tc>
          <w:tcPr>
            <w:tcW w:w="2117" w:type="dxa"/>
            <w:noWrap w:val="0"/>
            <w:vAlign w:val="center"/>
          </w:tcPr>
          <w:p>
            <w:pPr>
              <w:adjustRightInd w:val="0"/>
              <w:snapToGrid w:val="0"/>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《大气污染物综合排放标准》（GB16297-1996）表2排放限值要求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60" w:type="dxa"/>
            <w:vMerge w:val="continue"/>
            <w:noWrap w:val="0"/>
            <w:vAlign w:val="center"/>
          </w:tcPr>
          <w:p>
            <w:pPr>
              <w:adjustRightInd w:val="0"/>
              <w:snapToGrid w:val="0"/>
              <w:jc w:val="center"/>
              <w:rPr>
                <w:rFonts w:hint="default" w:ascii="Times New Roman" w:hAnsi="Times New Roman" w:cs="Times New Roman"/>
                <w:color w:val="auto"/>
                <w:szCs w:val="21"/>
                <w:highlight w:val="none"/>
              </w:rPr>
            </w:pPr>
          </w:p>
        </w:tc>
        <w:tc>
          <w:tcPr>
            <w:tcW w:w="1566" w:type="dxa"/>
            <w:noWrap w:val="0"/>
            <w:vAlign w:val="center"/>
          </w:tcPr>
          <w:p>
            <w:pPr>
              <w:adjustRightInd w:val="0"/>
              <w:snapToGrid w:val="0"/>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厂界</w:t>
            </w:r>
          </w:p>
        </w:tc>
        <w:tc>
          <w:tcPr>
            <w:tcW w:w="1633" w:type="dxa"/>
            <w:noWrap w:val="0"/>
            <w:vAlign w:val="center"/>
          </w:tcPr>
          <w:p>
            <w:pPr>
              <w:adjustRightInd w:val="0"/>
              <w:snapToGrid w:val="0"/>
              <w:jc w:val="center"/>
              <w:rPr>
                <w:rFonts w:hint="eastAsia"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VOCs</w:t>
            </w:r>
            <w:r>
              <w:rPr>
                <w:rFonts w:hint="eastAsia" w:ascii="Times New Roman" w:hAnsi="Times New Roman" w:cs="Times New Roman"/>
                <w:color w:val="auto"/>
                <w:szCs w:val="21"/>
                <w:highlight w:val="none"/>
                <w:lang w:val="en-US" w:eastAsia="zh-CN"/>
              </w:rPr>
              <w:t>（以非甲烷总烃计）</w:t>
            </w:r>
            <w:r>
              <w:rPr>
                <w:rFonts w:hint="eastAsia" w:ascii="Times New Roman" w:hAnsi="Times New Roman" w:eastAsia="宋体" w:cs="Times New Roman"/>
                <w:color w:val="auto"/>
                <w:szCs w:val="21"/>
                <w:highlight w:val="none"/>
                <w:lang w:val="en-US" w:eastAsia="zh-CN"/>
              </w:rPr>
              <w:t>、颗粒物</w:t>
            </w:r>
          </w:p>
        </w:tc>
        <w:tc>
          <w:tcPr>
            <w:tcW w:w="1924" w:type="dxa"/>
            <w:noWrap w:val="0"/>
            <w:vAlign w:val="center"/>
          </w:tcPr>
          <w:p>
            <w:pPr>
              <w:adjustRightInd w:val="0"/>
              <w:snapToGrid w:val="0"/>
              <w:jc w:val="center"/>
              <w:rPr>
                <w:rStyle w:val="44"/>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color w:val="auto"/>
                <w:highlight w:val="none"/>
                <w:lang w:eastAsia="zh-CN"/>
              </w:rPr>
              <w:t>无组织排放</w:t>
            </w:r>
          </w:p>
        </w:tc>
        <w:tc>
          <w:tcPr>
            <w:tcW w:w="2117" w:type="dxa"/>
            <w:noWrap w:val="0"/>
            <w:vAlign w:val="center"/>
          </w:tcPr>
          <w:p>
            <w:pPr>
              <w:adjustRightInd w:val="0"/>
              <w:snapToGrid w:val="0"/>
              <w:jc w:val="center"/>
              <w:rPr>
                <w:rFonts w:hint="default" w:ascii="Times New Roman" w:hAnsi="Times New Roman" w:cs="Times New Roman"/>
                <w:color w:val="auto"/>
                <w:highlight w:val="none"/>
              </w:rPr>
            </w:pPr>
            <w:r>
              <w:rPr>
                <w:rFonts w:hint="eastAsia" w:ascii="Times New Roman" w:hAnsi="Times New Roman" w:eastAsia="宋体" w:cs="Times New Roman"/>
                <w:color w:val="auto"/>
                <w:szCs w:val="21"/>
                <w:highlight w:val="none"/>
                <w:lang w:val="en-US" w:eastAsia="zh-CN"/>
              </w:rPr>
              <w:t>VOCs</w:t>
            </w:r>
            <w:r>
              <w:rPr>
                <w:rFonts w:hint="eastAsia" w:ascii="Times New Roman" w:hAnsi="Times New Roman" w:eastAsia="宋体" w:cs="Times New Roman"/>
                <w:color w:val="auto"/>
                <w:highlight w:val="none"/>
                <w:lang w:eastAsia="zh-CN"/>
              </w:rPr>
              <w:t>执行</w:t>
            </w:r>
            <w:r>
              <w:rPr>
                <w:rFonts w:hint="default" w:ascii="Times New Roman" w:hAnsi="Times New Roman" w:cs="Times New Roman"/>
                <w:color w:val="auto"/>
                <w:highlight w:val="none"/>
              </w:rPr>
              <w:t>《四川省固定污染源大气挥发性有机物排放标准》（DB51/2377-2017）表5排放限值要求</w:t>
            </w:r>
            <w:r>
              <w:rPr>
                <w:rFonts w:hint="eastAsia" w:ascii="Times New Roman" w:hAnsi="Times New Roman" w:cs="Times New Roman"/>
                <w:color w:val="auto"/>
                <w:highlight w:val="none"/>
                <w:lang w:eastAsia="zh-CN"/>
              </w:rPr>
              <w:t>；颗粒物执行</w:t>
            </w:r>
            <w:r>
              <w:rPr>
                <w:rFonts w:hint="default" w:ascii="Times New Roman" w:hAnsi="Times New Roman" w:cs="Times New Roman"/>
                <w:color w:val="auto"/>
                <w:highlight w:val="none"/>
              </w:rPr>
              <w:t>《大气污染物综合排放标准》（GB16297-1996）表2排放限值要求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60" w:type="dxa"/>
            <w:vMerge w:val="restart"/>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地表水环境</w:t>
            </w:r>
          </w:p>
        </w:tc>
        <w:tc>
          <w:tcPr>
            <w:tcW w:w="1566" w:type="dxa"/>
            <w:noWrap w:val="0"/>
            <w:vAlign w:val="center"/>
          </w:tcPr>
          <w:p>
            <w:pPr>
              <w:keepNext w:val="0"/>
              <w:keepLines w:val="0"/>
              <w:pageBreakBefore w:val="0"/>
              <w:widowControl w:val="0"/>
              <w:kinsoku/>
              <w:wordWrap/>
              <w:overflowPunct/>
              <w:topLinePunct w:val="0"/>
              <w:autoSpaceDE/>
              <w:autoSpaceDN/>
              <w:bidi w:val="0"/>
              <w:adjustRightInd/>
              <w:snapToGrid/>
              <w:spacing w:line="264" w:lineRule="auto"/>
              <w:ind w:left="-122" w:leftChars="-51" w:right="-120" w:rightChars="-50" w:firstLine="122" w:firstLineChars="51"/>
              <w:jc w:val="center"/>
              <w:textAlignment w:val="auto"/>
              <w:outlineLvl w:val="9"/>
              <w:rPr>
                <w:rFonts w:hint="eastAsia" w:ascii="Times New Roman" w:hAnsi="Times New Roman" w:eastAsia="宋体" w:cs="Times New Roman"/>
                <w:color w:val="auto"/>
                <w:szCs w:val="21"/>
                <w:highlight w:val="none"/>
                <w:lang w:eastAsia="zh-CN"/>
              </w:rPr>
            </w:pPr>
            <w:r>
              <w:rPr>
                <w:rFonts w:hint="default" w:ascii="Times New Roman" w:hAnsi="Times New Roman" w:cs="Times New Roman"/>
                <w:color w:val="auto"/>
                <w:highlight w:val="none"/>
              </w:rPr>
              <w:t>生活污水</w:t>
            </w:r>
          </w:p>
        </w:tc>
        <w:tc>
          <w:tcPr>
            <w:tcW w:w="1633" w:type="dxa"/>
            <w:vMerge w:val="restart"/>
            <w:noWrap w:val="0"/>
            <w:vAlign w:val="center"/>
          </w:tcPr>
          <w:p>
            <w:pPr>
              <w:adjustRightInd w:val="0"/>
              <w:snapToGrid w:val="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COD、</w:t>
            </w:r>
            <w:r>
              <w:rPr>
                <w:rFonts w:ascii="Times New Roman" w:hAnsi="Times New Roman"/>
                <w:color w:val="auto"/>
                <w:szCs w:val="22"/>
                <w:highlight w:val="none"/>
              </w:rPr>
              <w:t>NH</w:t>
            </w:r>
            <w:r>
              <w:rPr>
                <w:rFonts w:ascii="Times New Roman" w:hAnsi="Times New Roman"/>
                <w:color w:val="auto"/>
                <w:szCs w:val="22"/>
                <w:highlight w:val="none"/>
                <w:vertAlign w:val="subscript"/>
              </w:rPr>
              <w:t>3</w:t>
            </w:r>
            <w:r>
              <w:rPr>
                <w:rFonts w:ascii="Times New Roman" w:hAnsi="Times New Roman"/>
                <w:color w:val="auto"/>
                <w:szCs w:val="22"/>
                <w:highlight w:val="none"/>
              </w:rPr>
              <w:t>-N</w:t>
            </w:r>
            <w:r>
              <w:rPr>
                <w:rFonts w:hint="eastAsia" w:ascii="Times New Roman" w:hAnsi="Times New Roman"/>
                <w:color w:val="auto"/>
                <w:szCs w:val="22"/>
                <w:highlight w:val="none"/>
                <w:lang w:eastAsia="zh-CN"/>
              </w:rPr>
              <w:t>、</w:t>
            </w:r>
            <w:r>
              <w:rPr>
                <w:rFonts w:hint="eastAsia" w:ascii="Times New Roman" w:hAnsi="Times New Roman"/>
                <w:color w:val="auto"/>
                <w:szCs w:val="22"/>
                <w:highlight w:val="none"/>
                <w:lang w:val="en-US" w:eastAsia="zh-CN"/>
              </w:rPr>
              <w:t>SS</w:t>
            </w:r>
            <w:r>
              <w:rPr>
                <w:rFonts w:hint="eastAsia" w:ascii="Times New Roman" w:hAnsi="Times New Roman" w:cs="Times New Roman"/>
                <w:color w:val="auto"/>
                <w:szCs w:val="21"/>
                <w:highlight w:val="none"/>
                <w:lang w:val="en-US" w:eastAsia="zh-CN"/>
              </w:rPr>
              <w:t>等</w:t>
            </w:r>
          </w:p>
        </w:tc>
        <w:tc>
          <w:tcPr>
            <w:tcW w:w="1924" w:type="dxa"/>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left"/>
              <w:textAlignment w:val="auto"/>
              <w:outlineLvl w:val="9"/>
              <w:rPr>
                <w:rFonts w:hint="eastAsia" w:ascii="Times New Roman" w:hAnsi="Times New Roman" w:eastAsia="宋体" w:cs="Times New Roman"/>
                <w:color w:val="auto"/>
                <w:szCs w:val="21"/>
                <w:highlight w:val="none"/>
                <w:lang w:eastAsia="zh-CN"/>
              </w:rPr>
            </w:pPr>
            <w:r>
              <w:rPr>
                <w:rFonts w:hint="eastAsia" w:ascii="Times New Roman" w:hAnsi="Times New Roman" w:cs="Times New Roman"/>
                <w:color w:val="auto"/>
                <w:highlight w:val="none"/>
                <w:lang w:eastAsia="zh-CN"/>
              </w:rPr>
              <w:t>化粪池预处理后，</w:t>
            </w:r>
            <w:r>
              <w:rPr>
                <w:rStyle w:val="44"/>
                <w:rFonts w:hint="eastAsia" w:ascii="宋体" w:hAnsi="宋体" w:eastAsia="宋体" w:cs="Times New Roman"/>
                <w:color w:val="auto"/>
                <w:kern w:val="2"/>
                <w:sz w:val="21"/>
                <w:szCs w:val="21"/>
                <w:lang w:val="en-US" w:eastAsia="zh-CN" w:bidi="ar-SA"/>
              </w:rPr>
              <w:t>排入乐山市工业集中区污水处理厂。</w:t>
            </w:r>
          </w:p>
        </w:tc>
        <w:tc>
          <w:tcPr>
            <w:tcW w:w="2117" w:type="dxa"/>
            <w:vMerge w:val="restar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按要求落实</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60" w:type="dxa"/>
            <w:vMerge w:val="continue"/>
            <w:noWrap w:val="0"/>
            <w:vAlign w:val="center"/>
          </w:tcPr>
          <w:p>
            <w:pPr>
              <w:adjustRightInd w:val="0"/>
              <w:snapToGrid w:val="0"/>
              <w:jc w:val="center"/>
              <w:rPr>
                <w:rFonts w:hint="default" w:ascii="Times New Roman" w:hAnsi="Times New Roman" w:cs="Times New Roman"/>
                <w:color w:val="auto"/>
                <w:szCs w:val="21"/>
                <w:highlight w:val="none"/>
              </w:rPr>
            </w:pPr>
          </w:p>
        </w:tc>
        <w:tc>
          <w:tcPr>
            <w:tcW w:w="1566" w:type="dxa"/>
            <w:noWrap w:val="0"/>
            <w:vAlign w:val="center"/>
          </w:tcPr>
          <w:p>
            <w:pPr>
              <w:keepNext w:val="0"/>
              <w:keepLines w:val="0"/>
              <w:pageBreakBefore w:val="0"/>
              <w:widowControl w:val="0"/>
              <w:kinsoku/>
              <w:wordWrap/>
              <w:overflowPunct/>
              <w:topLinePunct w:val="0"/>
              <w:autoSpaceDE/>
              <w:autoSpaceDN/>
              <w:bidi w:val="0"/>
              <w:adjustRightInd/>
              <w:snapToGrid/>
              <w:spacing w:line="264" w:lineRule="auto"/>
              <w:ind w:left="-122" w:leftChars="-51" w:right="-120" w:rightChars="-50" w:firstLine="122" w:firstLineChars="51"/>
              <w:jc w:val="center"/>
              <w:textAlignment w:val="auto"/>
              <w:outlineLvl w:val="9"/>
              <w:rPr>
                <w:rFonts w:hint="eastAsia" w:ascii="Times New Roman" w:hAnsi="Times New Roman" w:cs="Times New Roman"/>
                <w:color w:val="auto"/>
                <w:szCs w:val="21"/>
                <w:highlight w:val="none"/>
                <w:lang w:eastAsia="zh-CN"/>
              </w:rPr>
            </w:pPr>
            <w:r>
              <w:rPr>
                <w:rFonts w:hint="eastAsia" w:ascii="Times New Roman" w:hAnsi="Times New Roman" w:cs="Times New Roman"/>
                <w:color w:val="auto"/>
                <w:highlight w:val="none"/>
                <w:lang w:val="en-US" w:eastAsia="zh-CN"/>
              </w:rPr>
              <w:t>磨边、清洗废水</w:t>
            </w:r>
          </w:p>
        </w:tc>
        <w:tc>
          <w:tcPr>
            <w:tcW w:w="1633" w:type="dxa"/>
            <w:vMerge w:val="continue"/>
            <w:noWrap w:val="0"/>
            <w:vAlign w:val="center"/>
          </w:tcPr>
          <w:p>
            <w:pPr>
              <w:adjustRightInd w:val="0"/>
              <w:snapToGrid w:val="0"/>
              <w:jc w:val="center"/>
              <w:rPr>
                <w:rFonts w:hint="eastAsia" w:ascii="Times New Roman" w:hAnsi="Times New Roman" w:cs="Times New Roman"/>
                <w:color w:val="auto"/>
                <w:szCs w:val="21"/>
                <w:highlight w:val="none"/>
                <w:lang w:val="en-US" w:eastAsia="zh-CN"/>
              </w:rPr>
            </w:pPr>
          </w:p>
        </w:tc>
        <w:tc>
          <w:tcPr>
            <w:tcW w:w="1924" w:type="dxa"/>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left"/>
              <w:textAlignment w:val="auto"/>
              <w:outlineLvl w:val="9"/>
              <w:rPr>
                <w:rFonts w:hint="eastAsia" w:ascii="Times New Roman" w:hAnsi="Times New Roman" w:cs="Times New Roman"/>
                <w:color w:val="auto"/>
                <w:highlight w:val="none"/>
                <w:lang w:eastAsia="zh-CN"/>
              </w:rPr>
            </w:pPr>
            <w:r>
              <w:rPr>
                <w:rStyle w:val="44"/>
                <w:rFonts w:hint="eastAsia" w:ascii="Times New Roman" w:hAnsi="Times New Roman" w:eastAsia="宋体" w:cs="Times New Roman"/>
                <w:color w:val="auto"/>
                <w:kern w:val="2"/>
                <w:sz w:val="21"/>
                <w:szCs w:val="21"/>
                <w:lang w:val="en-US" w:eastAsia="zh-CN" w:bidi="ar-SA"/>
              </w:rPr>
              <w:t>经循环水池</w:t>
            </w:r>
            <w:r>
              <w:rPr>
                <w:rStyle w:val="44"/>
                <w:rFonts w:hint="default" w:ascii="Times New Roman" w:hAnsi="Times New Roman" w:eastAsia="宋体" w:cs="Times New Roman"/>
                <w:color w:val="auto"/>
                <w:kern w:val="2"/>
                <w:sz w:val="21"/>
                <w:szCs w:val="21"/>
                <w:lang w:val="en-US" w:eastAsia="zh-CN" w:bidi="ar-SA"/>
              </w:rPr>
              <w:t>（</w:t>
            </w:r>
            <w:r>
              <w:rPr>
                <w:rStyle w:val="44"/>
                <w:rFonts w:hint="eastAsia" w:ascii="Times New Roman" w:hAnsi="Times New Roman" w:eastAsia="宋体" w:cs="Times New Roman"/>
                <w:color w:val="auto"/>
                <w:kern w:val="2"/>
                <w:sz w:val="21"/>
                <w:szCs w:val="21"/>
                <w:highlight w:val="none"/>
                <w:lang w:val="en-US" w:eastAsia="zh-CN" w:bidi="ar-SA"/>
              </w:rPr>
              <w:t>160</w:t>
            </w:r>
            <w:r>
              <w:rPr>
                <w:rStyle w:val="44"/>
                <w:rFonts w:hint="default" w:ascii="Times New Roman" w:hAnsi="Times New Roman" w:eastAsia="宋体" w:cs="Times New Roman"/>
                <w:color w:val="auto"/>
                <w:kern w:val="2"/>
                <w:sz w:val="21"/>
                <w:szCs w:val="21"/>
                <w:highlight w:val="none"/>
                <w:lang w:val="en-US" w:eastAsia="zh-CN" w:bidi="ar-SA"/>
              </w:rPr>
              <w:t>m</w:t>
            </w:r>
            <w:r>
              <w:rPr>
                <w:rStyle w:val="44"/>
                <w:rFonts w:hint="default" w:ascii="Times New Roman" w:hAnsi="Times New Roman" w:eastAsia="宋体" w:cs="Times New Roman"/>
                <w:color w:val="auto"/>
                <w:kern w:val="2"/>
                <w:sz w:val="21"/>
                <w:szCs w:val="21"/>
                <w:highlight w:val="none"/>
                <w:vertAlign w:val="superscript"/>
                <w:lang w:val="en-US" w:eastAsia="zh-CN" w:bidi="ar-SA"/>
              </w:rPr>
              <w:t>3</w:t>
            </w:r>
            <w:r>
              <w:rPr>
                <w:rStyle w:val="44"/>
                <w:rFonts w:hint="default" w:ascii="Times New Roman" w:hAnsi="Times New Roman" w:eastAsia="宋体" w:cs="Times New Roman"/>
                <w:color w:val="auto"/>
                <w:kern w:val="2"/>
                <w:sz w:val="21"/>
                <w:szCs w:val="21"/>
                <w:lang w:val="en-US" w:eastAsia="zh-CN" w:bidi="ar-SA"/>
              </w:rPr>
              <w:t>）</w:t>
            </w:r>
            <w:r>
              <w:rPr>
                <w:rStyle w:val="44"/>
                <w:rFonts w:hint="eastAsia" w:ascii="Times New Roman" w:hAnsi="Times New Roman" w:eastAsia="宋体" w:cs="Times New Roman"/>
                <w:color w:val="auto"/>
                <w:kern w:val="2"/>
                <w:sz w:val="21"/>
                <w:szCs w:val="21"/>
                <w:lang w:val="en-US" w:eastAsia="zh-CN" w:bidi="ar-SA"/>
              </w:rPr>
              <w:t>沉淀后循环使用</w:t>
            </w:r>
            <w:r>
              <w:rPr>
                <w:rFonts w:hint="default" w:ascii="Times New Roman" w:hAnsi="Times New Roman" w:eastAsia="宋体" w:cs="Times New Roman"/>
                <w:color w:val="auto"/>
                <w:szCs w:val="21"/>
                <w:highlight w:val="none"/>
                <w:lang w:eastAsia="zh-CN"/>
              </w:rPr>
              <w:t>。</w:t>
            </w:r>
          </w:p>
        </w:tc>
        <w:tc>
          <w:tcPr>
            <w:tcW w:w="2117" w:type="dxa"/>
            <w:vMerge w:val="continue"/>
            <w:noWrap w:val="0"/>
            <w:vAlign w:val="center"/>
          </w:tcPr>
          <w:p>
            <w:pPr>
              <w:adjustRightInd w:val="0"/>
              <w:snapToGrid w:val="0"/>
              <w:jc w:val="center"/>
              <w:rPr>
                <w:rFonts w:hint="default" w:ascii="Times New Roman" w:hAnsi="Times New Roman" w:cs="Times New Roman"/>
                <w:color w:val="auto"/>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60" w:type="dxa"/>
            <w:vMerge w:val="continue"/>
            <w:noWrap w:val="0"/>
            <w:vAlign w:val="center"/>
          </w:tcPr>
          <w:p>
            <w:pPr>
              <w:adjustRightInd w:val="0"/>
              <w:snapToGrid w:val="0"/>
              <w:jc w:val="center"/>
              <w:rPr>
                <w:rFonts w:hint="default" w:ascii="Times New Roman" w:hAnsi="Times New Roman" w:cs="Times New Roman"/>
                <w:color w:val="auto"/>
                <w:szCs w:val="21"/>
                <w:highlight w:val="none"/>
              </w:rPr>
            </w:pPr>
          </w:p>
        </w:tc>
        <w:tc>
          <w:tcPr>
            <w:tcW w:w="1566" w:type="dxa"/>
            <w:noWrap w:val="0"/>
            <w:vAlign w:val="center"/>
          </w:tcPr>
          <w:p>
            <w:pPr>
              <w:keepNext w:val="0"/>
              <w:keepLines w:val="0"/>
              <w:pageBreakBefore w:val="0"/>
              <w:widowControl w:val="0"/>
              <w:kinsoku/>
              <w:wordWrap/>
              <w:overflowPunct/>
              <w:topLinePunct w:val="0"/>
              <w:autoSpaceDE/>
              <w:autoSpaceDN/>
              <w:bidi w:val="0"/>
              <w:adjustRightInd/>
              <w:snapToGrid/>
              <w:spacing w:line="264" w:lineRule="auto"/>
              <w:ind w:left="-122" w:leftChars="-51" w:right="-120" w:rightChars="-50" w:firstLine="122" w:firstLineChars="51"/>
              <w:jc w:val="center"/>
              <w:textAlignment w:val="auto"/>
              <w:outlineLvl w:val="9"/>
              <w:rPr>
                <w:rFonts w:hint="eastAsia" w:ascii="Times New Roman" w:hAnsi="Times New Roman" w:cs="Times New Roman"/>
                <w:color w:val="auto"/>
                <w:szCs w:val="21"/>
                <w:highlight w:val="none"/>
                <w:lang w:eastAsia="zh-CN"/>
              </w:rPr>
            </w:pPr>
            <w:r>
              <w:rPr>
                <w:rFonts w:hint="eastAsia" w:ascii="Times New Roman" w:hAnsi="Times New Roman" w:cs="Times New Roman"/>
                <w:color w:val="auto"/>
                <w:highlight w:val="none"/>
                <w:lang w:val="en-US" w:eastAsia="zh-CN"/>
              </w:rPr>
              <w:t>冷却水</w:t>
            </w:r>
          </w:p>
        </w:tc>
        <w:tc>
          <w:tcPr>
            <w:tcW w:w="1633" w:type="dxa"/>
            <w:vMerge w:val="continue"/>
            <w:noWrap w:val="0"/>
            <w:vAlign w:val="center"/>
          </w:tcPr>
          <w:p>
            <w:pPr>
              <w:adjustRightInd w:val="0"/>
              <w:snapToGrid w:val="0"/>
              <w:jc w:val="center"/>
              <w:rPr>
                <w:rFonts w:hint="eastAsia" w:ascii="Times New Roman" w:hAnsi="Times New Roman" w:cs="Times New Roman"/>
                <w:color w:val="auto"/>
                <w:szCs w:val="21"/>
                <w:highlight w:val="none"/>
                <w:lang w:val="en-US" w:eastAsia="zh-CN"/>
              </w:rPr>
            </w:pPr>
          </w:p>
        </w:tc>
        <w:tc>
          <w:tcPr>
            <w:tcW w:w="1924" w:type="dxa"/>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left"/>
              <w:textAlignment w:val="auto"/>
              <w:outlineLvl w:val="9"/>
              <w:rPr>
                <w:rFonts w:hint="eastAsia" w:ascii="Times New Roman" w:hAnsi="Times New Roman" w:cs="Times New Roman"/>
                <w:color w:val="auto"/>
                <w:highlight w:val="none"/>
                <w:lang w:eastAsia="zh-CN"/>
              </w:rPr>
            </w:pPr>
            <w:r>
              <w:rPr>
                <w:rStyle w:val="44"/>
                <w:rFonts w:hint="eastAsia" w:ascii="Times New Roman" w:hAnsi="Times New Roman" w:eastAsia="宋体" w:cs="Times New Roman"/>
                <w:color w:val="auto"/>
                <w:kern w:val="2"/>
                <w:sz w:val="21"/>
                <w:szCs w:val="21"/>
                <w:lang w:val="en-US" w:eastAsia="zh-CN" w:bidi="ar-SA"/>
              </w:rPr>
              <w:t>设置20m</w:t>
            </w:r>
            <w:r>
              <w:rPr>
                <w:rStyle w:val="44"/>
                <w:rFonts w:hint="eastAsia" w:ascii="Times New Roman" w:hAnsi="Times New Roman" w:eastAsia="宋体" w:cs="Times New Roman"/>
                <w:color w:val="auto"/>
                <w:kern w:val="2"/>
                <w:sz w:val="21"/>
                <w:szCs w:val="21"/>
                <w:vertAlign w:val="superscript"/>
                <w:lang w:val="en-US" w:eastAsia="zh-CN" w:bidi="ar-SA"/>
              </w:rPr>
              <w:t>3</w:t>
            </w:r>
            <w:r>
              <w:rPr>
                <w:rStyle w:val="44"/>
                <w:rFonts w:hint="eastAsia" w:ascii="Times New Roman" w:hAnsi="Times New Roman" w:eastAsia="宋体" w:cs="Times New Roman"/>
                <w:color w:val="auto"/>
                <w:kern w:val="2"/>
                <w:sz w:val="21"/>
                <w:szCs w:val="21"/>
                <w:lang w:val="en-US" w:eastAsia="zh-CN" w:bidi="ar-SA"/>
              </w:rPr>
              <w:t>冷却水池，冷却水循环使用。</w:t>
            </w:r>
          </w:p>
        </w:tc>
        <w:tc>
          <w:tcPr>
            <w:tcW w:w="2117" w:type="dxa"/>
            <w:vMerge w:val="continue"/>
            <w:noWrap w:val="0"/>
            <w:vAlign w:val="center"/>
          </w:tcPr>
          <w:p>
            <w:pPr>
              <w:adjustRightInd w:val="0"/>
              <w:snapToGrid w:val="0"/>
              <w:jc w:val="center"/>
              <w:rPr>
                <w:rFonts w:hint="default" w:ascii="Times New Roman" w:hAnsi="Times New Roman" w:cs="Times New Roman"/>
                <w:color w:val="auto"/>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60" w:type="dxa"/>
            <w:vMerge w:val="continue"/>
            <w:noWrap w:val="0"/>
            <w:vAlign w:val="center"/>
          </w:tcPr>
          <w:p>
            <w:pPr>
              <w:adjustRightInd w:val="0"/>
              <w:snapToGrid w:val="0"/>
              <w:jc w:val="center"/>
              <w:rPr>
                <w:rFonts w:hint="default" w:ascii="Times New Roman" w:hAnsi="Times New Roman" w:cs="Times New Roman"/>
                <w:color w:val="auto"/>
                <w:szCs w:val="21"/>
                <w:highlight w:val="none"/>
              </w:rPr>
            </w:pPr>
          </w:p>
        </w:tc>
        <w:tc>
          <w:tcPr>
            <w:tcW w:w="1566" w:type="dxa"/>
            <w:noWrap w:val="0"/>
            <w:vAlign w:val="center"/>
          </w:tcPr>
          <w:p>
            <w:pPr>
              <w:keepNext w:val="0"/>
              <w:keepLines w:val="0"/>
              <w:pageBreakBefore w:val="0"/>
              <w:widowControl w:val="0"/>
              <w:kinsoku/>
              <w:wordWrap/>
              <w:overflowPunct/>
              <w:topLinePunct w:val="0"/>
              <w:autoSpaceDE/>
              <w:autoSpaceDN/>
              <w:bidi w:val="0"/>
              <w:adjustRightInd/>
              <w:snapToGrid/>
              <w:spacing w:line="264" w:lineRule="auto"/>
              <w:ind w:left="-122" w:leftChars="-51" w:right="-120" w:rightChars="-50" w:firstLine="122" w:firstLineChars="51"/>
              <w:jc w:val="center"/>
              <w:textAlignment w:val="auto"/>
              <w:outlineLvl w:val="9"/>
              <w:rPr>
                <w:rFonts w:hint="eastAsia" w:ascii="Times New Roman" w:hAnsi="Times New Roman" w:cs="Times New Roman"/>
                <w:color w:val="auto"/>
                <w:szCs w:val="21"/>
                <w:highlight w:val="none"/>
                <w:lang w:eastAsia="zh-CN"/>
              </w:rPr>
            </w:pPr>
            <w:r>
              <w:rPr>
                <w:rFonts w:hint="eastAsia" w:ascii="Times New Roman" w:hAnsi="Times New Roman" w:cs="Times New Roman"/>
                <w:color w:val="auto"/>
                <w:highlight w:val="none"/>
                <w:lang w:val="en-US" w:eastAsia="zh-CN"/>
              </w:rPr>
              <w:t>水帘水</w:t>
            </w:r>
          </w:p>
        </w:tc>
        <w:tc>
          <w:tcPr>
            <w:tcW w:w="1633" w:type="dxa"/>
            <w:vMerge w:val="continue"/>
            <w:noWrap w:val="0"/>
            <w:vAlign w:val="center"/>
          </w:tcPr>
          <w:p>
            <w:pPr>
              <w:adjustRightInd w:val="0"/>
              <w:snapToGrid w:val="0"/>
              <w:jc w:val="center"/>
              <w:rPr>
                <w:rFonts w:hint="eastAsia" w:ascii="Times New Roman" w:hAnsi="Times New Roman" w:cs="Times New Roman"/>
                <w:color w:val="auto"/>
                <w:szCs w:val="21"/>
                <w:highlight w:val="none"/>
                <w:lang w:val="en-US" w:eastAsia="zh-CN"/>
              </w:rPr>
            </w:pPr>
          </w:p>
        </w:tc>
        <w:tc>
          <w:tcPr>
            <w:tcW w:w="1924" w:type="dxa"/>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left"/>
              <w:textAlignment w:val="auto"/>
              <w:outlineLvl w:val="9"/>
              <w:rPr>
                <w:rFonts w:hint="eastAsia" w:ascii="Times New Roman" w:hAnsi="Times New Roman" w:cs="Times New Roman"/>
                <w:color w:val="auto"/>
                <w:highlight w:val="none"/>
                <w:lang w:eastAsia="zh-CN"/>
              </w:rPr>
            </w:pPr>
            <w:r>
              <w:rPr>
                <w:rStyle w:val="44"/>
                <w:rFonts w:hint="eastAsia" w:ascii="Times New Roman" w:hAnsi="Times New Roman" w:eastAsia="宋体" w:cs="Times New Roman"/>
                <w:kern w:val="2"/>
                <w:sz w:val="21"/>
                <w:szCs w:val="21"/>
                <w:lang w:val="en-US" w:eastAsia="zh-CN" w:bidi="ar-SA"/>
              </w:rPr>
              <w:t>打捞浮渣（漆渣）后循环使用，一年更换一次，</w:t>
            </w:r>
            <w:r>
              <w:rPr>
                <w:rStyle w:val="44"/>
                <w:rFonts w:hint="eastAsia" w:ascii="宋体" w:hAnsi="宋体" w:eastAsia="宋体" w:cs="Times New Roman"/>
                <w:color w:val="auto"/>
                <w:kern w:val="2"/>
                <w:sz w:val="21"/>
                <w:szCs w:val="21"/>
                <w:lang w:val="en-US" w:eastAsia="zh-CN" w:bidi="ar-SA"/>
              </w:rPr>
              <w:t>排入乐山市工业集中区污水处理厂。</w:t>
            </w:r>
          </w:p>
        </w:tc>
        <w:tc>
          <w:tcPr>
            <w:tcW w:w="2117" w:type="dxa"/>
            <w:vMerge w:val="continue"/>
            <w:noWrap w:val="0"/>
            <w:vAlign w:val="center"/>
          </w:tcPr>
          <w:p>
            <w:pPr>
              <w:adjustRightInd w:val="0"/>
              <w:snapToGrid w:val="0"/>
              <w:jc w:val="center"/>
              <w:rPr>
                <w:rFonts w:hint="default" w:ascii="Times New Roman" w:hAnsi="Times New Roman" w:cs="Times New Roman"/>
                <w:color w:val="auto"/>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60" w:type="dxa"/>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声环境</w:t>
            </w:r>
          </w:p>
        </w:tc>
        <w:tc>
          <w:tcPr>
            <w:tcW w:w="1566" w:type="dxa"/>
            <w:noWrap w:val="0"/>
            <w:vAlign w:val="center"/>
          </w:tcPr>
          <w:p>
            <w:pPr>
              <w:adjustRightInd w:val="0"/>
              <w:snapToGrid w:val="0"/>
              <w:jc w:val="center"/>
              <w:rPr>
                <w:rFonts w:hint="eastAsia" w:ascii="Times New Roman" w:hAnsi="Times New Roman" w:eastAsia="宋体" w:cs="Times New Roman"/>
                <w:color w:val="auto"/>
                <w:szCs w:val="21"/>
                <w:highlight w:val="none"/>
                <w:lang w:eastAsia="zh-CN"/>
              </w:rPr>
            </w:pPr>
            <w:r>
              <w:rPr>
                <w:rFonts w:hint="eastAsia" w:ascii="Times New Roman" w:hAnsi="Times New Roman" w:cs="Times New Roman"/>
                <w:color w:val="auto"/>
                <w:szCs w:val="21"/>
                <w:highlight w:val="none"/>
                <w:lang w:eastAsia="zh-CN"/>
              </w:rPr>
              <w:t>生产设备</w:t>
            </w:r>
          </w:p>
        </w:tc>
        <w:tc>
          <w:tcPr>
            <w:tcW w:w="1633" w:type="dxa"/>
            <w:noWrap w:val="0"/>
            <w:vAlign w:val="center"/>
          </w:tcPr>
          <w:p>
            <w:pPr>
              <w:adjustRightInd w:val="0"/>
              <w:snapToGrid w:val="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eastAsia="zh-CN"/>
              </w:rPr>
              <w:t>等效</w:t>
            </w:r>
            <w:r>
              <w:rPr>
                <w:rFonts w:hint="eastAsia" w:ascii="Times New Roman" w:hAnsi="Times New Roman" w:cs="Times New Roman"/>
                <w:color w:val="auto"/>
                <w:szCs w:val="21"/>
                <w:highlight w:val="none"/>
                <w:lang w:val="en-US" w:eastAsia="zh-CN"/>
              </w:rPr>
              <w:t>A声级</w:t>
            </w:r>
          </w:p>
        </w:tc>
        <w:tc>
          <w:tcPr>
            <w:tcW w:w="1924" w:type="dxa"/>
            <w:noWrap w:val="0"/>
            <w:vAlign w:val="center"/>
          </w:tcPr>
          <w:p>
            <w:pPr>
              <w:adjustRightInd w:val="0"/>
              <w:snapToGrid w:val="0"/>
              <w:jc w:val="center"/>
              <w:rPr>
                <w:rFonts w:hint="eastAsia" w:ascii="Times New Roman" w:hAnsi="Times New Roman" w:eastAsia="宋体" w:cs="Times New Roman"/>
                <w:color w:val="auto"/>
                <w:szCs w:val="21"/>
                <w:highlight w:val="none"/>
                <w:lang w:eastAsia="zh-CN"/>
              </w:rPr>
            </w:pPr>
            <w:r>
              <w:rPr>
                <w:rFonts w:hint="eastAsia" w:ascii="Times New Roman" w:hAnsi="Times New Roman" w:cs="Times New Roman"/>
                <w:color w:val="auto"/>
                <w:szCs w:val="21"/>
                <w:highlight w:val="none"/>
                <w:lang w:eastAsia="zh-CN"/>
              </w:rPr>
              <w:t>选用高效低噪声设备，合理平面布置，加装隔声、降噪措施等。</w:t>
            </w:r>
          </w:p>
        </w:tc>
        <w:tc>
          <w:tcPr>
            <w:tcW w:w="2117" w:type="dxa"/>
            <w:noWrap w:val="0"/>
            <w:vAlign w:val="center"/>
          </w:tcPr>
          <w:p>
            <w:pPr>
              <w:adjustRightInd w:val="0"/>
              <w:snapToGrid w:val="0"/>
              <w:jc w:val="center"/>
              <w:rPr>
                <w:rFonts w:hint="default" w:ascii="Times New Roman" w:hAnsi="Times New Roman" w:cs="Times New Roman"/>
                <w:color w:val="auto"/>
                <w:szCs w:val="21"/>
                <w:highlight w:val="none"/>
              </w:rPr>
            </w:pPr>
            <w:r>
              <w:rPr>
                <w:color w:val="auto"/>
                <w:szCs w:val="22"/>
                <w:highlight w:val="none"/>
              </w:rPr>
              <w:t>《工业企业厂界环境噪声排放标准》（GB12348-2008）</w:t>
            </w:r>
            <w:r>
              <w:rPr>
                <w:rFonts w:hint="eastAsia"/>
                <w:color w:val="auto"/>
                <w:szCs w:val="22"/>
                <w:highlight w:val="none"/>
                <w:lang w:val="en-US" w:eastAsia="zh-CN"/>
              </w:rPr>
              <w:t>3</w:t>
            </w:r>
            <w:r>
              <w:rPr>
                <w:color w:val="auto"/>
                <w:szCs w:val="22"/>
                <w:highlight w:val="none"/>
              </w:rPr>
              <w:t>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60" w:type="dxa"/>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电磁辐射</w:t>
            </w:r>
          </w:p>
        </w:tc>
        <w:tc>
          <w:tcPr>
            <w:tcW w:w="1566" w:type="dxa"/>
            <w:noWrap w:val="0"/>
            <w:vAlign w:val="center"/>
          </w:tcPr>
          <w:p>
            <w:pPr>
              <w:adjustRightInd w:val="0"/>
              <w:snapToGrid w:val="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w:t>
            </w:r>
          </w:p>
        </w:tc>
        <w:tc>
          <w:tcPr>
            <w:tcW w:w="1633" w:type="dxa"/>
            <w:noWrap w:val="0"/>
            <w:vAlign w:val="center"/>
          </w:tcPr>
          <w:p>
            <w:pPr>
              <w:adjustRightInd w:val="0"/>
              <w:snapToGrid w:val="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w:t>
            </w:r>
          </w:p>
        </w:tc>
        <w:tc>
          <w:tcPr>
            <w:tcW w:w="1924" w:type="dxa"/>
            <w:noWrap w:val="0"/>
            <w:vAlign w:val="center"/>
          </w:tcPr>
          <w:p>
            <w:pPr>
              <w:adjustRightInd w:val="0"/>
              <w:snapToGrid w:val="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w:t>
            </w:r>
          </w:p>
        </w:tc>
        <w:tc>
          <w:tcPr>
            <w:tcW w:w="2117" w:type="dxa"/>
            <w:noWrap w:val="0"/>
            <w:vAlign w:val="center"/>
          </w:tcPr>
          <w:p>
            <w:pPr>
              <w:adjustRightInd w:val="0"/>
              <w:snapToGrid w:val="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560" w:type="dxa"/>
            <w:vMerge w:val="restart"/>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固体废物</w:t>
            </w:r>
          </w:p>
        </w:tc>
        <w:tc>
          <w:tcPr>
            <w:tcW w:w="1566" w:type="dxa"/>
            <w:noWrap w:val="0"/>
            <w:vAlign w:val="center"/>
          </w:tcPr>
          <w:p>
            <w:pPr>
              <w:adjustRightInd w:val="0"/>
              <w:jc w:val="center"/>
              <w:textAlignment w:val="baseline"/>
              <w:rPr>
                <w:rFonts w:hint="eastAsia" w:ascii="Times New Roman" w:hAnsi="Times New Roman" w:cs="Times New Roman"/>
                <w:color w:val="auto"/>
                <w:szCs w:val="21"/>
                <w:highlight w:val="none"/>
                <w:lang w:eastAsia="zh-CN"/>
              </w:rPr>
            </w:pPr>
            <w:r>
              <w:rPr>
                <w:bCs/>
                <w:color w:val="auto"/>
                <w:szCs w:val="21"/>
                <w:highlight w:val="none"/>
              </w:rPr>
              <w:t>生活垃圾</w:t>
            </w:r>
          </w:p>
        </w:tc>
        <w:tc>
          <w:tcPr>
            <w:tcW w:w="5674"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264" w:lineRule="auto"/>
              <w:jc w:val="left"/>
              <w:textAlignment w:val="auto"/>
              <w:outlineLvl w:val="9"/>
              <w:rPr>
                <w:rFonts w:hint="default" w:ascii="Times New Roman" w:hAnsi="Times New Roman" w:cs="Times New Roman"/>
                <w:color w:val="auto"/>
                <w:szCs w:val="21"/>
                <w:highlight w:val="none"/>
                <w:lang w:eastAsia="zh-CN"/>
              </w:rPr>
            </w:pPr>
            <w:r>
              <w:rPr>
                <w:rFonts w:hint="default" w:ascii="Times New Roman" w:hAnsi="Times New Roman" w:cs="Times New Roman"/>
                <w:color w:val="auto"/>
                <w:highlight w:val="none"/>
              </w:rPr>
              <w:t>环卫部门进行统一清理</w:t>
            </w:r>
            <w:r>
              <w:rPr>
                <w:rFonts w:hint="default" w:ascii="Times New Roman" w:hAnsi="Times New Roman" w:cs="Times New Roman"/>
                <w:color w:val="auto"/>
                <w:highlight w:val="none"/>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560" w:type="dxa"/>
            <w:vMerge w:val="continue"/>
            <w:noWrap w:val="0"/>
            <w:vAlign w:val="center"/>
          </w:tcPr>
          <w:p>
            <w:pPr>
              <w:adjustRightInd w:val="0"/>
              <w:snapToGrid w:val="0"/>
              <w:jc w:val="center"/>
              <w:rPr>
                <w:rFonts w:hint="default" w:ascii="Times New Roman" w:hAnsi="Times New Roman" w:cs="Times New Roman"/>
                <w:color w:val="auto"/>
                <w:szCs w:val="21"/>
                <w:highlight w:val="none"/>
              </w:rPr>
            </w:pPr>
          </w:p>
        </w:tc>
        <w:tc>
          <w:tcPr>
            <w:tcW w:w="1566" w:type="dxa"/>
            <w:noWrap w:val="0"/>
            <w:vAlign w:val="center"/>
          </w:tcPr>
          <w:p>
            <w:pPr>
              <w:jc w:val="center"/>
              <w:rPr>
                <w:rFonts w:hint="eastAsia" w:ascii="Times New Roman" w:hAnsi="Times New Roman" w:cs="Times New Roman"/>
                <w:color w:val="auto"/>
                <w:szCs w:val="21"/>
                <w:highlight w:val="none"/>
                <w:lang w:eastAsia="zh-CN"/>
              </w:rPr>
            </w:pPr>
            <w:r>
              <w:rPr>
                <w:rFonts w:hint="eastAsia" w:ascii="Times New Roman" w:hAnsi="Times New Roman" w:cs="Times New Roman"/>
                <w:color w:val="auto"/>
                <w:szCs w:val="21"/>
                <w:highlight w:val="none"/>
                <w:lang w:val="en-US" w:eastAsia="zh-CN"/>
              </w:rPr>
              <w:t>水池沉渣</w:t>
            </w:r>
          </w:p>
        </w:tc>
        <w:tc>
          <w:tcPr>
            <w:tcW w:w="5674" w:type="dxa"/>
            <w:gridSpan w:val="3"/>
            <w:noWrap w:val="0"/>
            <w:vAlign w:val="center"/>
          </w:tcPr>
          <w:p>
            <w:pPr>
              <w:jc w:val="left"/>
              <w:rPr>
                <w:rFonts w:hint="eastAsia" w:ascii="Times New Roman" w:hAnsi="Times New Roman" w:cs="Times New Roman"/>
                <w:color w:val="auto"/>
                <w:szCs w:val="21"/>
                <w:highlight w:val="none"/>
                <w:lang w:eastAsia="zh-CN"/>
              </w:rPr>
            </w:pPr>
            <w:r>
              <w:rPr>
                <w:rFonts w:hint="default" w:ascii="Times New Roman" w:hAnsi="Times New Roman" w:cs="Times New Roman"/>
                <w:color w:val="auto"/>
                <w:szCs w:val="21"/>
                <w:highlight w:val="none"/>
              </w:rPr>
              <w:t>交由环卫部门处理</w:t>
            </w:r>
            <w:r>
              <w:rPr>
                <w:rFonts w:hint="default" w:ascii="Times New Roman" w:hAnsi="Times New Roman" w:cs="Times New Roman"/>
                <w:color w:val="auto"/>
                <w:szCs w:val="21"/>
                <w:highlight w:val="none"/>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560" w:type="dxa"/>
            <w:vMerge w:val="continue"/>
            <w:noWrap w:val="0"/>
            <w:vAlign w:val="center"/>
          </w:tcPr>
          <w:p>
            <w:pPr>
              <w:adjustRightInd w:val="0"/>
              <w:snapToGrid w:val="0"/>
              <w:jc w:val="center"/>
              <w:rPr>
                <w:rFonts w:hint="default" w:ascii="Times New Roman" w:hAnsi="Times New Roman" w:cs="Times New Roman"/>
                <w:color w:val="auto"/>
                <w:szCs w:val="21"/>
                <w:highlight w:val="none"/>
              </w:rPr>
            </w:pPr>
          </w:p>
        </w:tc>
        <w:tc>
          <w:tcPr>
            <w:tcW w:w="1566" w:type="dxa"/>
            <w:noWrap w:val="0"/>
            <w:vAlign w:val="center"/>
          </w:tcPr>
          <w:p>
            <w:pPr>
              <w:jc w:val="center"/>
              <w:rPr>
                <w:rFonts w:hint="eastAsia"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eastAsia="zh-CN"/>
              </w:rPr>
              <w:t>边角料和不合格产品</w:t>
            </w:r>
          </w:p>
        </w:tc>
        <w:tc>
          <w:tcPr>
            <w:tcW w:w="5674" w:type="dxa"/>
            <w:gridSpan w:val="3"/>
            <w:noWrap w:val="0"/>
            <w:vAlign w:val="center"/>
          </w:tcPr>
          <w:p>
            <w:pPr>
              <w:jc w:val="left"/>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收集</w:t>
            </w:r>
            <w:r>
              <w:rPr>
                <w:rFonts w:hint="eastAsia" w:ascii="Times New Roman" w:hAnsi="Times New Roman" w:cs="Times New Roman"/>
                <w:color w:val="auto"/>
                <w:szCs w:val="21"/>
                <w:highlight w:val="none"/>
                <w:lang w:eastAsia="zh-CN"/>
              </w:rPr>
              <w:t>外售或厂家回收</w:t>
            </w:r>
            <w:r>
              <w:rPr>
                <w:rFonts w:hint="default" w:ascii="Times New Roman" w:hAnsi="Times New Roman" w:cs="Times New Roman"/>
                <w:color w:val="auto"/>
                <w:szCs w:val="21"/>
                <w:highlight w:val="none"/>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560" w:type="dxa"/>
            <w:vMerge w:val="continue"/>
            <w:noWrap w:val="0"/>
            <w:vAlign w:val="center"/>
          </w:tcPr>
          <w:p>
            <w:pPr>
              <w:adjustRightInd w:val="0"/>
              <w:snapToGrid w:val="0"/>
              <w:jc w:val="center"/>
              <w:rPr>
                <w:rFonts w:hint="default" w:ascii="Times New Roman" w:hAnsi="Times New Roman" w:cs="Times New Roman"/>
                <w:color w:val="auto"/>
                <w:szCs w:val="21"/>
                <w:highlight w:val="none"/>
              </w:rPr>
            </w:pPr>
          </w:p>
        </w:tc>
        <w:tc>
          <w:tcPr>
            <w:tcW w:w="1566" w:type="dxa"/>
            <w:noWrap w:val="0"/>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包装材料</w:t>
            </w:r>
          </w:p>
        </w:tc>
        <w:tc>
          <w:tcPr>
            <w:tcW w:w="5674" w:type="dxa"/>
            <w:gridSpan w:val="3"/>
            <w:noWrap w:val="0"/>
            <w:vAlign w:val="center"/>
          </w:tcPr>
          <w:p>
            <w:pPr>
              <w:jc w:val="left"/>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eastAsia="zh-CN"/>
              </w:rPr>
              <w:t>收集外售。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560" w:type="dxa"/>
            <w:vMerge w:val="continue"/>
            <w:noWrap w:val="0"/>
            <w:vAlign w:val="center"/>
          </w:tcPr>
          <w:p>
            <w:pPr>
              <w:adjustRightInd w:val="0"/>
              <w:snapToGrid w:val="0"/>
              <w:jc w:val="center"/>
              <w:rPr>
                <w:rFonts w:hint="default" w:ascii="Times New Roman" w:hAnsi="Times New Roman" w:cs="Times New Roman"/>
                <w:color w:val="auto"/>
                <w:szCs w:val="21"/>
                <w:highlight w:val="none"/>
              </w:rPr>
            </w:pPr>
          </w:p>
        </w:tc>
        <w:tc>
          <w:tcPr>
            <w:tcW w:w="1566" w:type="dxa"/>
            <w:noWrap w:val="0"/>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eastAsia="zh-CN"/>
              </w:rPr>
              <w:t>废漆料桶（油漆、稀释剂、固化剂）</w:t>
            </w:r>
          </w:p>
        </w:tc>
        <w:tc>
          <w:tcPr>
            <w:tcW w:w="5674" w:type="dxa"/>
            <w:gridSpan w:val="3"/>
            <w:vMerge w:val="restart"/>
            <w:noWrap w:val="0"/>
            <w:vAlign w:val="center"/>
          </w:tcPr>
          <w:p>
            <w:pPr>
              <w:jc w:val="center"/>
              <w:rPr>
                <w:rFonts w:hint="eastAsia" w:ascii="Times New Roman" w:hAnsi="Times New Roman" w:cs="Times New Roman"/>
                <w:color w:val="auto"/>
                <w:szCs w:val="21"/>
                <w:highlight w:val="none"/>
                <w:lang w:val="en-US" w:eastAsia="zh-CN"/>
              </w:rPr>
            </w:pPr>
            <w:r>
              <w:rPr>
                <w:rFonts w:hint="eastAsia" w:ascii="Times New Roman" w:hAnsi="Times New Roman" w:eastAsia="宋体" w:cs="Times New Roman"/>
                <w:color w:val="auto"/>
                <w:highlight w:val="none"/>
                <w:lang w:eastAsia="zh-CN"/>
              </w:rPr>
              <w:t>危废暂存</w:t>
            </w:r>
            <w:r>
              <w:rPr>
                <w:rFonts w:hint="eastAsia" w:ascii="Times New Roman" w:hAnsi="Times New Roman" w:eastAsia="宋体" w:cs="Times New Roman"/>
                <w:color w:val="auto"/>
                <w:szCs w:val="21"/>
                <w:highlight w:val="none"/>
                <w:lang w:eastAsia="zh-CN"/>
              </w:rPr>
              <w:t>间暂存，</w:t>
            </w:r>
            <w:r>
              <w:rPr>
                <w:rFonts w:hint="eastAsia" w:ascii="Times New Roman" w:hAnsi="Times New Roman" w:eastAsia="宋体" w:cs="Times New Roman"/>
                <w:color w:val="auto"/>
                <w:szCs w:val="21"/>
                <w:highlight w:val="none"/>
                <w:lang w:val="en-US" w:eastAsia="zh-CN"/>
              </w:rPr>
              <w:t>交由具有相应处理资质的单位进行处置</w:t>
            </w:r>
            <w:r>
              <w:rPr>
                <w:rFonts w:hint="default" w:ascii="Times New Roman" w:hAnsi="Times New Roman" w:eastAsia="宋体" w:cs="Times New Roman"/>
                <w:color w:val="auto"/>
                <w:szCs w:val="21"/>
                <w:highlight w:val="none"/>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560" w:type="dxa"/>
            <w:vMerge w:val="continue"/>
            <w:noWrap w:val="0"/>
            <w:vAlign w:val="center"/>
          </w:tcPr>
          <w:p>
            <w:pPr>
              <w:adjustRightInd w:val="0"/>
              <w:snapToGrid w:val="0"/>
              <w:jc w:val="center"/>
              <w:rPr>
                <w:rFonts w:hint="default" w:ascii="Times New Roman" w:hAnsi="Times New Roman" w:cs="Times New Roman"/>
                <w:color w:val="auto"/>
                <w:szCs w:val="21"/>
                <w:highlight w:val="none"/>
              </w:rPr>
            </w:pPr>
          </w:p>
        </w:tc>
        <w:tc>
          <w:tcPr>
            <w:tcW w:w="1566" w:type="dxa"/>
            <w:noWrap w:val="0"/>
            <w:vAlign w:val="center"/>
          </w:tcPr>
          <w:p>
            <w:pPr>
              <w:adjustRightInd w:val="0"/>
              <w:jc w:val="center"/>
              <w:textAlignment w:val="baseline"/>
              <w:rPr>
                <w:rFonts w:hint="eastAsia" w:ascii="Times New Roman" w:hAnsi="Times New Roman" w:eastAsia="宋体" w:cs="Times New Roman"/>
                <w:color w:val="auto"/>
                <w:szCs w:val="21"/>
                <w:highlight w:val="none"/>
                <w:lang w:eastAsia="zh-CN"/>
              </w:rPr>
            </w:pPr>
            <w:r>
              <w:rPr>
                <w:rFonts w:hint="eastAsia"/>
                <w:color w:val="auto"/>
                <w:szCs w:val="21"/>
                <w:highlight w:val="none"/>
                <w:lang w:val="en-US" w:eastAsia="zh-CN"/>
              </w:rPr>
              <w:t>废滤料</w:t>
            </w:r>
          </w:p>
        </w:tc>
        <w:tc>
          <w:tcPr>
            <w:tcW w:w="5674" w:type="dxa"/>
            <w:gridSpan w:val="3"/>
            <w:vMerge w:val="continue"/>
            <w:noWrap w:val="0"/>
            <w:vAlign w:val="center"/>
          </w:tcPr>
          <w:p>
            <w:pPr>
              <w:jc w:val="center"/>
              <w:rPr>
                <w:rFonts w:hint="eastAsia" w:ascii="Times New Roman" w:hAnsi="Times New Roman" w:eastAsia="宋体" w:cs="Times New Roman"/>
                <w:color w:val="auto"/>
                <w:szCs w:val="21"/>
                <w:highlight w:val="none"/>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560" w:type="dxa"/>
            <w:vMerge w:val="continue"/>
            <w:noWrap w:val="0"/>
            <w:vAlign w:val="center"/>
          </w:tcPr>
          <w:p>
            <w:pPr>
              <w:adjustRightInd w:val="0"/>
              <w:snapToGrid w:val="0"/>
              <w:jc w:val="center"/>
              <w:rPr>
                <w:rFonts w:hint="default" w:ascii="Times New Roman" w:hAnsi="Times New Roman" w:cs="Times New Roman"/>
                <w:color w:val="auto"/>
                <w:szCs w:val="21"/>
                <w:highlight w:val="none"/>
              </w:rPr>
            </w:pPr>
          </w:p>
        </w:tc>
        <w:tc>
          <w:tcPr>
            <w:tcW w:w="1566" w:type="dxa"/>
            <w:noWrap w:val="0"/>
            <w:vAlign w:val="center"/>
          </w:tcPr>
          <w:p>
            <w:pPr>
              <w:adjustRightInd w:val="0"/>
              <w:jc w:val="center"/>
              <w:textAlignment w:val="baseline"/>
              <w:rPr>
                <w:rFonts w:hint="eastAsia" w:ascii="Times New Roman" w:hAnsi="Times New Roman" w:eastAsia="宋体" w:cs="Times New Roman"/>
                <w:color w:val="auto"/>
                <w:szCs w:val="21"/>
                <w:highlight w:val="none"/>
                <w:lang w:eastAsia="zh-CN"/>
              </w:rPr>
            </w:pPr>
            <w:r>
              <w:rPr>
                <w:rFonts w:hint="eastAsia"/>
                <w:color w:val="auto"/>
                <w:szCs w:val="21"/>
                <w:highlight w:val="none"/>
                <w:lang w:val="en-US" w:eastAsia="zh-CN"/>
              </w:rPr>
              <w:t>漆渣</w:t>
            </w:r>
          </w:p>
        </w:tc>
        <w:tc>
          <w:tcPr>
            <w:tcW w:w="5674" w:type="dxa"/>
            <w:gridSpan w:val="3"/>
            <w:vMerge w:val="continue"/>
            <w:noWrap w:val="0"/>
            <w:vAlign w:val="center"/>
          </w:tcPr>
          <w:p>
            <w:pPr>
              <w:jc w:val="center"/>
              <w:rPr>
                <w:rFonts w:hint="eastAsia" w:ascii="Times New Roman" w:hAnsi="Times New Roman" w:eastAsia="宋体" w:cs="Times New Roman"/>
                <w:color w:val="auto"/>
                <w:szCs w:val="21"/>
                <w:highlight w:val="none"/>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1560" w:type="dxa"/>
            <w:vMerge w:val="continue"/>
            <w:noWrap w:val="0"/>
            <w:vAlign w:val="center"/>
          </w:tcPr>
          <w:p>
            <w:pPr>
              <w:adjustRightInd w:val="0"/>
              <w:snapToGrid w:val="0"/>
              <w:jc w:val="center"/>
              <w:rPr>
                <w:rFonts w:hint="default" w:ascii="Times New Roman" w:hAnsi="Times New Roman" w:cs="Times New Roman"/>
                <w:color w:val="auto"/>
                <w:szCs w:val="21"/>
                <w:highlight w:val="none"/>
              </w:rPr>
            </w:pPr>
          </w:p>
        </w:tc>
        <w:tc>
          <w:tcPr>
            <w:tcW w:w="1566" w:type="dxa"/>
            <w:noWrap w:val="0"/>
            <w:vAlign w:val="center"/>
          </w:tcPr>
          <w:p>
            <w:pPr>
              <w:adjustRightInd w:val="0"/>
              <w:jc w:val="center"/>
              <w:textAlignment w:val="baseline"/>
              <w:rPr>
                <w:rFonts w:hint="eastAsia" w:ascii="Times New Roman" w:hAnsi="Times New Roman" w:cs="Times New Roman"/>
                <w:color w:val="auto"/>
                <w:szCs w:val="21"/>
                <w:highlight w:val="none"/>
                <w:lang w:eastAsia="zh-CN"/>
              </w:rPr>
            </w:pPr>
            <w:r>
              <w:rPr>
                <w:rFonts w:hint="eastAsia"/>
                <w:color w:val="auto"/>
                <w:szCs w:val="21"/>
                <w:highlight w:val="none"/>
                <w:lang w:eastAsia="zh-CN"/>
              </w:rPr>
              <w:t>废活性炭</w:t>
            </w:r>
          </w:p>
        </w:tc>
        <w:tc>
          <w:tcPr>
            <w:tcW w:w="5674" w:type="dxa"/>
            <w:gridSpan w:val="3"/>
            <w:vMerge w:val="continue"/>
            <w:noWrap w:val="0"/>
            <w:vAlign w:val="center"/>
          </w:tcPr>
          <w:p>
            <w:pPr>
              <w:jc w:val="center"/>
              <w:rPr>
                <w:rFonts w:hint="eastAsia" w:ascii="Times New Roman" w:hAnsi="Times New Roman" w:cs="Times New Roman"/>
                <w:color w:val="auto"/>
                <w:szCs w:val="21"/>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1560" w:type="dxa"/>
            <w:vMerge w:val="continue"/>
            <w:noWrap w:val="0"/>
            <w:vAlign w:val="center"/>
          </w:tcPr>
          <w:p>
            <w:pPr>
              <w:adjustRightInd w:val="0"/>
              <w:snapToGrid w:val="0"/>
              <w:jc w:val="center"/>
              <w:rPr>
                <w:rFonts w:hint="default" w:ascii="Times New Roman" w:hAnsi="Times New Roman" w:cs="Times New Roman"/>
                <w:color w:val="auto"/>
                <w:szCs w:val="21"/>
                <w:highlight w:val="none"/>
              </w:rPr>
            </w:pPr>
          </w:p>
        </w:tc>
        <w:tc>
          <w:tcPr>
            <w:tcW w:w="1566" w:type="dxa"/>
            <w:noWrap w:val="0"/>
            <w:vAlign w:val="center"/>
          </w:tcPr>
          <w:p>
            <w:pPr>
              <w:adjustRightInd w:val="0"/>
              <w:jc w:val="center"/>
              <w:textAlignment w:val="baseline"/>
              <w:rPr>
                <w:rFonts w:hint="eastAsia" w:ascii="Times New Roman" w:hAnsi="Times New Roman" w:cs="Times New Roman"/>
                <w:color w:val="auto"/>
                <w:szCs w:val="21"/>
                <w:highlight w:val="none"/>
                <w:lang w:eastAsia="zh-CN"/>
              </w:rPr>
            </w:pPr>
            <w:r>
              <w:rPr>
                <w:rFonts w:hint="eastAsia"/>
                <w:color w:val="auto"/>
                <w:szCs w:val="21"/>
                <w:highlight w:val="none"/>
                <w:lang w:eastAsia="zh-CN"/>
              </w:rPr>
              <w:t>废油桶和</w:t>
            </w:r>
            <w:r>
              <w:rPr>
                <w:color w:val="auto"/>
                <w:szCs w:val="21"/>
                <w:highlight w:val="none"/>
              </w:rPr>
              <w:t>含油棉纱手套</w:t>
            </w:r>
          </w:p>
        </w:tc>
        <w:tc>
          <w:tcPr>
            <w:tcW w:w="5674" w:type="dxa"/>
            <w:gridSpan w:val="3"/>
            <w:vMerge w:val="continue"/>
            <w:noWrap w:val="0"/>
            <w:vAlign w:val="center"/>
          </w:tcPr>
          <w:p>
            <w:pPr>
              <w:jc w:val="center"/>
              <w:rPr>
                <w:rFonts w:hint="eastAsia" w:ascii="Times New Roman" w:hAnsi="Times New Roman" w:cs="Times New Roman"/>
                <w:color w:val="auto"/>
                <w:szCs w:val="21"/>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560" w:type="dxa"/>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土壤及地下水</w:t>
            </w:r>
          </w:p>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污染防治措施</w:t>
            </w:r>
          </w:p>
        </w:tc>
        <w:tc>
          <w:tcPr>
            <w:tcW w:w="7240" w:type="dxa"/>
            <w:gridSpan w:val="4"/>
            <w:noWrap w:val="0"/>
            <w:vAlign w:val="center"/>
          </w:tcPr>
          <w:p>
            <w:pPr>
              <w:adjustRightInd w:val="0"/>
              <w:snapToGrid w:val="0"/>
              <w:jc w:val="center"/>
              <w:rPr>
                <w:rFonts w:hint="eastAsia" w:ascii="Times New Roman" w:hAnsi="Times New Roman" w:eastAsia="宋体" w:cs="Times New Roman"/>
                <w:color w:val="auto"/>
                <w:szCs w:val="21"/>
                <w:highlight w:val="none"/>
                <w:lang w:eastAsia="zh-CN"/>
              </w:rPr>
            </w:pPr>
            <w:r>
              <w:rPr>
                <w:color w:val="auto"/>
                <w:szCs w:val="21"/>
                <w:highlight w:val="none"/>
              </w:rPr>
              <w:t>严格划分防渗区域，针对各防渗区采取相应的防渗措施</w:t>
            </w:r>
            <w:r>
              <w:rPr>
                <w:rFonts w:hint="eastAsia"/>
                <w:color w:val="auto"/>
                <w:szCs w:val="21"/>
                <w:highlight w:val="none"/>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9" w:hRule="atLeast"/>
          <w:jc w:val="center"/>
        </w:trPr>
        <w:tc>
          <w:tcPr>
            <w:tcW w:w="1560" w:type="dxa"/>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生态保护措施</w:t>
            </w:r>
          </w:p>
        </w:tc>
        <w:tc>
          <w:tcPr>
            <w:tcW w:w="7240" w:type="dxa"/>
            <w:gridSpan w:val="4"/>
            <w:noWrap w:val="0"/>
            <w:vAlign w:val="center"/>
          </w:tcPr>
          <w:p>
            <w:pPr>
              <w:adjustRightInd w:val="0"/>
              <w:snapToGrid w:val="0"/>
              <w:jc w:val="center"/>
              <w:rPr>
                <w:rFonts w:hint="default" w:ascii="Times New Roman" w:hAnsi="Times New Roman" w:cs="Times New Roman"/>
                <w:color w:val="auto"/>
                <w:szCs w:val="21"/>
                <w:highlight w:val="none"/>
              </w:rPr>
            </w:pPr>
            <w:r>
              <w:rPr>
                <w:color w:val="auto"/>
                <w:szCs w:val="21"/>
                <w:highlight w:val="none"/>
              </w:rPr>
              <w:t>本项目</w:t>
            </w:r>
            <w:r>
              <w:rPr>
                <w:rFonts w:hint="eastAsia"/>
                <w:color w:val="auto"/>
                <w:szCs w:val="21"/>
                <w:highlight w:val="none"/>
                <w:lang w:val="en-US" w:eastAsia="zh-CN"/>
              </w:rPr>
              <w:t>位于工业园区</w:t>
            </w:r>
            <w:r>
              <w:rPr>
                <w:color w:val="auto"/>
                <w:szCs w:val="21"/>
                <w:highlight w:val="none"/>
              </w:rPr>
              <w:t>，区域内人类活动频繁，无野生动物及珍稀植物，</w:t>
            </w:r>
            <w:r>
              <w:rPr>
                <w:rFonts w:hint="eastAsia"/>
                <w:color w:val="auto"/>
                <w:szCs w:val="21"/>
                <w:highlight w:val="none"/>
                <w:lang w:eastAsia="zh-CN"/>
              </w:rPr>
              <w:t>自然保护区</w:t>
            </w:r>
            <w:r>
              <w:rPr>
                <w:color w:val="auto"/>
                <w:szCs w:val="21"/>
                <w:highlight w:val="none"/>
              </w:rPr>
              <w:t>等需特殊保护的目标，对周围生态环境不会产生明显的影响。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560" w:type="dxa"/>
            <w:noWrap w:val="0"/>
            <w:vAlign w:val="center"/>
          </w:tcPr>
          <w:p>
            <w:pPr>
              <w:adjustRightInd w:val="0"/>
              <w:snapToGrid w:val="0"/>
              <w:jc w:val="center"/>
              <w:rPr>
                <w:rFonts w:hint="default" w:ascii="Times New Roman" w:hAnsi="Times New Roman" w:cs="Times New Roman"/>
                <w:color w:val="auto"/>
                <w:spacing w:val="-8"/>
                <w:szCs w:val="21"/>
                <w:highlight w:val="none"/>
              </w:rPr>
            </w:pPr>
            <w:r>
              <w:rPr>
                <w:rFonts w:hint="default" w:ascii="Times New Roman" w:hAnsi="Times New Roman" w:cs="Times New Roman"/>
                <w:color w:val="auto"/>
                <w:spacing w:val="-8"/>
                <w:szCs w:val="21"/>
                <w:highlight w:val="none"/>
              </w:rPr>
              <w:t>环境风险</w:t>
            </w:r>
          </w:p>
          <w:p>
            <w:pPr>
              <w:adjustRightInd w:val="0"/>
              <w:snapToGrid w:val="0"/>
              <w:jc w:val="center"/>
              <w:rPr>
                <w:rFonts w:hint="default" w:ascii="Times New Roman" w:hAnsi="Times New Roman" w:cs="Times New Roman"/>
                <w:color w:val="auto"/>
                <w:spacing w:val="-8"/>
                <w:szCs w:val="21"/>
                <w:highlight w:val="none"/>
              </w:rPr>
            </w:pPr>
            <w:r>
              <w:rPr>
                <w:rFonts w:hint="default" w:ascii="Times New Roman" w:hAnsi="Times New Roman" w:cs="Times New Roman"/>
                <w:color w:val="auto"/>
                <w:spacing w:val="-8"/>
                <w:szCs w:val="21"/>
                <w:highlight w:val="none"/>
              </w:rPr>
              <w:t>防范措施</w:t>
            </w:r>
          </w:p>
        </w:tc>
        <w:tc>
          <w:tcPr>
            <w:tcW w:w="7240" w:type="dxa"/>
            <w:gridSpan w:val="4"/>
            <w:noWrap w:val="0"/>
            <w:vAlign w:val="center"/>
          </w:tcPr>
          <w:p>
            <w:pPr>
              <w:adjustRightInd w:val="0"/>
              <w:snapToGrid w:val="0"/>
              <w:jc w:val="center"/>
              <w:rPr>
                <w:rFonts w:hint="default" w:ascii="Times New Roman" w:hAnsi="Times New Roman" w:cs="Times New Roman"/>
                <w:color w:val="auto"/>
                <w:szCs w:val="21"/>
                <w:highlight w:val="none"/>
              </w:rPr>
            </w:pPr>
            <w:r>
              <w:rPr>
                <w:color w:val="auto"/>
                <w:szCs w:val="21"/>
                <w:highlight w:val="none"/>
              </w:rPr>
              <w:t>①严格划分防渗区域，针对各防渗区采取相应的防渗措施</w:t>
            </w:r>
            <w:r>
              <w:rPr>
                <w:rFonts w:hint="eastAsia"/>
                <w:color w:val="auto"/>
                <w:szCs w:val="21"/>
                <w:highlight w:val="none"/>
                <w:lang w:eastAsia="zh-CN"/>
              </w:rPr>
              <w:t>。</w:t>
            </w:r>
            <w:r>
              <w:rPr>
                <w:rFonts w:hint="default" w:ascii="Times New Roman" w:hAnsi="Times New Roman" w:cs="Times New Roman"/>
                <w:color w:val="auto"/>
                <w:szCs w:val="21"/>
                <w:highlight w:val="none"/>
                <w:lang w:eastAsia="zh-CN"/>
              </w:rPr>
              <w:t>危废暂存间、</w:t>
            </w:r>
            <w:r>
              <w:rPr>
                <w:rFonts w:hint="eastAsia" w:ascii="Times New Roman" w:hAnsi="Times New Roman" w:cs="Times New Roman"/>
                <w:color w:val="auto"/>
                <w:szCs w:val="21"/>
                <w:highlight w:val="none"/>
                <w:lang w:eastAsia="zh-CN"/>
              </w:rPr>
              <w:t>漆库房、喷漆房作</w:t>
            </w:r>
            <w:r>
              <w:rPr>
                <w:rFonts w:hint="default" w:ascii="Times New Roman" w:hAnsi="Times New Roman" w:cs="Times New Roman"/>
                <w:color w:val="auto"/>
                <w:szCs w:val="21"/>
                <w:highlight w:val="none"/>
                <w:lang w:eastAsia="zh-CN"/>
              </w:rPr>
              <w:t>重点防渗</w:t>
            </w:r>
            <w:r>
              <w:rPr>
                <w:rFonts w:hint="default" w:ascii="Times New Roman" w:hAnsi="Times New Roman" w:cs="Times New Roman"/>
                <w:color w:val="auto"/>
                <w:szCs w:val="21"/>
                <w:highlight w:val="none"/>
                <w:lang w:val="en-US" w:eastAsia="zh-CN"/>
              </w:rPr>
              <w:t>；</w:t>
            </w:r>
            <w:r>
              <w:rPr>
                <w:rFonts w:hint="eastAsia" w:ascii="Times New Roman" w:hAnsi="Times New Roman" w:cs="Times New Roman"/>
                <w:color w:val="auto"/>
                <w:szCs w:val="21"/>
                <w:highlight w:val="none"/>
                <w:lang w:val="en-US" w:eastAsia="zh-CN"/>
              </w:rPr>
              <w:t>循环水池、生产区进行一般防渗；其他生活办公区域进行简单防渗。</w:t>
            </w:r>
            <w:r>
              <w:rPr>
                <w:rFonts w:hint="eastAsia"/>
                <w:color w:val="auto"/>
                <w:szCs w:val="21"/>
                <w:highlight w:val="none"/>
                <w:lang w:val="en-US" w:eastAsia="zh-CN"/>
              </w:rPr>
              <w:t>②</w:t>
            </w:r>
            <w:r>
              <w:rPr>
                <w:color w:val="auto"/>
                <w:szCs w:val="21"/>
                <w:highlight w:val="none"/>
              </w:rPr>
              <w:t>健全安全管理制度，建立健全的安全教育，培训和检查制度，防火制度。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560" w:type="dxa"/>
            <w:noWrap w:val="0"/>
            <w:vAlign w:val="center"/>
          </w:tcPr>
          <w:p>
            <w:pPr>
              <w:adjustRightInd w:val="0"/>
              <w:snapToGrid w:val="0"/>
              <w:jc w:val="center"/>
              <w:rPr>
                <w:rFonts w:hint="default" w:ascii="Times New Roman" w:hAnsi="Times New Roman" w:cs="Times New Roman"/>
                <w:color w:val="auto"/>
                <w:spacing w:val="-8"/>
                <w:szCs w:val="21"/>
                <w:highlight w:val="none"/>
              </w:rPr>
            </w:pPr>
            <w:r>
              <w:rPr>
                <w:rFonts w:hint="default" w:ascii="Times New Roman" w:hAnsi="Times New Roman" w:cs="Times New Roman"/>
                <w:color w:val="auto"/>
                <w:spacing w:val="-8"/>
                <w:szCs w:val="21"/>
                <w:highlight w:val="none"/>
              </w:rPr>
              <w:t>其他环境</w:t>
            </w:r>
          </w:p>
          <w:p>
            <w:pPr>
              <w:adjustRightInd w:val="0"/>
              <w:snapToGrid w:val="0"/>
              <w:jc w:val="center"/>
              <w:rPr>
                <w:rFonts w:hint="default" w:ascii="Times New Roman" w:hAnsi="Times New Roman" w:cs="Times New Roman"/>
                <w:color w:val="auto"/>
                <w:spacing w:val="-8"/>
                <w:szCs w:val="21"/>
                <w:highlight w:val="none"/>
              </w:rPr>
            </w:pPr>
            <w:r>
              <w:rPr>
                <w:rFonts w:hint="default" w:ascii="Times New Roman" w:hAnsi="Times New Roman" w:cs="Times New Roman"/>
                <w:color w:val="auto"/>
                <w:spacing w:val="-8"/>
                <w:szCs w:val="21"/>
                <w:highlight w:val="none"/>
              </w:rPr>
              <w:t>管理要求</w:t>
            </w:r>
          </w:p>
        </w:tc>
        <w:tc>
          <w:tcPr>
            <w:tcW w:w="7240" w:type="dxa"/>
            <w:gridSpan w:val="4"/>
            <w:noWrap w:val="0"/>
            <w:vAlign w:val="center"/>
          </w:tcPr>
          <w:p>
            <w:pPr>
              <w:adjustRightInd w:val="0"/>
              <w:snapToGrid w:val="0"/>
              <w:rPr>
                <w:rFonts w:hint="eastAsia" w:ascii="Times New Roman" w:hAnsi="Times New Roman" w:eastAsia="宋体" w:cs="Times New Roman"/>
                <w:color w:val="auto"/>
                <w:szCs w:val="21"/>
                <w:highlight w:val="none"/>
                <w:lang w:eastAsia="zh-CN"/>
              </w:rPr>
            </w:pPr>
            <w:r>
              <w:rPr>
                <w:rFonts w:hint="eastAsia"/>
                <w:color w:val="auto"/>
                <w:szCs w:val="21"/>
                <w:highlight w:val="none"/>
                <w:lang w:val="en-US" w:eastAsia="zh-CN"/>
              </w:rPr>
              <w:t>/</w:t>
            </w:r>
          </w:p>
        </w:tc>
      </w:tr>
    </w:tbl>
    <w:p>
      <w:pPr>
        <w:pStyle w:val="37"/>
        <w:jc w:val="center"/>
        <w:outlineLvl w:val="0"/>
        <w:rPr>
          <w:rFonts w:hint="default" w:ascii="Times New Roman" w:hAnsi="Times New Roman" w:eastAsia="黑体" w:cs="Times New Roman"/>
          <w:snapToGrid w:val="0"/>
          <w:color w:val="auto"/>
          <w:sz w:val="30"/>
          <w:szCs w:val="30"/>
          <w:highlight w:val="none"/>
        </w:rPr>
      </w:pPr>
      <w:r>
        <w:rPr>
          <w:rFonts w:hint="default" w:ascii="Times New Roman" w:hAnsi="Times New Roman" w:cs="Times New Roman"/>
          <w:snapToGrid w:val="0"/>
          <w:color w:val="auto"/>
          <w:highlight w:val="none"/>
        </w:rPr>
        <w:br w:type="page"/>
      </w:r>
      <w:r>
        <w:rPr>
          <w:rFonts w:hint="default" w:ascii="Times New Roman" w:hAnsi="Times New Roman" w:eastAsia="黑体" w:cs="Times New Roman"/>
          <w:snapToGrid w:val="0"/>
          <w:color w:val="auto"/>
          <w:sz w:val="30"/>
          <w:szCs w:val="30"/>
          <w:highlight w:val="none"/>
        </w:rPr>
        <w:t>六、结论</w:t>
      </w:r>
    </w:p>
    <w:tbl>
      <w:tblPr>
        <w:tblStyle w:val="4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top"/>
          </w:tcPr>
          <w:p>
            <w:pPr>
              <w:spacing w:line="360" w:lineRule="auto"/>
              <w:ind w:firstLine="440" w:firstLineChars="200"/>
              <w:rPr>
                <w:rFonts w:hint="eastAsia" w:eastAsia="宋体"/>
                <w:color w:val="auto"/>
                <w:sz w:val="22"/>
                <w:szCs w:val="22"/>
                <w:highlight w:val="none"/>
                <w:lang w:eastAsia="zh-CN"/>
              </w:rPr>
            </w:pPr>
            <w:r>
              <w:rPr>
                <w:rFonts w:hint="eastAsia" w:ascii="Times New Roman" w:hAnsi="Times New Roman" w:cs="Times New Roman"/>
                <w:color w:val="auto"/>
                <w:kern w:val="0"/>
                <w:sz w:val="22"/>
                <w:szCs w:val="22"/>
                <w:highlight w:val="none"/>
                <w:lang w:val="en-US" w:eastAsia="zh-CN"/>
              </w:rPr>
              <w:t>项目为新建，位于工业园区内，用地为工业用地。</w:t>
            </w:r>
            <w:r>
              <w:rPr>
                <w:color w:val="auto"/>
                <w:sz w:val="22"/>
                <w:szCs w:val="22"/>
                <w:highlight w:val="none"/>
              </w:rPr>
              <w:t>本工程的建设符合国家的现行产业政策。工程拟采取的污染防治措施经济技术可行，在治污设施连续稳定运行的基础上，项目建成后不会改变项目区域现有的环境区域功能，并有效利用了区域产生的物料，工程的建设符合</w:t>
            </w:r>
            <w:r>
              <w:rPr>
                <w:rFonts w:hint="eastAsia"/>
                <w:color w:val="auto"/>
                <w:sz w:val="22"/>
                <w:szCs w:val="22"/>
                <w:highlight w:val="none"/>
                <w:lang w:eastAsia="zh-CN"/>
              </w:rPr>
              <w:t>“</w:t>
            </w:r>
            <w:r>
              <w:rPr>
                <w:color w:val="auto"/>
                <w:sz w:val="22"/>
                <w:szCs w:val="22"/>
                <w:highlight w:val="none"/>
              </w:rPr>
              <w:t>达标排放、清洁生产、总量控制</w:t>
            </w:r>
            <w:r>
              <w:rPr>
                <w:rFonts w:hint="eastAsia"/>
                <w:color w:val="auto"/>
                <w:sz w:val="22"/>
                <w:szCs w:val="22"/>
                <w:highlight w:val="none"/>
                <w:lang w:eastAsia="zh-CN"/>
              </w:rPr>
              <w:t>”</w:t>
            </w:r>
            <w:r>
              <w:rPr>
                <w:color w:val="auto"/>
                <w:sz w:val="22"/>
                <w:szCs w:val="22"/>
                <w:highlight w:val="none"/>
              </w:rPr>
              <w:t>的原则。</w:t>
            </w:r>
          </w:p>
          <w:p>
            <w:pPr>
              <w:spacing w:line="360" w:lineRule="auto"/>
              <w:ind w:firstLine="440" w:firstLineChars="200"/>
              <w:rPr>
                <w:color w:val="auto"/>
                <w:sz w:val="22"/>
                <w:szCs w:val="22"/>
                <w:highlight w:val="none"/>
              </w:rPr>
            </w:pPr>
            <w:r>
              <w:rPr>
                <w:color w:val="auto"/>
                <w:sz w:val="22"/>
                <w:szCs w:val="22"/>
                <w:highlight w:val="none"/>
              </w:rPr>
              <w:t>因此，本评价认为，只要严格落实环境影响评价报告表和工程设计提出的环保对策及措施，严格执行</w:t>
            </w:r>
            <w:r>
              <w:rPr>
                <w:rFonts w:hint="eastAsia"/>
                <w:color w:val="auto"/>
                <w:sz w:val="22"/>
                <w:szCs w:val="22"/>
                <w:highlight w:val="none"/>
                <w:lang w:eastAsia="zh-CN"/>
              </w:rPr>
              <w:t>“</w:t>
            </w:r>
            <w:r>
              <w:rPr>
                <w:color w:val="auto"/>
                <w:sz w:val="22"/>
                <w:szCs w:val="22"/>
                <w:highlight w:val="none"/>
              </w:rPr>
              <w:t>三同时</w:t>
            </w:r>
            <w:r>
              <w:rPr>
                <w:rFonts w:hint="eastAsia"/>
                <w:color w:val="auto"/>
                <w:sz w:val="22"/>
                <w:szCs w:val="22"/>
                <w:highlight w:val="none"/>
                <w:lang w:eastAsia="zh-CN"/>
              </w:rPr>
              <w:t>”</w:t>
            </w:r>
            <w:r>
              <w:rPr>
                <w:color w:val="auto"/>
                <w:sz w:val="22"/>
                <w:szCs w:val="22"/>
                <w:highlight w:val="none"/>
              </w:rPr>
              <w:t>制度，</w:t>
            </w:r>
            <w:r>
              <w:rPr>
                <w:rFonts w:hint="eastAsia"/>
                <w:color w:val="auto"/>
                <w:sz w:val="22"/>
                <w:szCs w:val="22"/>
                <w:highlight w:val="none"/>
                <w:lang w:eastAsia="zh-CN"/>
              </w:rPr>
              <w:t>项目</w:t>
            </w:r>
            <w:r>
              <w:rPr>
                <w:color w:val="auto"/>
                <w:sz w:val="22"/>
                <w:szCs w:val="22"/>
                <w:highlight w:val="none"/>
              </w:rPr>
              <w:t>的建设，从环境保护的角度是可行的。</w:t>
            </w:r>
          </w:p>
          <w:p>
            <w:pPr>
              <w:spacing w:line="360" w:lineRule="auto"/>
              <w:rPr>
                <w:rFonts w:hint="default" w:ascii="Times New Roman" w:hAnsi="Times New Roman" w:cs="Times New Roman"/>
                <w:color w:val="auto"/>
                <w:sz w:val="24"/>
                <w:highlight w:val="none"/>
              </w:rPr>
            </w:pPr>
          </w:p>
        </w:tc>
      </w:tr>
    </w:tbl>
    <w:p>
      <w:pPr>
        <w:rPr>
          <w:rFonts w:hint="default" w:ascii="Times New Roman" w:hAnsi="Times New Roman" w:cs="Times New Roman"/>
          <w:color w:val="auto"/>
          <w:highlight w:val="none"/>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37"/>
        <w:adjustRightInd w:val="0"/>
        <w:snapToGrid w:val="0"/>
        <w:spacing w:before="0" w:beforeAutospacing="0" w:after="0" w:afterAutospacing="0" w:line="648" w:lineRule="auto"/>
        <w:outlineLvl w:val="0"/>
        <w:rPr>
          <w:rFonts w:hint="default" w:ascii="Times New Roman" w:hAnsi="Times New Roman" w:eastAsia="黑体" w:cs="Times New Roman"/>
          <w:snapToGrid w:val="0"/>
          <w:color w:val="auto"/>
          <w:sz w:val="32"/>
          <w:szCs w:val="32"/>
          <w:highlight w:val="none"/>
        </w:rPr>
      </w:pPr>
      <w:r>
        <w:rPr>
          <w:rFonts w:hint="default" w:ascii="Times New Roman" w:hAnsi="Times New Roman" w:eastAsia="黑体" w:cs="Times New Roman"/>
          <w:snapToGrid w:val="0"/>
          <w:color w:val="auto"/>
          <w:sz w:val="32"/>
          <w:szCs w:val="32"/>
          <w:highlight w:val="none"/>
        </w:rPr>
        <w:t>附表</w:t>
      </w:r>
    </w:p>
    <w:p>
      <w:pPr>
        <w:pStyle w:val="37"/>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jc w:val="center"/>
        <w:textAlignment w:val="auto"/>
        <w:outlineLvl w:val="0"/>
        <w:rPr>
          <w:rFonts w:hint="default" w:ascii="Times New Roman" w:hAnsi="Times New Roman" w:eastAsia="方正小标宋_GBK" w:cs="Times New Roman"/>
          <w:snapToGrid w:val="0"/>
          <w:color w:val="auto"/>
          <w:sz w:val="38"/>
          <w:szCs w:val="38"/>
          <w:highlight w:val="none"/>
        </w:rPr>
      </w:pPr>
      <w:r>
        <w:rPr>
          <w:rFonts w:hint="default" w:ascii="Times New Roman" w:hAnsi="Times New Roman" w:eastAsia="方正小标宋_GBK" w:cs="Times New Roman"/>
          <w:snapToGrid w:val="0"/>
          <w:color w:val="auto"/>
          <w:sz w:val="38"/>
          <w:szCs w:val="38"/>
          <w:highlight w:val="none"/>
        </w:rPr>
        <w:t>建设项目污染物排放量汇总表</w:t>
      </w:r>
    </w:p>
    <w:tbl>
      <w:tblPr>
        <w:tblStyle w:val="42"/>
        <w:tblW w:w="13996"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542"/>
        <w:gridCol w:w="1576"/>
        <w:gridCol w:w="1276"/>
        <w:gridCol w:w="1701"/>
        <w:gridCol w:w="1559"/>
        <w:gridCol w:w="1761"/>
        <w:gridCol w:w="1519"/>
        <w:gridCol w:w="147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588" w:type="dxa"/>
            <w:tcBorders>
              <w:tl2br w:val="single" w:color="auto" w:sz="4" w:space="0"/>
            </w:tcBorders>
            <w:noWrap w:val="0"/>
            <w:tcMar>
              <w:left w:w="28" w:type="dxa"/>
              <w:right w:w="28" w:type="dxa"/>
            </w:tcMar>
            <w:vAlign w:val="center"/>
          </w:tcPr>
          <w:p>
            <w:pPr>
              <w:pStyle w:val="92"/>
              <w:spacing w:beforeLines="0" w:afterLines="0" w:line="240" w:lineRule="auto"/>
              <w:jc w:val="right"/>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t>项目</w:t>
            </w:r>
          </w:p>
          <w:p>
            <w:pPr>
              <w:pStyle w:val="92"/>
              <w:spacing w:beforeLines="0" w:afterLines="0" w:line="240" w:lineRule="auto"/>
              <w:jc w:val="left"/>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t>分类</w:t>
            </w:r>
          </w:p>
        </w:tc>
        <w:tc>
          <w:tcPr>
            <w:tcW w:w="1542" w:type="dxa"/>
            <w:noWrap w:val="0"/>
            <w:tcMar>
              <w:left w:w="28" w:type="dxa"/>
              <w:right w:w="28" w:type="dxa"/>
            </w:tcMar>
            <w:vAlign w:val="center"/>
          </w:tcPr>
          <w:p>
            <w:pPr>
              <w:pStyle w:val="92"/>
              <w:spacing w:beforeLines="0" w:afterLines="0" w:line="240" w:lineRule="auto"/>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t>污染物名称</w:t>
            </w:r>
          </w:p>
        </w:tc>
        <w:tc>
          <w:tcPr>
            <w:tcW w:w="1576" w:type="dxa"/>
            <w:noWrap w:val="0"/>
            <w:tcMar>
              <w:left w:w="28" w:type="dxa"/>
              <w:right w:w="28" w:type="dxa"/>
            </w:tcMar>
            <w:vAlign w:val="center"/>
          </w:tcPr>
          <w:p>
            <w:pPr>
              <w:pStyle w:val="92"/>
              <w:spacing w:beforeLines="0" w:afterLines="0" w:line="240" w:lineRule="auto"/>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t>现有工程</w:t>
            </w:r>
          </w:p>
          <w:p>
            <w:pPr>
              <w:pStyle w:val="92"/>
              <w:spacing w:beforeLines="0" w:afterLines="0" w:line="240" w:lineRule="auto"/>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t>排放量（固体废物产生量）</w:t>
            </w:r>
            <w:r>
              <w:rPr>
                <w:rFonts w:hint="default" w:ascii="Times New Roman" w:hAnsi="Times New Roman" w:eastAsia="黑体" w:cs="Times New Roman"/>
                <w:snapToGrid w:val="0"/>
                <w:color w:val="auto"/>
                <w:spacing w:val="-6"/>
                <w:kern w:val="21"/>
                <w:szCs w:val="21"/>
                <w:highlight w:val="none"/>
              </w:rPr>
              <w:fldChar w:fldCharType="begin"/>
            </w:r>
            <w:r>
              <w:rPr>
                <w:rFonts w:hint="default" w:ascii="Times New Roman" w:hAnsi="Times New Roman" w:eastAsia="黑体" w:cs="Times New Roman"/>
                <w:snapToGrid w:val="0"/>
                <w:color w:val="auto"/>
                <w:spacing w:val="-6"/>
                <w:kern w:val="21"/>
                <w:szCs w:val="21"/>
                <w:highlight w:val="none"/>
              </w:rPr>
              <w:instrText xml:space="preserve"> = 1 \* GB3 \* MERGEFORMAT </w:instrText>
            </w:r>
            <w:r>
              <w:rPr>
                <w:rFonts w:hint="default" w:ascii="Times New Roman" w:hAnsi="Times New Roman" w:eastAsia="黑体" w:cs="Times New Roman"/>
                <w:snapToGrid w:val="0"/>
                <w:color w:val="auto"/>
                <w:spacing w:val="-6"/>
                <w:kern w:val="21"/>
                <w:szCs w:val="21"/>
                <w:highlight w:val="none"/>
              </w:rPr>
              <w:fldChar w:fldCharType="separate"/>
            </w:r>
            <w:r>
              <w:rPr>
                <w:rFonts w:hint="default" w:ascii="Times New Roman" w:hAnsi="Times New Roman" w:eastAsia="黑体" w:cs="Times New Roman"/>
                <w:color w:val="auto"/>
                <w:kern w:val="2"/>
                <w:szCs w:val="21"/>
                <w:highlight w:val="none"/>
              </w:rPr>
              <w:t>①</w:t>
            </w:r>
            <w:r>
              <w:rPr>
                <w:rFonts w:hint="default" w:ascii="Times New Roman" w:hAnsi="Times New Roman" w:eastAsia="黑体" w:cs="Times New Roman"/>
                <w:snapToGrid w:val="0"/>
                <w:color w:val="auto"/>
                <w:spacing w:val="-6"/>
                <w:kern w:val="21"/>
                <w:szCs w:val="21"/>
                <w:highlight w:val="none"/>
              </w:rPr>
              <w:fldChar w:fldCharType="end"/>
            </w:r>
          </w:p>
        </w:tc>
        <w:tc>
          <w:tcPr>
            <w:tcW w:w="1276" w:type="dxa"/>
            <w:noWrap w:val="0"/>
            <w:tcMar>
              <w:left w:w="28" w:type="dxa"/>
              <w:right w:w="28" w:type="dxa"/>
            </w:tcMar>
            <w:vAlign w:val="center"/>
          </w:tcPr>
          <w:p>
            <w:pPr>
              <w:pStyle w:val="92"/>
              <w:spacing w:beforeLines="0" w:afterLines="0" w:line="240" w:lineRule="auto"/>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t>现有工程</w:t>
            </w:r>
          </w:p>
          <w:p>
            <w:pPr>
              <w:pStyle w:val="92"/>
              <w:spacing w:beforeLines="0" w:afterLines="0" w:line="240" w:lineRule="auto"/>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t>许可排放量</w:t>
            </w:r>
          </w:p>
          <w:p>
            <w:pPr>
              <w:pStyle w:val="92"/>
              <w:spacing w:beforeLines="0" w:afterLines="0"/>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fldChar w:fldCharType="begin"/>
            </w:r>
            <w:r>
              <w:rPr>
                <w:rFonts w:hint="default" w:ascii="Times New Roman" w:hAnsi="Times New Roman" w:eastAsia="黑体" w:cs="Times New Roman"/>
                <w:snapToGrid w:val="0"/>
                <w:color w:val="auto"/>
                <w:spacing w:val="-6"/>
                <w:kern w:val="21"/>
                <w:szCs w:val="21"/>
                <w:highlight w:val="none"/>
              </w:rPr>
              <w:instrText xml:space="preserve"> = 2 \* GB3 \* MERGEFORMAT </w:instrText>
            </w:r>
            <w:r>
              <w:rPr>
                <w:rFonts w:hint="default" w:ascii="Times New Roman" w:hAnsi="Times New Roman" w:eastAsia="黑体" w:cs="Times New Roman"/>
                <w:snapToGrid w:val="0"/>
                <w:color w:val="auto"/>
                <w:spacing w:val="-6"/>
                <w:kern w:val="21"/>
                <w:szCs w:val="21"/>
                <w:highlight w:val="none"/>
              </w:rPr>
              <w:fldChar w:fldCharType="separate"/>
            </w:r>
            <w:r>
              <w:rPr>
                <w:rFonts w:hint="default" w:ascii="Times New Roman" w:hAnsi="Times New Roman" w:eastAsia="黑体" w:cs="Times New Roman"/>
                <w:snapToGrid w:val="0"/>
                <w:color w:val="auto"/>
                <w:spacing w:val="-6"/>
                <w:kern w:val="21"/>
                <w:szCs w:val="21"/>
                <w:highlight w:val="none"/>
              </w:rPr>
              <w:t>②</w:t>
            </w:r>
            <w:r>
              <w:rPr>
                <w:rFonts w:hint="default" w:ascii="Times New Roman" w:hAnsi="Times New Roman" w:eastAsia="黑体" w:cs="Times New Roman"/>
                <w:snapToGrid w:val="0"/>
                <w:color w:val="auto"/>
                <w:spacing w:val="-6"/>
                <w:kern w:val="21"/>
                <w:szCs w:val="21"/>
                <w:highlight w:val="none"/>
              </w:rPr>
              <w:fldChar w:fldCharType="end"/>
            </w:r>
          </w:p>
        </w:tc>
        <w:tc>
          <w:tcPr>
            <w:tcW w:w="1701" w:type="dxa"/>
            <w:noWrap w:val="0"/>
            <w:tcMar>
              <w:left w:w="28" w:type="dxa"/>
              <w:right w:w="28" w:type="dxa"/>
            </w:tcMar>
            <w:vAlign w:val="center"/>
          </w:tcPr>
          <w:p>
            <w:pPr>
              <w:pStyle w:val="92"/>
              <w:spacing w:beforeLines="0" w:afterLines="0" w:line="240" w:lineRule="auto"/>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t>在建工程</w:t>
            </w:r>
          </w:p>
          <w:p>
            <w:pPr>
              <w:pStyle w:val="92"/>
              <w:spacing w:beforeLines="0" w:afterLines="0" w:line="240" w:lineRule="auto"/>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t>排放量（固体废物产生量）</w:t>
            </w:r>
            <w:r>
              <w:rPr>
                <w:rFonts w:hint="default" w:ascii="Times New Roman" w:hAnsi="Times New Roman" w:eastAsia="黑体" w:cs="Times New Roman"/>
                <w:snapToGrid w:val="0"/>
                <w:color w:val="auto"/>
                <w:spacing w:val="-6"/>
                <w:kern w:val="21"/>
                <w:szCs w:val="21"/>
                <w:highlight w:val="none"/>
              </w:rPr>
              <w:fldChar w:fldCharType="begin"/>
            </w:r>
            <w:r>
              <w:rPr>
                <w:rFonts w:hint="default" w:ascii="Times New Roman" w:hAnsi="Times New Roman" w:eastAsia="黑体" w:cs="Times New Roman"/>
                <w:snapToGrid w:val="0"/>
                <w:color w:val="auto"/>
                <w:spacing w:val="-6"/>
                <w:kern w:val="21"/>
                <w:szCs w:val="21"/>
                <w:highlight w:val="none"/>
              </w:rPr>
              <w:instrText xml:space="preserve"> = 3 \* GB3 \* MERGEFORMAT </w:instrText>
            </w:r>
            <w:r>
              <w:rPr>
                <w:rFonts w:hint="default" w:ascii="Times New Roman" w:hAnsi="Times New Roman" w:eastAsia="黑体" w:cs="Times New Roman"/>
                <w:snapToGrid w:val="0"/>
                <w:color w:val="auto"/>
                <w:spacing w:val="-6"/>
                <w:kern w:val="21"/>
                <w:szCs w:val="21"/>
                <w:highlight w:val="none"/>
              </w:rPr>
              <w:fldChar w:fldCharType="separate"/>
            </w:r>
            <w:r>
              <w:rPr>
                <w:rFonts w:hint="default" w:ascii="Times New Roman" w:hAnsi="Times New Roman" w:eastAsia="黑体" w:cs="Times New Roman"/>
                <w:color w:val="auto"/>
                <w:kern w:val="2"/>
                <w:szCs w:val="21"/>
                <w:highlight w:val="none"/>
              </w:rPr>
              <w:t>③</w:t>
            </w:r>
            <w:r>
              <w:rPr>
                <w:rFonts w:hint="default" w:ascii="Times New Roman" w:hAnsi="Times New Roman" w:eastAsia="黑体" w:cs="Times New Roman"/>
                <w:snapToGrid w:val="0"/>
                <w:color w:val="auto"/>
                <w:spacing w:val="-6"/>
                <w:kern w:val="21"/>
                <w:szCs w:val="21"/>
                <w:highlight w:val="none"/>
              </w:rPr>
              <w:fldChar w:fldCharType="end"/>
            </w:r>
          </w:p>
        </w:tc>
        <w:tc>
          <w:tcPr>
            <w:tcW w:w="1559" w:type="dxa"/>
            <w:noWrap w:val="0"/>
            <w:tcMar>
              <w:left w:w="28" w:type="dxa"/>
              <w:right w:w="28" w:type="dxa"/>
            </w:tcMar>
            <w:vAlign w:val="center"/>
          </w:tcPr>
          <w:p>
            <w:pPr>
              <w:pStyle w:val="92"/>
              <w:spacing w:beforeLines="0" w:afterLines="0" w:line="240" w:lineRule="auto"/>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t>本项目</w:t>
            </w:r>
          </w:p>
          <w:p>
            <w:pPr>
              <w:pStyle w:val="92"/>
              <w:spacing w:beforeLines="0" w:afterLines="0" w:line="240" w:lineRule="auto"/>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t>排放量（固体废物产生量）</w:t>
            </w:r>
            <w:r>
              <w:rPr>
                <w:rFonts w:hint="default" w:ascii="Times New Roman" w:hAnsi="Times New Roman" w:eastAsia="黑体" w:cs="Times New Roman"/>
                <w:snapToGrid w:val="0"/>
                <w:color w:val="auto"/>
                <w:spacing w:val="-6"/>
                <w:kern w:val="21"/>
                <w:szCs w:val="21"/>
                <w:highlight w:val="none"/>
              </w:rPr>
              <w:fldChar w:fldCharType="begin"/>
            </w:r>
            <w:r>
              <w:rPr>
                <w:rFonts w:hint="default" w:ascii="Times New Roman" w:hAnsi="Times New Roman" w:eastAsia="黑体" w:cs="Times New Roman"/>
                <w:snapToGrid w:val="0"/>
                <w:color w:val="auto"/>
                <w:spacing w:val="-6"/>
                <w:kern w:val="21"/>
                <w:szCs w:val="21"/>
                <w:highlight w:val="none"/>
              </w:rPr>
              <w:instrText xml:space="preserve"> = 4 \* GB3 \* MERGEFORMAT </w:instrText>
            </w:r>
            <w:r>
              <w:rPr>
                <w:rFonts w:hint="default" w:ascii="Times New Roman" w:hAnsi="Times New Roman" w:eastAsia="黑体" w:cs="Times New Roman"/>
                <w:snapToGrid w:val="0"/>
                <w:color w:val="auto"/>
                <w:spacing w:val="-6"/>
                <w:kern w:val="21"/>
                <w:szCs w:val="21"/>
                <w:highlight w:val="none"/>
              </w:rPr>
              <w:fldChar w:fldCharType="separate"/>
            </w:r>
            <w:r>
              <w:rPr>
                <w:rFonts w:hint="default" w:ascii="Times New Roman" w:hAnsi="Times New Roman" w:eastAsia="黑体" w:cs="Times New Roman"/>
                <w:color w:val="auto"/>
                <w:kern w:val="2"/>
                <w:szCs w:val="21"/>
                <w:highlight w:val="none"/>
              </w:rPr>
              <w:t>④</w:t>
            </w:r>
            <w:r>
              <w:rPr>
                <w:rFonts w:hint="default" w:ascii="Times New Roman" w:hAnsi="Times New Roman" w:eastAsia="黑体" w:cs="Times New Roman"/>
                <w:snapToGrid w:val="0"/>
                <w:color w:val="auto"/>
                <w:spacing w:val="-6"/>
                <w:kern w:val="21"/>
                <w:szCs w:val="21"/>
                <w:highlight w:val="none"/>
              </w:rPr>
              <w:fldChar w:fldCharType="end"/>
            </w:r>
          </w:p>
        </w:tc>
        <w:tc>
          <w:tcPr>
            <w:tcW w:w="1761" w:type="dxa"/>
            <w:noWrap w:val="0"/>
            <w:tcMar>
              <w:left w:w="28" w:type="dxa"/>
              <w:right w:w="28" w:type="dxa"/>
            </w:tcMar>
            <w:vAlign w:val="center"/>
          </w:tcPr>
          <w:p>
            <w:pPr>
              <w:pStyle w:val="92"/>
              <w:spacing w:beforeLines="0" w:afterLines="0" w:line="240" w:lineRule="auto"/>
              <w:rPr>
                <w:rFonts w:hint="default" w:ascii="Times New Roman" w:hAnsi="Times New Roman" w:eastAsia="黑体" w:cs="Times New Roman"/>
                <w:snapToGrid w:val="0"/>
                <w:color w:val="auto"/>
                <w:spacing w:val="-16"/>
                <w:kern w:val="21"/>
                <w:szCs w:val="21"/>
                <w:highlight w:val="none"/>
              </w:rPr>
            </w:pPr>
            <w:r>
              <w:rPr>
                <w:rFonts w:hint="default" w:ascii="Times New Roman" w:hAnsi="Times New Roman" w:eastAsia="黑体" w:cs="Times New Roman"/>
                <w:snapToGrid w:val="0"/>
                <w:color w:val="auto"/>
                <w:spacing w:val="-16"/>
                <w:kern w:val="21"/>
                <w:szCs w:val="21"/>
                <w:highlight w:val="none"/>
              </w:rPr>
              <w:t>以新带老削减量</w:t>
            </w:r>
          </w:p>
          <w:p>
            <w:pPr>
              <w:pStyle w:val="92"/>
              <w:spacing w:beforeLines="0" w:afterLines="0" w:line="240" w:lineRule="auto"/>
              <w:rPr>
                <w:rFonts w:hint="default" w:ascii="Times New Roman" w:hAnsi="Times New Roman" w:eastAsia="黑体" w:cs="Times New Roman"/>
                <w:snapToGrid w:val="0"/>
                <w:color w:val="auto"/>
                <w:spacing w:val="-16"/>
                <w:kern w:val="21"/>
                <w:szCs w:val="21"/>
                <w:highlight w:val="none"/>
              </w:rPr>
            </w:pPr>
            <w:r>
              <w:rPr>
                <w:rFonts w:hint="default" w:ascii="Times New Roman" w:hAnsi="Times New Roman" w:eastAsia="黑体" w:cs="Times New Roman"/>
                <w:snapToGrid w:val="0"/>
                <w:color w:val="auto"/>
                <w:spacing w:val="-16"/>
                <w:kern w:val="21"/>
                <w:szCs w:val="21"/>
                <w:highlight w:val="none"/>
              </w:rPr>
              <w:t>（新建项目不填）</w:t>
            </w:r>
            <w:r>
              <w:rPr>
                <w:rFonts w:hint="default" w:ascii="Times New Roman" w:hAnsi="Times New Roman" w:eastAsia="黑体" w:cs="Times New Roman"/>
                <w:snapToGrid w:val="0"/>
                <w:color w:val="auto"/>
                <w:spacing w:val="-16"/>
                <w:kern w:val="21"/>
                <w:szCs w:val="21"/>
                <w:highlight w:val="none"/>
              </w:rPr>
              <w:fldChar w:fldCharType="begin"/>
            </w:r>
            <w:r>
              <w:rPr>
                <w:rFonts w:hint="default" w:ascii="Times New Roman" w:hAnsi="Times New Roman" w:eastAsia="黑体" w:cs="Times New Roman"/>
                <w:snapToGrid w:val="0"/>
                <w:color w:val="auto"/>
                <w:spacing w:val="-16"/>
                <w:kern w:val="21"/>
                <w:szCs w:val="21"/>
                <w:highlight w:val="none"/>
              </w:rPr>
              <w:instrText xml:space="preserve"> = 5 \* GB3 \* MERGEFORMAT </w:instrText>
            </w:r>
            <w:r>
              <w:rPr>
                <w:rFonts w:hint="default" w:ascii="Times New Roman" w:hAnsi="Times New Roman" w:eastAsia="黑体" w:cs="Times New Roman"/>
                <w:snapToGrid w:val="0"/>
                <w:color w:val="auto"/>
                <w:spacing w:val="-16"/>
                <w:kern w:val="21"/>
                <w:szCs w:val="21"/>
                <w:highlight w:val="none"/>
              </w:rPr>
              <w:fldChar w:fldCharType="separate"/>
            </w:r>
            <w:r>
              <w:rPr>
                <w:rFonts w:hint="default" w:ascii="Times New Roman" w:hAnsi="Times New Roman" w:eastAsia="黑体" w:cs="Times New Roman"/>
                <w:color w:val="auto"/>
                <w:kern w:val="2"/>
                <w:szCs w:val="21"/>
                <w:highlight w:val="none"/>
              </w:rPr>
              <w:t>⑤</w:t>
            </w:r>
            <w:r>
              <w:rPr>
                <w:rFonts w:hint="default" w:ascii="Times New Roman" w:hAnsi="Times New Roman" w:eastAsia="黑体" w:cs="Times New Roman"/>
                <w:snapToGrid w:val="0"/>
                <w:color w:val="auto"/>
                <w:spacing w:val="-16"/>
                <w:kern w:val="21"/>
                <w:szCs w:val="21"/>
                <w:highlight w:val="none"/>
              </w:rPr>
              <w:fldChar w:fldCharType="end"/>
            </w:r>
          </w:p>
        </w:tc>
        <w:tc>
          <w:tcPr>
            <w:tcW w:w="1519" w:type="dxa"/>
            <w:noWrap w:val="0"/>
            <w:tcMar>
              <w:left w:w="28" w:type="dxa"/>
              <w:right w:w="28" w:type="dxa"/>
            </w:tcMar>
            <w:vAlign w:val="center"/>
          </w:tcPr>
          <w:p>
            <w:pPr>
              <w:pStyle w:val="92"/>
              <w:spacing w:beforeLines="0" w:afterLines="0" w:line="240" w:lineRule="auto"/>
              <w:rPr>
                <w:rFonts w:hint="default" w:ascii="Times New Roman" w:hAnsi="Times New Roman" w:eastAsia="黑体" w:cs="Times New Roman"/>
                <w:snapToGrid w:val="0"/>
                <w:color w:val="auto"/>
                <w:spacing w:val="-16"/>
                <w:kern w:val="21"/>
                <w:szCs w:val="21"/>
                <w:highlight w:val="none"/>
              </w:rPr>
            </w:pPr>
            <w:r>
              <w:rPr>
                <w:rFonts w:hint="default" w:ascii="Times New Roman" w:hAnsi="Times New Roman" w:eastAsia="黑体" w:cs="Times New Roman"/>
                <w:snapToGrid w:val="0"/>
                <w:color w:val="auto"/>
                <w:spacing w:val="-16"/>
                <w:kern w:val="21"/>
                <w:szCs w:val="21"/>
                <w:highlight w:val="none"/>
              </w:rPr>
              <w:t>本项目建成后</w:t>
            </w:r>
          </w:p>
          <w:p>
            <w:pPr>
              <w:pStyle w:val="92"/>
              <w:spacing w:beforeLines="0" w:afterLines="0" w:line="240" w:lineRule="auto"/>
              <w:rPr>
                <w:rFonts w:hint="default" w:ascii="Times New Roman" w:hAnsi="Times New Roman" w:eastAsia="黑体" w:cs="Times New Roman"/>
                <w:snapToGrid w:val="0"/>
                <w:color w:val="auto"/>
                <w:spacing w:val="-16"/>
                <w:kern w:val="21"/>
                <w:szCs w:val="21"/>
                <w:highlight w:val="none"/>
              </w:rPr>
            </w:pPr>
            <w:r>
              <w:rPr>
                <w:rFonts w:hint="default" w:ascii="Times New Roman" w:hAnsi="Times New Roman" w:eastAsia="黑体" w:cs="Times New Roman"/>
                <w:snapToGrid w:val="0"/>
                <w:color w:val="auto"/>
                <w:spacing w:val="-16"/>
                <w:kern w:val="21"/>
                <w:szCs w:val="21"/>
                <w:highlight w:val="none"/>
              </w:rPr>
              <w:t>全厂排放量（固体废物产生量）</w:t>
            </w:r>
            <w:r>
              <w:rPr>
                <w:rFonts w:hint="default" w:ascii="Times New Roman" w:hAnsi="Times New Roman" w:eastAsia="黑体" w:cs="Times New Roman"/>
                <w:snapToGrid w:val="0"/>
                <w:color w:val="auto"/>
                <w:spacing w:val="-16"/>
                <w:kern w:val="21"/>
                <w:szCs w:val="21"/>
                <w:highlight w:val="none"/>
              </w:rPr>
              <w:fldChar w:fldCharType="begin"/>
            </w:r>
            <w:r>
              <w:rPr>
                <w:rFonts w:hint="default" w:ascii="Times New Roman" w:hAnsi="Times New Roman" w:eastAsia="黑体" w:cs="Times New Roman"/>
                <w:snapToGrid w:val="0"/>
                <w:color w:val="auto"/>
                <w:spacing w:val="-16"/>
                <w:kern w:val="21"/>
                <w:szCs w:val="21"/>
                <w:highlight w:val="none"/>
              </w:rPr>
              <w:instrText xml:space="preserve"> = 6 \* GB3 \* MERGEFORMAT </w:instrText>
            </w:r>
            <w:r>
              <w:rPr>
                <w:rFonts w:hint="default" w:ascii="Times New Roman" w:hAnsi="Times New Roman" w:eastAsia="黑体" w:cs="Times New Roman"/>
                <w:snapToGrid w:val="0"/>
                <w:color w:val="auto"/>
                <w:spacing w:val="-16"/>
                <w:kern w:val="21"/>
                <w:szCs w:val="21"/>
                <w:highlight w:val="none"/>
              </w:rPr>
              <w:fldChar w:fldCharType="separate"/>
            </w:r>
            <w:r>
              <w:rPr>
                <w:rFonts w:hint="default" w:ascii="Times New Roman" w:hAnsi="Times New Roman" w:eastAsia="黑体" w:cs="Times New Roman"/>
                <w:color w:val="auto"/>
                <w:kern w:val="2"/>
                <w:szCs w:val="21"/>
                <w:highlight w:val="none"/>
              </w:rPr>
              <w:t>⑥</w:t>
            </w:r>
            <w:r>
              <w:rPr>
                <w:rFonts w:hint="default" w:ascii="Times New Roman" w:hAnsi="Times New Roman" w:eastAsia="黑体" w:cs="Times New Roman"/>
                <w:snapToGrid w:val="0"/>
                <w:color w:val="auto"/>
                <w:spacing w:val="-16"/>
                <w:kern w:val="21"/>
                <w:szCs w:val="21"/>
                <w:highlight w:val="none"/>
              </w:rPr>
              <w:fldChar w:fldCharType="end"/>
            </w:r>
          </w:p>
        </w:tc>
        <w:tc>
          <w:tcPr>
            <w:tcW w:w="1474" w:type="dxa"/>
            <w:noWrap w:val="0"/>
            <w:tcMar>
              <w:left w:w="28" w:type="dxa"/>
              <w:right w:w="28" w:type="dxa"/>
            </w:tcMar>
            <w:vAlign w:val="center"/>
          </w:tcPr>
          <w:p>
            <w:pPr>
              <w:pStyle w:val="92"/>
              <w:spacing w:beforeLines="0" w:afterLines="0" w:line="240" w:lineRule="auto"/>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t>变化量</w:t>
            </w:r>
          </w:p>
          <w:p>
            <w:pPr>
              <w:pStyle w:val="92"/>
              <w:spacing w:beforeLines="0" w:afterLines="0" w:line="240" w:lineRule="auto"/>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fldChar w:fldCharType="begin"/>
            </w:r>
            <w:r>
              <w:rPr>
                <w:rFonts w:hint="default" w:ascii="Times New Roman" w:hAnsi="Times New Roman" w:eastAsia="黑体" w:cs="Times New Roman"/>
                <w:snapToGrid w:val="0"/>
                <w:color w:val="auto"/>
                <w:spacing w:val="-6"/>
                <w:kern w:val="21"/>
                <w:szCs w:val="21"/>
                <w:highlight w:val="none"/>
              </w:rPr>
              <w:instrText xml:space="preserve"> = 7 \* GB3 \* MERGEFORMAT </w:instrText>
            </w:r>
            <w:r>
              <w:rPr>
                <w:rFonts w:hint="default" w:ascii="Times New Roman" w:hAnsi="Times New Roman" w:eastAsia="黑体" w:cs="Times New Roman"/>
                <w:snapToGrid w:val="0"/>
                <w:color w:val="auto"/>
                <w:spacing w:val="-6"/>
                <w:kern w:val="21"/>
                <w:szCs w:val="21"/>
                <w:highlight w:val="none"/>
              </w:rPr>
              <w:fldChar w:fldCharType="separate"/>
            </w:r>
            <w:r>
              <w:rPr>
                <w:rFonts w:hint="default" w:ascii="Times New Roman" w:hAnsi="Times New Roman" w:eastAsia="黑体" w:cs="Times New Roman"/>
                <w:color w:val="auto"/>
                <w:kern w:val="2"/>
                <w:szCs w:val="21"/>
                <w:highlight w:val="none"/>
              </w:rPr>
              <w:t>⑦</w:t>
            </w:r>
            <w:r>
              <w:rPr>
                <w:rFonts w:hint="default" w:ascii="Times New Roman" w:hAnsi="Times New Roman" w:eastAsia="黑体" w:cs="Times New Roman"/>
                <w:snapToGrid w:val="0"/>
                <w:color w:val="auto"/>
                <w:spacing w:val="-6"/>
                <w:kern w:val="21"/>
                <w:szCs w:val="21"/>
                <w:highlight w:val="none"/>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88" w:type="dxa"/>
            <w:vMerge w:val="restart"/>
            <w:noWrap w:val="0"/>
            <w:vAlign w:val="center"/>
          </w:tcPr>
          <w:p>
            <w:pPr>
              <w:pStyle w:val="92"/>
              <w:spacing w:beforeLines="0" w:afterLines="0" w:line="240" w:lineRule="auto"/>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rPr>
              <w:t>废气</w:t>
            </w:r>
          </w:p>
        </w:tc>
        <w:tc>
          <w:tcPr>
            <w:tcW w:w="1542" w:type="dxa"/>
            <w:noWrap w:val="0"/>
            <w:vAlign w:val="center"/>
          </w:tcPr>
          <w:p>
            <w:pPr>
              <w:pStyle w:val="242"/>
              <w:rPr>
                <w:rFonts w:hint="eastAsia" w:ascii="Times New Roman" w:hAnsi="Times New Roman" w:eastAsia="宋体" w:cs="Times New Roman"/>
                <w:snapToGrid w:val="0"/>
                <w:color w:val="auto"/>
                <w:kern w:val="21"/>
                <w:szCs w:val="21"/>
                <w:highlight w:val="none"/>
                <w:lang w:eastAsia="zh-CN"/>
              </w:rPr>
            </w:pPr>
            <w:r>
              <w:rPr>
                <w:rFonts w:hint="eastAsia" w:ascii="Times New Roman" w:hAnsi="Times New Roman" w:cs="Times New Roman"/>
                <w:color w:val="auto"/>
                <w:highlight w:val="none"/>
                <w:lang w:eastAsia="zh-CN"/>
              </w:rPr>
              <w:t>非甲烷总烃</w:t>
            </w:r>
          </w:p>
        </w:tc>
        <w:tc>
          <w:tcPr>
            <w:tcW w:w="1576" w:type="dxa"/>
            <w:noWrap w:val="0"/>
            <w:vAlign w:val="center"/>
          </w:tcPr>
          <w:p>
            <w:pPr>
              <w:jc w:val="center"/>
              <w:rPr>
                <w:rFonts w:hint="default" w:ascii="Times New Roman" w:hAnsi="Times New Roman" w:cs="Times New Roman"/>
                <w:snapToGrid w:val="0"/>
                <w:color w:val="auto"/>
                <w:kern w:val="21"/>
                <w:szCs w:val="21"/>
                <w:highlight w:val="none"/>
              </w:rPr>
            </w:pPr>
            <w:r>
              <w:rPr>
                <w:rFonts w:hint="eastAsia" w:ascii="Times New Roman" w:hAnsi="Times New Roman" w:cs="Times New Roman"/>
                <w:snapToGrid w:val="0"/>
                <w:color w:val="auto"/>
                <w:kern w:val="21"/>
                <w:szCs w:val="21"/>
                <w:highlight w:val="none"/>
                <w:lang w:val="en-US" w:eastAsia="zh-CN"/>
              </w:rPr>
              <w:t>/</w:t>
            </w:r>
          </w:p>
        </w:tc>
        <w:tc>
          <w:tcPr>
            <w:tcW w:w="1276" w:type="dxa"/>
            <w:noWrap w:val="0"/>
            <w:vAlign w:val="center"/>
          </w:tcPr>
          <w:p>
            <w:pPr>
              <w:spacing w:beforeLines="0" w:afterLines="0" w:line="240" w:lineRule="auto"/>
              <w:jc w:val="center"/>
              <w:rPr>
                <w:rFonts w:hint="eastAsia" w:ascii="Times New Roman" w:hAnsi="Times New Roman" w:eastAsia="宋体" w:cs="Times New Roman"/>
                <w:snapToGrid w:val="0"/>
                <w:color w:val="auto"/>
                <w:kern w:val="21"/>
                <w:szCs w:val="21"/>
                <w:highlight w:val="none"/>
                <w:lang w:val="en-US" w:eastAsia="zh-CN"/>
              </w:rPr>
            </w:pPr>
            <w:r>
              <w:rPr>
                <w:rFonts w:hint="eastAsia" w:ascii="Times New Roman" w:hAnsi="Times New Roman" w:cs="Times New Roman"/>
                <w:snapToGrid w:val="0"/>
                <w:color w:val="auto"/>
                <w:kern w:val="21"/>
                <w:szCs w:val="21"/>
                <w:highlight w:val="none"/>
                <w:lang w:val="en-US" w:eastAsia="zh-CN"/>
              </w:rPr>
              <w:t>/</w:t>
            </w:r>
          </w:p>
        </w:tc>
        <w:tc>
          <w:tcPr>
            <w:tcW w:w="1701" w:type="dxa"/>
            <w:noWrap w:val="0"/>
            <w:vAlign w:val="center"/>
          </w:tcPr>
          <w:p>
            <w:pPr>
              <w:spacing w:beforeLines="0" w:afterLines="0" w:line="240" w:lineRule="auto"/>
              <w:jc w:val="center"/>
              <w:rPr>
                <w:rFonts w:hint="eastAsia" w:ascii="Times New Roman" w:hAnsi="Times New Roman" w:eastAsia="宋体" w:cs="Times New Roman"/>
                <w:snapToGrid w:val="0"/>
                <w:color w:val="auto"/>
                <w:kern w:val="21"/>
                <w:szCs w:val="21"/>
                <w:highlight w:val="none"/>
                <w:lang w:val="en-US" w:eastAsia="zh-CN"/>
              </w:rPr>
            </w:pPr>
            <w:r>
              <w:rPr>
                <w:rFonts w:hint="eastAsia" w:ascii="Times New Roman" w:hAnsi="Times New Roman" w:cs="Times New Roman"/>
                <w:snapToGrid w:val="0"/>
                <w:color w:val="auto"/>
                <w:kern w:val="21"/>
                <w:szCs w:val="21"/>
                <w:highlight w:val="none"/>
                <w:lang w:val="en-US" w:eastAsia="zh-CN"/>
              </w:rPr>
              <w:t>/</w:t>
            </w:r>
          </w:p>
        </w:tc>
        <w:tc>
          <w:tcPr>
            <w:tcW w:w="1559" w:type="dxa"/>
            <w:noWrap w:val="0"/>
            <w:vAlign w:val="center"/>
          </w:tcPr>
          <w:p>
            <w:pPr>
              <w:pStyle w:val="242"/>
              <w:rPr>
                <w:rFonts w:hint="default" w:ascii="Times New Roman" w:hAnsi="Times New Roman" w:cs="Times New Roman"/>
                <w:snapToGrid w:val="0"/>
                <w:color w:val="auto"/>
                <w:kern w:val="21"/>
                <w:szCs w:val="21"/>
                <w:highlight w:val="none"/>
                <w:lang w:val="en-US"/>
              </w:rPr>
            </w:pPr>
            <w:r>
              <w:rPr>
                <w:rFonts w:hint="eastAsia" w:ascii="Times New Roman" w:hAnsi="Times New Roman" w:cs="Times New Roman"/>
                <w:color w:val="auto"/>
                <w:highlight w:val="none"/>
                <w:lang w:val="en-US" w:eastAsia="zh-CN"/>
              </w:rPr>
              <w:t>0.0151</w:t>
            </w:r>
          </w:p>
        </w:tc>
        <w:tc>
          <w:tcPr>
            <w:tcW w:w="1761" w:type="dxa"/>
            <w:noWrap w:val="0"/>
            <w:vAlign w:val="center"/>
          </w:tcPr>
          <w:p>
            <w:pPr>
              <w:pStyle w:val="242"/>
              <w:rPr>
                <w:rFonts w:hint="default" w:ascii="Times New Roman" w:hAnsi="Times New Roman" w:cs="Times New Roman"/>
                <w:snapToGrid w:val="0"/>
                <w:color w:val="auto"/>
                <w:kern w:val="21"/>
                <w:szCs w:val="21"/>
                <w:highlight w:val="none"/>
              </w:rPr>
            </w:pPr>
            <w:r>
              <w:rPr>
                <w:rFonts w:hint="default" w:ascii="Times New Roman" w:hAnsi="Times New Roman" w:cs="Times New Roman"/>
                <w:color w:val="auto"/>
                <w:highlight w:val="none"/>
              </w:rPr>
              <w:t>0</w:t>
            </w:r>
          </w:p>
        </w:tc>
        <w:tc>
          <w:tcPr>
            <w:tcW w:w="1519" w:type="dxa"/>
            <w:noWrap w:val="0"/>
            <w:vAlign w:val="center"/>
          </w:tcPr>
          <w:p>
            <w:pPr>
              <w:pStyle w:val="242"/>
              <w:rPr>
                <w:rFonts w:hint="default" w:ascii="Times New Roman" w:hAnsi="Times New Roman" w:cs="Times New Roman"/>
                <w:snapToGrid w:val="0"/>
                <w:color w:val="auto"/>
                <w:kern w:val="21"/>
                <w:szCs w:val="21"/>
                <w:highlight w:val="none"/>
                <w:lang w:val="en-US"/>
              </w:rPr>
            </w:pPr>
            <w:r>
              <w:rPr>
                <w:rFonts w:hint="eastAsia" w:ascii="Times New Roman" w:hAnsi="Times New Roman" w:cs="Times New Roman"/>
                <w:color w:val="auto"/>
                <w:highlight w:val="none"/>
                <w:lang w:val="en-US" w:eastAsia="zh-CN"/>
              </w:rPr>
              <w:t>0.0151</w:t>
            </w:r>
          </w:p>
        </w:tc>
        <w:tc>
          <w:tcPr>
            <w:tcW w:w="1474" w:type="dxa"/>
            <w:noWrap w:val="0"/>
            <w:vAlign w:val="center"/>
          </w:tcPr>
          <w:p>
            <w:pPr>
              <w:pStyle w:val="242"/>
              <w:rPr>
                <w:rFonts w:hint="default" w:ascii="Times New Roman" w:hAnsi="Times New Roman" w:cs="Times New Roman"/>
                <w:snapToGrid w:val="0"/>
                <w:color w:val="auto"/>
                <w:kern w:val="21"/>
                <w:szCs w:val="21"/>
                <w:highlight w:val="none"/>
                <w:lang w:val="en-US"/>
              </w:rPr>
            </w:pPr>
            <w:r>
              <w:rPr>
                <w:rFonts w:hint="eastAsia" w:ascii="Times New Roman" w:hAnsi="Times New Roman" w:cs="Times New Roman"/>
                <w:color w:val="auto"/>
                <w:highlight w:val="none"/>
                <w:lang w:val="en-US" w:eastAsia="zh-CN"/>
              </w:rPr>
              <w:t>+0.0151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88" w:type="dxa"/>
            <w:vMerge w:val="continue"/>
            <w:noWrap w:val="0"/>
            <w:vAlign w:val="center"/>
          </w:tcPr>
          <w:p>
            <w:pPr>
              <w:pStyle w:val="92"/>
              <w:spacing w:beforeLines="0" w:afterLines="0" w:line="240" w:lineRule="auto"/>
              <w:rPr>
                <w:rFonts w:hint="default" w:ascii="Times New Roman" w:hAnsi="Times New Roman" w:cs="Times New Roman"/>
                <w:snapToGrid w:val="0"/>
                <w:color w:val="auto"/>
                <w:kern w:val="21"/>
                <w:szCs w:val="21"/>
                <w:highlight w:val="none"/>
              </w:rPr>
            </w:pPr>
          </w:p>
        </w:tc>
        <w:tc>
          <w:tcPr>
            <w:tcW w:w="1542" w:type="dxa"/>
            <w:noWrap w:val="0"/>
            <w:vAlign w:val="center"/>
          </w:tcPr>
          <w:p>
            <w:pPr>
              <w:pStyle w:val="242"/>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颗粒物</w:t>
            </w:r>
          </w:p>
        </w:tc>
        <w:tc>
          <w:tcPr>
            <w:tcW w:w="1576" w:type="dxa"/>
            <w:noWrap w:val="0"/>
            <w:vAlign w:val="center"/>
          </w:tcPr>
          <w:p>
            <w:pPr>
              <w:jc w:val="center"/>
              <w:rPr>
                <w:rFonts w:hint="eastAsia" w:ascii="Times New Roman" w:hAnsi="Times New Roman" w:cs="Times New Roman"/>
                <w:snapToGrid w:val="0"/>
                <w:color w:val="auto"/>
                <w:kern w:val="21"/>
                <w:szCs w:val="21"/>
                <w:highlight w:val="none"/>
                <w:lang w:val="en-US" w:eastAsia="zh-CN"/>
              </w:rPr>
            </w:pPr>
            <w:r>
              <w:rPr>
                <w:rFonts w:hint="eastAsia" w:ascii="Times New Roman" w:hAnsi="Times New Roman" w:cs="Times New Roman"/>
                <w:snapToGrid w:val="0"/>
                <w:color w:val="auto"/>
                <w:kern w:val="21"/>
                <w:szCs w:val="21"/>
                <w:highlight w:val="none"/>
                <w:lang w:val="en-US" w:eastAsia="zh-CN"/>
              </w:rPr>
              <w:t>/</w:t>
            </w:r>
          </w:p>
        </w:tc>
        <w:tc>
          <w:tcPr>
            <w:tcW w:w="1276" w:type="dxa"/>
            <w:noWrap w:val="0"/>
            <w:vAlign w:val="center"/>
          </w:tcPr>
          <w:p>
            <w:pPr>
              <w:spacing w:beforeLines="0" w:afterLines="0" w:line="240" w:lineRule="auto"/>
              <w:jc w:val="center"/>
              <w:rPr>
                <w:rFonts w:hint="eastAsia" w:ascii="Times New Roman" w:hAnsi="Times New Roman" w:cs="Times New Roman"/>
                <w:snapToGrid w:val="0"/>
                <w:color w:val="auto"/>
                <w:kern w:val="21"/>
                <w:szCs w:val="21"/>
                <w:highlight w:val="none"/>
                <w:lang w:val="en-US" w:eastAsia="zh-CN"/>
              </w:rPr>
            </w:pPr>
            <w:r>
              <w:rPr>
                <w:rFonts w:hint="eastAsia" w:ascii="Times New Roman" w:hAnsi="Times New Roman" w:cs="Times New Roman"/>
                <w:snapToGrid w:val="0"/>
                <w:color w:val="auto"/>
                <w:kern w:val="21"/>
                <w:szCs w:val="21"/>
                <w:highlight w:val="none"/>
                <w:lang w:val="en-US" w:eastAsia="zh-CN"/>
              </w:rPr>
              <w:t>/</w:t>
            </w:r>
          </w:p>
        </w:tc>
        <w:tc>
          <w:tcPr>
            <w:tcW w:w="1701" w:type="dxa"/>
            <w:noWrap w:val="0"/>
            <w:vAlign w:val="center"/>
          </w:tcPr>
          <w:p>
            <w:pPr>
              <w:spacing w:beforeLines="0" w:afterLines="0" w:line="240" w:lineRule="auto"/>
              <w:jc w:val="center"/>
              <w:rPr>
                <w:rFonts w:hint="eastAsia" w:ascii="Times New Roman" w:hAnsi="Times New Roman" w:cs="Times New Roman"/>
                <w:snapToGrid w:val="0"/>
                <w:color w:val="auto"/>
                <w:kern w:val="21"/>
                <w:szCs w:val="21"/>
                <w:highlight w:val="none"/>
                <w:lang w:val="en-US" w:eastAsia="zh-CN"/>
              </w:rPr>
            </w:pPr>
            <w:r>
              <w:rPr>
                <w:rFonts w:hint="eastAsia" w:ascii="Times New Roman" w:hAnsi="Times New Roman" w:cs="Times New Roman"/>
                <w:snapToGrid w:val="0"/>
                <w:color w:val="auto"/>
                <w:kern w:val="21"/>
                <w:szCs w:val="21"/>
                <w:highlight w:val="none"/>
                <w:lang w:val="en-US" w:eastAsia="zh-CN"/>
              </w:rPr>
              <w:t>/</w:t>
            </w:r>
          </w:p>
        </w:tc>
        <w:tc>
          <w:tcPr>
            <w:tcW w:w="1559" w:type="dxa"/>
            <w:noWrap w:val="0"/>
            <w:vAlign w:val="center"/>
          </w:tcPr>
          <w:p>
            <w:pPr>
              <w:pStyle w:val="242"/>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0.0032</w:t>
            </w:r>
          </w:p>
        </w:tc>
        <w:tc>
          <w:tcPr>
            <w:tcW w:w="1761" w:type="dxa"/>
            <w:noWrap w:val="0"/>
            <w:vAlign w:val="center"/>
          </w:tcPr>
          <w:p>
            <w:pPr>
              <w:pStyle w:val="242"/>
              <w:rPr>
                <w:rFonts w:hint="default" w:ascii="Times New Roman" w:hAnsi="Times New Roman" w:cs="Times New Roman"/>
                <w:color w:val="auto"/>
                <w:highlight w:val="none"/>
              </w:rPr>
            </w:pPr>
            <w:r>
              <w:rPr>
                <w:rFonts w:hint="default" w:ascii="Times New Roman" w:hAnsi="Times New Roman" w:cs="Times New Roman"/>
                <w:color w:val="auto"/>
                <w:highlight w:val="none"/>
              </w:rPr>
              <w:t>0</w:t>
            </w:r>
          </w:p>
        </w:tc>
        <w:tc>
          <w:tcPr>
            <w:tcW w:w="1519" w:type="dxa"/>
            <w:noWrap w:val="0"/>
            <w:vAlign w:val="center"/>
          </w:tcPr>
          <w:p>
            <w:pPr>
              <w:pStyle w:val="242"/>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0.0032</w:t>
            </w:r>
          </w:p>
        </w:tc>
        <w:tc>
          <w:tcPr>
            <w:tcW w:w="1474" w:type="dxa"/>
            <w:noWrap w:val="0"/>
            <w:vAlign w:val="center"/>
          </w:tcPr>
          <w:p>
            <w:pPr>
              <w:pStyle w:val="242"/>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+0.0032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88" w:type="dxa"/>
            <w:vMerge w:val="restart"/>
            <w:noWrap w:val="0"/>
            <w:vAlign w:val="center"/>
          </w:tcPr>
          <w:p>
            <w:pPr>
              <w:pStyle w:val="92"/>
              <w:spacing w:beforeLines="0" w:afterLines="0" w:line="240" w:lineRule="auto"/>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rPr>
              <w:t>废水</w:t>
            </w:r>
          </w:p>
        </w:tc>
        <w:tc>
          <w:tcPr>
            <w:tcW w:w="1542" w:type="dxa"/>
            <w:noWrap w:val="0"/>
            <w:vAlign w:val="center"/>
          </w:tcPr>
          <w:p>
            <w:pPr>
              <w:pStyle w:val="242"/>
              <w:rPr>
                <w:rFonts w:hint="default" w:ascii="Times New Roman" w:hAnsi="Times New Roman" w:cs="Times New Roman"/>
                <w:snapToGrid w:val="0"/>
                <w:color w:val="auto"/>
                <w:kern w:val="21"/>
                <w:szCs w:val="21"/>
                <w:highlight w:val="none"/>
              </w:rPr>
            </w:pPr>
            <w:r>
              <w:rPr>
                <w:rFonts w:ascii="Times New Roman" w:hAnsi="Times New Roman"/>
                <w:color w:val="auto"/>
                <w:highlight w:val="none"/>
              </w:rPr>
              <w:t>CODcr</w:t>
            </w:r>
          </w:p>
        </w:tc>
        <w:tc>
          <w:tcPr>
            <w:tcW w:w="1576" w:type="dxa"/>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outlineLvl w:val="9"/>
              <w:rPr>
                <w:rFonts w:hint="eastAsia" w:ascii="Times New Roman" w:hAnsi="Times New Roman" w:eastAsia="宋体" w:cs="Times New Roman"/>
                <w:snapToGrid w:val="0"/>
                <w:color w:val="auto"/>
                <w:kern w:val="21"/>
                <w:szCs w:val="21"/>
                <w:highlight w:val="none"/>
                <w:lang w:val="en-US" w:eastAsia="zh-CN"/>
              </w:rPr>
            </w:pPr>
            <w:r>
              <w:rPr>
                <w:rFonts w:hint="eastAsia" w:ascii="Times New Roman" w:hAnsi="Times New Roman" w:cs="Times New Roman"/>
                <w:snapToGrid w:val="0"/>
                <w:color w:val="auto"/>
                <w:kern w:val="21"/>
                <w:szCs w:val="21"/>
                <w:highlight w:val="none"/>
                <w:lang w:val="en-US" w:eastAsia="zh-CN"/>
              </w:rPr>
              <w:t>/</w:t>
            </w:r>
          </w:p>
        </w:tc>
        <w:tc>
          <w:tcPr>
            <w:tcW w:w="1276" w:type="dxa"/>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outlineLvl w:val="9"/>
              <w:rPr>
                <w:rFonts w:hint="default" w:ascii="Times New Roman" w:hAnsi="Times New Roman" w:cs="Times New Roman"/>
                <w:snapToGrid w:val="0"/>
                <w:color w:val="auto"/>
                <w:kern w:val="21"/>
                <w:szCs w:val="21"/>
                <w:highlight w:val="none"/>
              </w:rPr>
            </w:pPr>
            <w:r>
              <w:rPr>
                <w:rFonts w:hint="eastAsia" w:ascii="Times New Roman" w:hAnsi="Times New Roman" w:cs="Times New Roman"/>
                <w:snapToGrid w:val="0"/>
                <w:color w:val="auto"/>
                <w:kern w:val="21"/>
                <w:szCs w:val="21"/>
                <w:highlight w:val="none"/>
                <w:lang w:val="en-US" w:eastAsia="zh-CN"/>
              </w:rPr>
              <w:t>/</w:t>
            </w:r>
          </w:p>
        </w:tc>
        <w:tc>
          <w:tcPr>
            <w:tcW w:w="1701" w:type="dxa"/>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outlineLvl w:val="9"/>
              <w:rPr>
                <w:rFonts w:hint="eastAsia" w:ascii="Times New Roman" w:hAnsi="Times New Roman" w:eastAsia="宋体" w:cs="Times New Roman"/>
                <w:snapToGrid w:val="0"/>
                <w:color w:val="auto"/>
                <w:kern w:val="21"/>
                <w:szCs w:val="21"/>
                <w:highlight w:val="none"/>
                <w:lang w:val="en-US" w:eastAsia="zh-CN"/>
              </w:rPr>
            </w:pPr>
            <w:r>
              <w:rPr>
                <w:rFonts w:hint="eastAsia" w:ascii="Times New Roman" w:hAnsi="Times New Roman" w:cs="Times New Roman"/>
                <w:snapToGrid w:val="0"/>
                <w:color w:val="auto"/>
                <w:kern w:val="21"/>
                <w:szCs w:val="21"/>
                <w:highlight w:val="none"/>
                <w:lang w:val="en-US" w:eastAsia="zh-CN"/>
              </w:rPr>
              <w:t>/</w:t>
            </w:r>
          </w:p>
        </w:tc>
        <w:tc>
          <w:tcPr>
            <w:tcW w:w="1559" w:type="dxa"/>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outlineLvl w:val="9"/>
              <w:rPr>
                <w:rFonts w:hint="default" w:ascii="Times New Roman" w:hAnsi="Times New Roman" w:cs="Times New Roman"/>
                <w:snapToGrid w:val="0"/>
                <w:color w:val="auto"/>
                <w:kern w:val="21"/>
                <w:szCs w:val="21"/>
                <w:highlight w:val="none"/>
              </w:rPr>
            </w:pPr>
            <w:r>
              <w:rPr>
                <w:rFonts w:hint="eastAsia" w:ascii="Times New Roman" w:hAnsi="Times New Roman" w:cs="Times New Roman"/>
                <w:snapToGrid w:val="0"/>
                <w:color w:val="auto"/>
                <w:kern w:val="21"/>
                <w:szCs w:val="21"/>
                <w:highlight w:val="none"/>
                <w:lang w:val="en-US" w:eastAsia="zh-CN"/>
              </w:rPr>
              <w:t>/</w:t>
            </w:r>
          </w:p>
        </w:tc>
        <w:tc>
          <w:tcPr>
            <w:tcW w:w="1761" w:type="dxa"/>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outlineLvl w:val="9"/>
              <w:rPr>
                <w:rFonts w:hint="default" w:ascii="Times New Roman" w:hAnsi="Times New Roman" w:cs="Times New Roman"/>
                <w:snapToGrid w:val="0"/>
                <w:color w:val="auto"/>
                <w:kern w:val="21"/>
                <w:szCs w:val="21"/>
                <w:highlight w:val="none"/>
              </w:rPr>
            </w:pPr>
            <w:r>
              <w:rPr>
                <w:rFonts w:hint="eastAsia" w:ascii="Times New Roman" w:hAnsi="Times New Roman" w:cs="Times New Roman"/>
                <w:snapToGrid w:val="0"/>
                <w:color w:val="auto"/>
                <w:kern w:val="21"/>
                <w:szCs w:val="21"/>
                <w:highlight w:val="none"/>
                <w:lang w:val="en-US" w:eastAsia="zh-CN"/>
              </w:rPr>
              <w:t>/</w:t>
            </w:r>
          </w:p>
        </w:tc>
        <w:tc>
          <w:tcPr>
            <w:tcW w:w="1519" w:type="dxa"/>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outlineLvl w:val="9"/>
              <w:rPr>
                <w:rFonts w:hint="default" w:ascii="Times New Roman" w:hAnsi="Times New Roman" w:cs="Times New Roman"/>
                <w:snapToGrid w:val="0"/>
                <w:color w:val="auto"/>
                <w:kern w:val="21"/>
                <w:szCs w:val="21"/>
                <w:highlight w:val="none"/>
              </w:rPr>
            </w:pPr>
            <w:r>
              <w:rPr>
                <w:rFonts w:hint="eastAsia" w:ascii="Times New Roman" w:hAnsi="Times New Roman" w:cs="Times New Roman"/>
                <w:snapToGrid w:val="0"/>
                <w:color w:val="auto"/>
                <w:kern w:val="21"/>
                <w:szCs w:val="21"/>
                <w:highlight w:val="none"/>
                <w:lang w:val="en-US" w:eastAsia="zh-CN"/>
              </w:rPr>
              <w:t>/</w:t>
            </w:r>
          </w:p>
        </w:tc>
        <w:tc>
          <w:tcPr>
            <w:tcW w:w="1474" w:type="dxa"/>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outlineLvl w:val="9"/>
              <w:rPr>
                <w:rFonts w:hint="default" w:ascii="Times New Roman" w:hAnsi="Times New Roman" w:cs="Times New Roman"/>
                <w:snapToGrid w:val="0"/>
                <w:color w:val="auto"/>
                <w:kern w:val="21"/>
                <w:szCs w:val="21"/>
                <w:highlight w:val="none"/>
              </w:rPr>
            </w:pPr>
            <w:r>
              <w:rPr>
                <w:rFonts w:hint="eastAsia" w:ascii="Times New Roman" w:hAnsi="Times New Roman" w:cs="Times New Roman"/>
                <w:snapToGrid w:val="0"/>
                <w:color w:val="auto"/>
                <w:kern w:val="21"/>
                <w:szCs w:val="21"/>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88" w:type="dxa"/>
            <w:vMerge w:val="continue"/>
            <w:noWrap w:val="0"/>
            <w:vAlign w:val="center"/>
          </w:tcPr>
          <w:p>
            <w:pPr>
              <w:pStyle w:val="92"/>
              <w:spacing w:beforeLines="0" w:afterLines="0" w:line="240" w:lineRule="auto"/>
              <w:rPr>
                <w:rFonts w:hint="default" w:ascii="Times New Roman" w:hAnsi="Times New Roman" w:cs="Times New Roman"/>
                <w:snapToGrid w:val="0"/>
                <w:color w:val="auto"/>
                <w:kern w:val="21"/>
                <w:szCs w:val="21"/>
                <w:highlight w:val="none"/>
              </w:rPr>
            </w:pPr>
          </w:p>
        </w:tc>
        <w:tc>
          <w:tcPr>
            <w:tcW w:w="1542" w:type="dxa"/>
            <w:noWrap w:val="0"/>
            <w:vAlign w:val="center"/>
          </w:tcPr>
          <w:p>
            <w:pPr>
              <w:pStyle w:val="242"/>
              <w:rPr>
                <w:rFonts w:hint="default" w:ascii="Times New Roman" w:hAnsi="Times New Roman" w:cs="Times New Roman"/>
                <w:snapToGrid w:val="0"/>
                <w:color w:val="auto"/>
                <w:kern w:val="21"/>
                <w:szCs w:val="21"/>
                <w:highlight w:val="none"/>
              </w:rPr>
            </w:pPr>
            <w:r>
              <w:rPr>
                <w:rFonts w:ascii="Times New Roman" w:hAnsi="Times New Roman"/>
                <w:color w:val="auto"/>
                <w:szCs w:val="22"/>
                <w:highlight w:val="none"/>
              </w:rPr>
              <w:t>NH</w:t>
            </w:r>
            <w:r>
              <w:rPr>
                <w:rFonts w:ascii="Times New Roman" w:hAnsi="Times New Roman"/>
                <w:color w:val="auto"/>
                <w:szCs w:val="22"/>
                <w:highlight w:val="none"/>
                <w:vertAlign w:val="subscript"/>
              </w:rPr>
              <w:t>3</w:t>
            </w:r>
            <w:r>
              <w:rPr>
                <w:rFonts w:ascii="Times New Roman" w:hAnsi="Times New Roman"/>
                <w:color w:val="auto"/>
                <w:szCs w:val="22"/>
                <w:highlight w:val="none"/>
              </w:rPr>
              <w:t>-N</w:t>
            </w:r>
          </w:p>
        </w:tc>
        <w:tc>
          <w:tcPr>
            <w:tcW w:w="1576" w:type="dxa"/>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outlineLvl w:val="9"/>
              <w:rPr>
                <w:rFonts w:hint="default" w:ascii="Times New Roman" w:hAnsi="Times New Roman" w:cs="Times New Roman"/>
                <w:snapToGrid w:val="0"/>
                <w:color w:val="auto"/>
                <w:kern w:val="21"/>
                <w:szCs w:val="21"/>
                <w:highlight w:val="none"/>
              </w:rPr>
            </w:pPr>
            <w:r>
              <w:rPr>
                <w:rFonts w:hint="eastAsia" w:ascii="Times New Roman" w:hAnsi="Times New Roman" w:cs="Times New Roman"/>
                <w:snapToGrid w:val="0"/>
                <w:color w:val="auto"/>
                <w:kern w:val="21"/>
                <w:szCs w:val="21"/>
                <w:highlight w:val="none"/>
                <w:lang w:val="en-US" w:eastAsia="zh-CN"/>
              </w:rPr>
              <w:t>/</w:t>
            </w:r>
          </w:p>
        </w:tc>
        <w:tc>
          <w:tcPr>
            <w:tcW w:w="1276" w:type="dxa"/>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outlineLvl w:val="9"/>
              <w:rPr>
                <w:rFonts w:hint="default" w:ascii="Times New Roman" w:hAnsi="Times New Roman" w:cs="Times New Roman"/>
                <w:snapToGrid w:val="0"/>
                <w:color w:val="auto"/>
                <w:kern w:val="21"/>
                <w:szCs w:val="21"/>
                <w:highlight w:val="none"/>
              </w:rPr>
            </w:pPr>
            <w:r>
              <w:rPr>
                <w:rFonts w:hint="eastAsia" w:ascii="Times New Roman" w:hAnsi="Times New Roman" w:cs="Times New Roman"/>
                <w:snapToGrid w:val="0"/>
                <w:color w:val="auto"/>
                <w:kern w:val="21"/>
                <w:szCs w:val="21"/>
                <w:highlight w:val="none"/>
                <w:lang w:val="en-US" w:eastAsia="zh-CN"/>
              </w:rPr>
              <w:t>/</w:t>
            </w:r>
          </w:p>
        </w:tc>
        <w:tc>
          <w:tcPr>
            <w:tcW w:w="1701" w:type="dxa"/>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outlineLvl w:val="9"/>
              <w:rPr>
                <w:rFonts w:hint="default" w:ascii="Times New Roman" w:hAnsi="Times New Roman" w:cs="Times New Roman"/>
                <w:snapToGrid w:val="0"/>
                <w:color w:val="auto"/>
                <w:kern w:val="21"/>
                <w:szCs w:val="21"/>
                <w:highlight w:val="none"/>
              </w:rPr>
            </w:pPr>
            <w:r>
              <w:rPr>
                <w:rFonts w:hint="eastAsia" w:ascii="Times New Roman" w:hAnsi="Times New Roman" w:cs="Times New Roman"/>
                <w:snapToGrid w:val="0"/>
                <w:color w:val="auto"/>
                <w:kern w:val="21"/>
                <w:szCs w:val="21"/>
                <w:highlight w:val="none"/>
                <w:lang w:val="en-US" w:eastAsia="zh-CN"/>
              </w:rPr>
              <w:t>/</w:t>
            </w:r>
          </w:p>
        </w:tc>
        <w:tc>
          <w:tcPr>
            <w:tcW w:w="1559" w:type="dxa"/>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outlineLvl w:val="9"/>
              <w:rPr>
                <w:rFonts w:hint="default" w:ascii="Times New Roman" w:hAnsi="Times New Roman" w:cs="Times New Roman"/>
                <w:snapToGrid w:val="0"/>
                <w:color w:val="auto"/>
                <w:kern w:val="21"/>
                <w:szCs w:val="21"/>
                <w:highlight w:val="none"/>
              </w:rPr>
            </w:pPr>
            <w:r>
              <w:rPr>
                <w:rFonts w:hint="eastAsia" w:ascii="Times New Roman" w:hAnsi="Times New Roman" w:cs="Times New Roman"/>
                <w:snapToGrid w:val="0"/>
                <w:color w:val="auto"/>
                <w:kern w:val="21"/>
                <w:szCs w:val="21"/>
                <w:highlight w:val="none"/>
                <w:lang w:val="en-US" w:eastAsia="zh-CN"/>
              </w:rPr>
              <w:t>/</w:t>
            </w:r>
          </w:p>
        </w:tc>
        <w:tc>
          <w:tcPr>
            <w:tcW w:w="1761" w:type="dxa"/>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outlineLvl w:val="9"/>
              <w:rPr>
                <w:rFonts w:hint="default" w:ascii="Times New Roman" w:hAnsi="Times New Roman" w:cs="Times New Roman"/>
                <w:snapToGrid w:val="0"/>
                <w:color w:val="auto"/>
                <w:kern w:val="21"/>
                <w:szCs w:val="21"/>
                <w:highlight w:val="none"/>
              </w:rPr>
            </w:pPr>
            <w:r>
              <w:rPr>
                <w:rFonts w:hint="eastAsia" w:ascii="Times New Roman" w:hAnsi="Times New Roman" w:cs="Times New Roman"/>
                <w:snapToGrid w:val="0"/>
                <w:color w:val="auto"/>
                <w:kern w:val="21"/>
                <w:szCs w:val="21"/>
                <w:highlight w:val="none"/>
                <w:lang w:val="en-US" w:eastAsia="zh-CN"/>
              </w:rPr>
              <w:t>/</w:t>
            </w:r>
          </w:p>
        </w:tc>
        <w:tc>
          <w:tcPr>
            <w:tcW w:w="1519" w:type="dxa"/>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outlineLvl w:val="9"/>
              <w:rPr>
                <w:rFonts w:hint="default" w:ascii="Times New Roman" w:hAnsi="Times New Roman" w:cs="Times New Roman"/>
                <w:snapToGrid w:val="0"/>
                <w:color w:val="auto"/>
                <w:kern w:val="21"/>
                <w:szCs w:val="21"/>
                <w:highlight w:val="none"/>
              </w:rPr>
            </w:pPr>
            <w:r>
              <w:rPr>
                <w:rFonts w:hint="eastAsia" w:ascii="Times New Roman" w:hAnsi="Times New Roman" w:cs="Times New Roman"/>
                <w:snapToGrid w:val="0"/>
                <w:color w:val="auto"/>
                <w:kern w:val="21"/>
                <w:szCs w:val="21"/>
                <w:highlight w:val="none"/>
                <w:lang w:val="en-US" w:eastAsia="zh-CN"/>
              </w:rPr>
              <w:t>/</w:t>
            </w:r>
          </w:p>
        </w:tc>
        <w:tc>
          <w:tcPr>
            <w:tcW w:w="1474" w:type="dxa"/>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outlineLvl w:val="9"/>
              <w:rPr>
                <w:rFonts w:hint="default" w:ascii="Times New Roman" w:hAnsi="Times New Roman" w:cs="Times New Roman"/>
                <w:snapToGrid w:val="0"/>
                <w:color w:val="auto"/>
                <w:kern w:val="21"/>
                <w:szCs w:val="21"/>
                <w:highlight w:val="none"/>
              </w:rPr>
            </w:pPr>
            <w:r>
              <w:rPr>
                <w:rFonts w:hint="eastAsia" w:ascii="Times New Roman" w:hAnsi="Times New Roman" w:cs="Times New Roman"/>
                <w:snapToGrid w:val="0"/>
                <w:color w:val="auto"/>
                <w:kern w:val="21"/>
                <w:szCs w:val="21"/>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1588" w:type="dxa"/>
            <w:vMerge w:val="restart"/>
            <w:noWrap w:val="0"/>
            <w:vAlign w:val="center"/>
          </w:tcPr>
          <w:p>
            <w:pPr>
              <w:pStyle w:val="92"/>
              <w:spacing w:beforeLines="0" w:afterLines="0" w:line="240" w:lineRule="auto"/>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rPr>
              <w:t>一般工业</w:t>
            </w:r>
          </w:p>
          <w:p>
            <w:pPr>
              <w:pStyle w:val="92"/>
              <w:spacing w:beforeLines="0" w:afterLines="0" w:line="240" w:lineRule="auto"/>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rPr>
              <w:t>固体废物</w:t>
            </w:r>
          </w:p>
        </w:tc>
        <w:tc>
          <w:tcPr>
            <w:tcW w:w="1542" w:type="dxa"/>
            <w:noWrap w:val="0"/>
            <w:vAlign w:val="center"/>
          </w:tcPr>
          <w:p>
            <w:pPr>
              <w:adjustRightInd w:val="0"/>
              <w:jc w:val="center"/>
              <w:textAlignment w:val="baseline"/>
              <w:rPr>
                <w:rFonts w:hint="eastAsia" w:ascii="Times New Roman" w:hAnsi="Times New Roman" w:eastAsia="宋体" w:cs="Times New Roman"/>
                <w:snapToGrid w:val="0"/>
                <w:color w:val="auto"/>
                <w:kern w:val="21"/>
                <w:szCs w:val="21"/>
                <w:highlight w:val="none"/>
                <w:lang w:eastAsia="zh-CN"/>
              </w:rPr>
            </w:pPr>
            <w:r>
              <w:rPr>
                <w:bCs/>
                <w:color w:val="auto"/>
                <w:szCs w:val="21"/>
                <w:highlight w:val="none"/>
              </w:rPr>
              <w:t>生活垃圾</w:t>
            </w:r>
          </w:p>
        </w:tc>
        <w:tc>
          <w:tcPr>
            <w:tcW w:w="1576" w:type="dxa"/>
            <w:noWrap w:val="0"/>
            <w:vAlign w:val="center"/>
          </w:tcPr>
          <w:p>
            <w:pPr>
              <w:spacing w:beforeLines="0" w:afterLines="0" w:line="240" w:lineRule="auto"/>
              <w:jc w:val="center"/>
              <w:rPr>
                <w:rFonts w:hint="eastAsia" w:ascii="Times New Roman" w:hAnsi="Times New Roman" w:eastAsia="宋体" w:cs="Times New Roman"/>
                <w:snapToGrid w:val="0"/>
                <w:color w:val="auto"/>
                <w:kern w:val="21"/>
                <w:szCs w:val="21"/>
                <w:highlight w:val="none"/>
                <w:lang w:val="en-US" w:eastAsia="zh-CN"/>
              </w:rPr>
            </w:pPr>
            <w:r>
              <w:rPr>
                <w:rFonts w:hint="eastAsia" w:ascii="Times New Roman" w:hAnsi="Times New Roman" w:cs="Times New Roman"/>
                <w:snapToGrid w:val="0"/>
                <w:color w:val="auto"/>
                <w:kern w:val="21"/>
                <w:szCs w:val="21"/>
                <w:highlight w:val="none"/>
                <w:lang w:val="en-US" w:eastAsia="zh-CN"/>
              </w:rPr>
              <w:t>/</w:t>
            </w:r>
          </w:p>
        </w:tc>
        <w:tc>
          <w:tcPr>
            <w:tcW w:w="1276" w:type="dxa"/>
            <w:noWrap w:val="0"/>
            <w:vAlign w:val="center"/>
          </w:tcPr>
          <w:p>
            <w:pPr>
              <w:spacing w:beforeLines="0" w:afterLines="0" w:line="240" w:lineRule="auto"/>
              <w:jc w:val="center"/>
              <w:rPr>
                <w:rFonts w:hint="eastAsia" w:ascii="Times New Roman" w:hAnsi="Times New Roman" w:eastAsia="宋体" w:cs="Times New Roman"/>
                <w:snapToGrid w:val="0"/>
                <w:color w:val="auto"/>
                <w:kern w:val="21"/>
                <w:szCs w:val="21"/>
                <w:highlight w:val="none"/>
                <w:lang w:val="en-US" w:eastAsia="zh-CN"/>
              </w:rPr>
            </w:pPr>
            <w:r>
              <w:rPr>
                <w:rFonts w:hint="eastAsia" w:ascii="Times New Roman" w:hAnsi="Times New Roman" w:cs="Times New Roman"/>
                <w:snapToGrid w:val="0"/>
                <w:color w:val="auto"/>
                <w:kern w:val="21"/>
                <w:szCs w:val="21"/>
                <w:highlight w:val="none"/>
                <w:lang w:val="en-US" w:eastAsia="zh-CN"/>
              </w:rPr>
              <w:t>/</w:t>
            </w:r>
          </w:p>
        </w:tc>
        <w:tc>
          <w:tcPr>
            <w:tcW w:w="1701" w:type="dxa"/>
            <w:noWrap w:val="0"/>
            <w:vAlign w:val="center"/>
          </w:tcPr>
          <w:p>
            <w:pPr>
              <w:spacing w:beforeLines="0" w:afterLines="0" w:line="240" w:lineRule="auto"/>
              <w:jc w:val="center"/>
              <w:rPr>
                <w:rFonts w:hint="eastAsia" w:ascii="Times New Roman" w:hAnsi="Times New Roman" w:eastAsia="宋体" w:cs="Times New Roman"/>
                <w:snapToGrid w:val="0"/>
                <w:color w:val="auto"/>
                <w:kern w:val="21"/>
                <w:szCs w:val="21"/>
                <w:highlight w:val="none"/>
                <w:lang w:val="en-US" w:eastAsia="zh-CN"/>
              </w:rPr>
            </w:pPr>
            <w:r>
              <w:rPr>
                <w:rFonts w:hint="eastAsia" w:ascii="Times New Roman" w:hAnsi="Times New Roman" w:cs="Times New Roman"/>
                <w:snapToGrid w:val="0"/>
                <w:color w:val="auto"/>
                <w:kern w:val="21"/>
                <w:szCs w:val="21"/>
                <w:highlight w:val="none"/>
                <w:lang w:val="en-US" w:eastAsia="zh-CN"/>
              </w:rPr>
              <w:t>/</w:t>
            </w:r>
          </w:p>
        </w:tc>
        <w:tc>
          <w:tcPr>
            <w:tcW w:w="1559" w:type="dxa"/>
            <w:noWrap w:val="0"/>
            <w:vAlign w:val="center"/>
          </w:tcPr>
          <w:p>
            <w:pPr>
              <w:jc w:val="center"/>
              <w:rPr>
                <w:rFonts w:hint="eastAsia" w:ascii="Times New Roman" w:hAnsi="Times New Roman" w:eastAsia="宋体" w:cs="Times New Roman"/>
                <w:snapToGrid w:val="0"/>
                <w:color w:val="auto"/>
                <w:kern w:val="21"/>
                <w:szCs w:val="21"/>
                <w:highlight w:val="none"/>
                <w:lang w:val="en-US" w:eastAsia="zh-CN"/>
              </w:rPr>
            </w:pPr>
            <w:r>
              <w:rPr>
                <w:rFonts w:hint="eastAsia"/>
                <w:color w:val="auto"/>
                <w:szCs w:val="21"/>
                <w:highlight w:val="none"/>
                <w:lang w:val="en-US" w:eastAsia="zh-CN"/>
              </w:rPr>
              <w:t>4.5</w:t>
            </w:r>
          </w:p>
        </w:tc>
        <w:tc>
          <w:tcPr>
            <w:tcW w:w="1761" w:type="dxa"/>
            <w:noWrap w:val="0"/>
            <w:vAlign w:val="center"/>
          </w:tcPr>
          <w:p>
            <w:pPr>
              <w:spacing w:beforeLines="0" w:afterLines="0" w:line="240" w:lineRule="auto"/>
              <w:jc w:val="center"/>
              <w:rPr>
                <w:rFonts w:hint="default" w:ascii="Times New Roman" w:hAnsi="Times New Roman" w:cs="Times New Roman"/>
                <w:snapToGrid w:val="0"/>
                <w:color w:val="auto"/>
                <w:kern w:val="21"/>
                <w:szCs w:val="21"/>
                <w:highlight w:val="none"/>
              </w:rPr>
            </w:pPr>
            <w:r>
              <w:rPr>
                <w:rFonts w:ascii="Times New Roman"/>
                <w:snapToGrid w:val="0"/>
                <w:color w:val="auto"/>
                <w:kern w:val="21"/>
                <w:szCs w:val="21"/>
                <w:highlight w:val="none"/>
              </w:rPr>
              <w:t>0</w:t>
            </w:r>
          </w:p>
        </w:tc>
        <w:tc>
          <w:tcPr>
            <w:tcW w:w="1519" w:type="dxa"/>
            <w:noWrap w:val="0"/>
            <w:vAlign w:val="center"/>
          </w:tcPr>
          <w:p>
            <w:pPr>
              <w:jc w:val="center"/>
              <w:rPr>
                <w:rFonts w:hint="default" w:ascii="Times New Roman" w:hAnsi="Times New Roman" w:cs="Times New Roman"/>
                <w:snapToGrid w:val="0"/>
                <w:color w:val="auto"/>
                <w:kern w:val="21"/>
                <w:szCs w:val="21"/>
                <w:highlight w:val="none"/>
              </w:rPr>
            </w:pPr>
            <w:r>
              <w:rPr>
                <w:rFonts w:hint="eastAsia"/>
                <w:color w:val="auto"/>
                <w:szCs w:val="21"/>
                <w:highlight w:val="none"/>
                <w:lang w:val="en-US" w:eastAsia="zh-CN"/>
              </w:rPr>
              <w:t>4.5</w:t>
            </w:r>
          </w:p>
        </w:tc>
        <w:tc>
          <w:tcPr>
            <w:tcW w:w="1474" w:type="dxa"/>
            <w:noWrap w:val="0"/>
            <w:vAlign w:val="center"/>
          </w:tcPr>
          <w:p>
            <w:pPr>
              <w:jc w:val="center"/>
              <w:rPr>
                <w:rFonts w:hint="default" w:ascii="Times New Roman" w:hAnsi="Times New Roman" w:cs="Times New Roman"/>
                <w:snapToGrid w:val="0"/>
                <w:color w:val="auto"/>
                <w:kern w:val="21"/>
                <w:szCs w:val="21"/>
                <w:highlight w:val="none"/>
              </w:rPr>
            </w:pPr>
            <w:r>
              <w:rPr>
                <w:rFonts w:hint="eastAsia"/>
                <w:color w:val="auto"/>
                <w:szCs w:val="21"/>
                <w:highlight w:val="none"/>
                <w:lang w:val="en-US" w:eastAsia="zh-CN"/>
              </w:rPr>
              <w:t>+4.5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88" w:type="dxa"/>
            <w:vMerge w:val="continue"/>
            <w:noWrap w:val="0"/>
            <w:vAlign w:val="center"/>
          </w:tcPr>
          <w:p>
            <w:pPr>
              <w:pStyle w:val="92"/>
              <w:spacing w:beforeLines="0" w:afterLines="0" w:line="240" w:lineRule="auto"/>
              <w:rPr>
                <w:rFonts w:hint="default" w:ascii="Times New Roman" w:hAnsi="Times New Roman" w:cs="Times New Roman"/>
                <w:snapToGrid w:val="0"/>
                <w:color w:val="auto"/>
                <w:kern w:val="21"/>
                <w:szCs w:val="21"/>
                <w:highlight w:val="none"/>
              </w:rPr>
            </w:pPr>
          </w:p>
        </w:tc>
        <w:tc>
          <w:tcPr>
            <w:tcW w:w="1542" w:type="dxa"/>
            <w:noWrap w:val="0"/>
            <w:vAlign w:val="center"/>
          </w:tcPr>
          <w:p>
            <w:pPr>
              <w:jc w:val="center"/>
              <w:rPr>
                <w:rFonts w:hint="eastAsia" w:ascii="Times New Roman" w:hAnsi="Times New Roman" w:eastAsia="宋体" w:cs="Times New Roman"/>
                <w:snapToGrid w:val="0"/>
                <w:color w:val="auto"/>
                <w:kern w:val="21"/>
                <w:szCs w:val="21"/>
                <w:highlight w:val="none"/>
                <w:lang w:eastAsia="zh-CN"/>
              </w:rPr>
            </w:pPr>
            <w:r>
              <w:rPr>
                <w:rFonts w:hint="eastAsia" w:ascii="Times New Roman" w:hAnsi="Times New Roman" w:cs="Times New Roman"/>
                <w:color w:val="auto"/>
                <w:szCs w:val="21"/>
                <w:highlight w:val="none"/>
                <w:lang w:val="en-US" w:eastAsia="zh-CN"/>
              </w:rPr>
              <w:t>水池沉渣</w:t>
            </w:r>
          </w:p>
        </w:tc>
        <w:tc>
          <w:tcPr>
            <w:tcW w:w="1576" w:type="dxa"/>
            <w:noWrap w:val="0"/>
            <w:vAlign w:val="center"/>
          </w:tcPr>
          <w:p>
            <w:pPr>
              <w:spacing w:beforeLines="0" w:afterLines="0" w:line="240" w:lineRule="auto"/>
              <w:jc w:val="center"/>
              <w:rPr>
                <w:rFonts w:hint="eastAsia" w:ascii="Times New Roman" w:hAnsi="Times New Roman" w:eastAsia="宋体" w:cs="Times New Roman"/>
                <w:snapToGrid w:val="0"/>
                <w:color w:val="auto"/>
                <w:kern w:val="21"/>
                <w:szCs w:val="21"/>
                <w:highlight w:val="none"/>
                <w:lang w:val="en-US" w:eastAsia="zh-CN"/>
              </w:rPr>
            </w:pPr>
            <w:r>
              <w:rPr>
                <w:rFonts w:hint="eastAsia" w:ascii="Times New Roman" w:hAnsi="Times New Roman" w:cs="Times New Roman"/>
                <w:snapToGrid w:val="0"/>
                <w:color w:val="auto"/>
                <w:kern w:val="21"/>
                <w:szCs w:val="21"/>
                <w:highlight w:val="none"/>
                <w:lang w:val="en-US" w:eastAsia="zh-CN"/>
              </w:rPr>
              <w:t>/</w:t>
            </w:r>
          </w:p>
        </w:tc>
        <w:tc>
          <w:tcPr>
            <w:tcW w:w="1276" w:type="dxa"/>
            <w:noWrap w:val="0"/>
            <w:vAlign w:val="center"/>
          </w:tcPr>
          <w:p>
            <w:pPr>
              <w:spacing w:beforeLines="0" w:afterLines="0" w:line="240" w:lineRule="auto"/>
              <w:jc w:val="center"/>
              <w:rPr>
                <w:rFonts w:hint="eastAsia" w:ascii="Times New Roman" w:hAnsi="Times New Roman" w:eastAsia="宋体" w:cs="Times New Roman"/>
                <w:snapToGrid w:val="0"/>
                <w:color w:val="auto"/>
                <w:kern w:val="21"/>
                <w:szCs w:val="21"/>
                <w:highlight w:val="none"/>
                <w:lang w:val="en-US" w:eastAsia="zh-CN"/>
              </w:rPr>
            </w:pPr>
            <w:r>
              <w:rPr>
                <w:rFonts w:hint="eastAsia" w:ascii="Times New Roman" w:hAnsi="Times New Roman" w:cs="Times New Roman"/>
                <w:snapToGrid w:val="0"/>
                <w:color w:val="auto"/>
                <w:kern w:val="21"/>
                <w:szCs w:val="21"/>
                <w:highlight w:val="none"/>
                <w:lang w:val="en-US" w:eastAsia="zh-CN"/>
              </w:rPr>
              <w:t>/</w:t>
            </w:r>
          </w:p>
        </w:tc>
        <w:tc>
          <w:tcPr>
            <w:tcW w:w="1701" w:type="dxa"/>
            <w:noWrap w:val="0"/>
            <w:vAlign w:val="center"/>
          </w:tcPr>
          <w:p>
            <w:pPr>
              <w:spacing w:beforeLines="0" w:afterLines="0" w:line="240" w:lineRule="auto"/>
              <w:jc w:val="center"/>
              <w:rPr>
                <w:rFonts w:hint="eastAsia" w:ascii="Times New Roman" w:hAnsi="Times New Roman" w:eastAsia="宋体" w:cs="Times New Roman"/>
                <w:snapToGrid w:val="0"/>
                <w:color w:val="auto"/>
                <w:kern w:val="21"/>
                <w:szCs w:val="21"/>
                <w:highlight w:val="none"/>
                <w:lang w:val="en-US" w:eastAsia="zh-CN"/>
              </w:rPr>
            </w:pPr>
            <w:r>
              <w:rPr>
                <w:rFonts w:hint="eastAsia" w:ascii="Times New Roman" w:hAnsi="Times New Roman" w:cs="Times New Roman"/>
                <w:snapToGrid w:val="0"/>
                <w:color w:val="auto"/>
                <w:kern w:val="21"/>
                <w:szCs w:val="21"/>
                <w:highlight w:val="none"/>
                <w:lang w:val="en-US" w:eastAsia="zh-CN"/>
              </w:rPr>
              <w:t>/</w:t>
            </w:r>
          </w:p>
        </w:tc>
        <w:tc>
          <w:tcPr>
            <w:tcW w:w="1559" w:type="dxa"/>
            <w:noWrap w:val="0"/>
            <w:vAlign w:val="center"/>
          </w:tcPr>
          <w:p>
            <w:pPr>
              <w:jc w:val="center"/>
              <w:rPr>
                <w:rFonts w:hint="eastAsia" w:ascii="Times New Roman" w:hAnsi="Times New Roman" w:eastAsia="宋体" w:cs="Times New Roman"/>
                <w:snapToGrid w:val="0"/>
                <w:color w:val="auto"/>
                <w:kern w:val="21"/>
                <w:szCs w:val="21"/>
                <w:highlight w:val="none"/>
                <w:lang w:val="en-US" w:eastAsia="zh-CN"/>
              </w:rPr>
            </w:pPr>
            <w:r>
              <w:rPr>
                <w:rFonts w:hint="eastAsia"/>
                <w:color w:val="auto"/>
                <w:szCs w:val="21"/>
                <w:highlight w:val="none"/>
                <w:lang w:val="en-US" w:eastAsia="zh-CN"/>
              </w:rPr>
              <w:t>4.6</w:t>
            </w:r>
          </w:p>
        </w:tc>
        <w:tc>
          <w:tcPr>
            <w:tcW w:w="1761" w:type="dxa"/>
            <w:noWrap w:val="0"/>
            <w:vAlign w:val="center"/>
          </w:tcPr>
          <w:p>
            <w:pPr>
              <w:spacing w:beforeLines="0" w:afterLines="0" w:line="240" w:lineRule="auto"/>
              <w:jc w:val="center"/>
              <w:rPr>
                <w:rFonts w:hint="default" w:ascii="Times New Roman" w:hAnsi="Times New Roman" w:cs="Times New Roman"/>
                <w:snapToGrid w:val="0"/>
                <w:color w:val="auto"/>
                <w:kern w:val="21"/>
                <w:szCs w:val="21"/>
                <w:highlight w:val="none"/>
              </w:rPr>
            </w:pPr>
            <w:r>
              <w:rPr>
                <w:rFonts w:ascii="Times New Roman"/>
                <w:snapToGrid w:val="0"/>
                <w:color w:val="auto"/>
                <w:kern w:val="21"/>
                <w:szCs w:val="21"/>
                <w:highlight w:val="none"/>
              </w:rPr>
              <w:t>0</w:t>
            </w:r>
          </w:p>
        </w:tc>
        <w:tc>
          <w:tcPr>
            <w:tcW w:w="1519" w:type="dxa"/>
            <w:noWrap w:val="0"/>
            <w:vAlign w:val="center"/>
          </w:tcPr>
          <w:p>
            <w:pPr>
              <w:jc w:val="center"/>
              <w:rPr>
                <w:rFonts w:hint="default" w:ascii="Times New Roman" w:hAnsi="Times New Roman" w:cs="Times New Roman"/>
                <w:snapToGrid w:val="0"/>
                <w:color w:val="auto"/>
                <w:kern w:val="21"/>
                <w:szCs w:val="21"/>
                <w:highlight w:val="none"/>
              </w:rPr>
            </w:pPr>
            <w:r>
              <w:rPr>
                <w:rFonts w:hint="eastAsia"/>
                <w:color w:val="auto"/>
                <w:szCs w:val="21"/>
                <w:highlight w:val="none"/>
                <w:lang w:val="en-US" w:eastAsia="zh-CN"/>
              </w:rPr>
              <w:t>4.6</w:t>
            </w:r>
          </w:p>
        </w:tc>
        <w:tc>
          <w:tcPr>
            <w:tcW w:w="1474" w:type="dxa"/>
            <w:noWrap w:val="0"/>
            <w:vAlign w:val="center"/>
          </w:tcPr>
          <w:p>
            <w:pPr>
              <w:jc w:val="center"/>
              <w:rPr>
                <w:rFonts w:hint="default" w:ascii="Times New Roman" w:hAnsi="Times New Roman" w:cs="Times New Roman"/>
                <w:snapToGrid w:val="0"/>
                <w:color w:val="auto"/>
                <w:kern w:val="21"/>
                <w:szCs w:val="21"/>
                <w:highlight w:val="none"/>
              </w:rPr>
            </w:pPr>
            <w:r>
              <w:rPr>
                <w:rFonts w:hint="eastAsia"/>
                <w:color w:val="auto"/>
                <w:szCs w:val="21"/>
                <w:highlight w:val="none"/>
                <w:lang w:val="en-US" w:eastAsia="zh-CN"/>
              </w:rPr>
              <w:t>+4.6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88" w:type="dxa"/>
            <w:vMerge w:val="continue"/>
            <w:noWrap w:val="0"/>
            <w:vAlign w:val="center"/>
          </w:tcPr>
          <w:p>
            <w:pPr>
              <w:pStyle w:val="92"/>
              <w:spacing w:beforeLines="0" w:afterLines="0" w:line="240" w:lineRule="auto"/>
              <w:rPr>
                <w:rFonts w:hint="default" w:ascii="Times New Roman" w:hAnsi="Times New Roman" w:cs="Times New Roman"/>
                <w:snapToGrid w:val="0"/>
                <w:color w:val="auto"/>
                <w:kern w:val="21"/>
                <w:szCs w:val="21"/>
                <w:highlight w:val="none"/>
              </w:rPr>
            </w:pPr>
          </w:p>
        </w:tc>
        <w:tc>
          <w:tcPr>
            <w:tcW w:w="1542" w:type="dxa"/>
            <w:noWrap w:val="0"/>
            <w:vAlign w:val="center"/>
          </w:tcPr>
          <w:p>
            <w:pPr>
              <w:jc w:val="center"/>
              <w:rPr>
                <w:rFonts w:hint="eastAsia"/>
                <w:color w:val="auto"/>
                <w:szCs w:val="21"/>
                <w:highlight w:val="none"/>
                <w:lang w:val="en-US" w:eastAsia="zh-CN"/>
              </w:rPr>
            </w:pPr>
            <w:r>
              <w:rPr>
                <w:rFonts w:hint="default" w:ascii="Times New Roman" w:hAnsi="Times New Roman" w:cs="Times New Roman"/>
                <w:color w:val="auto"/>
                <w:szCs w:val="21"/>
                <w:highlight w:val="none"/>
                <w:lang w:eastAsia="zh-CN"/>
              </w:rPr>
              <w:t>边角料和不合格产品</w:t>
            </w:r>
          </w:p>
        </w:tc>
        <w:tc>
          <w:tcPr>
            <w:tcW w:w="1576" w:type="dxa"/>
            <w:noWrap w:val="0"/>
            <w:vAlign w:val="center"/>
          </w:tcPr>
          <w:p>
            <w:pPr>
              <w:spacing w:beforeLines="0" w:afterLines="0" w:line="240" w:lineRule="auto"/>
              <w:jc w:val="center"/>
              <w:rPr>
                <w:rFonts w:hint="eastAsia" w:ascii="Times New Roman" w:hAnsi="Times New Roman" w:cs="Times New Roman"/>
                <w:snapToGrid w:val="0"/>
                <w:color w:val="auto"/>
                <w:kern w:val="21"/>
                <w:szCs w:val="21"/>
                <w:highlight w:val="none"/>
                <w:lang w:val="en-US" w:eastAsia="zh-CN"/>
              </w:rPr>
            </w:pPr>
            <w:r>
              <w:rPr>
                <w:rFonts w:hint="eastAsia" w:ascii="Times New Roman" w:hAnsi="Times New Roman" w:cs="Times New Roman"/>
                <w:snapToGrid w:val="0"/>
                <w:color w:val="auto"/>
                <w:kern w:val="21"/>
                <w:szCs w:val="21"/>
                <w:highlight w:val="none"/>
                <w:lang w:val="en-US" w:eastAsia="zh-CN"/>
              </w:rPr>
              <w:t>/</w:t>
            </w:r>
          </w:p>
        </w:tc>
        <w:tc>
          <w:tcPr>
            <w:tcW w:w="1276" w:type="dxa"/>
            <w:noWrap w:val="0"/>
            <w:vAlign w:val="center"/>
          </w:tcPr>
          <w:p>
            <w:pPr>
              <w:spacing w:beforeLines="0" w:afterLines="0" w:line="240" w:lineRule="auto"/>
              <w:jc w:val="center"/>
              <w:rPr>
                <w:rFonts w:hint="eastAsia" w:ascii="Times New Roman" w:hAnsi="Times New Roman" w:cs="Times New Roman"/>
                <w:snapToGrid w:val="0"/>
                <w:color w:val="auto"/>
                <w:kern w:val="21"/>
                <w:szCs w:val="21"/>
                <w:highlight w:val="none"/>
                <w:lang w:val="en-US" w:eastAsia="zh-CN"/>
              </w:rPr>
            </w:pPr>
            <w:r>
              <w:rPr>
                <w:rFonts w:hint="eastAsia" w:ascii="Times New Roman" w:hAnsi="Times New Roman" w:cs="Times New Roman"/>
                <w:snapToGrid w:val="0"/>
                <w:color w:val="auto"/>
                <w:kern w:val="21"/>
                <w:szCs w:val="21"/>
                <w:highlight w:val="none"/>
                <w:lang w:val="en-US" w:eastAsia="zh-CN"/>
              </w:rPr>
              <w:t>/</w:t>
            </w:r>
          </w:p>
        </w:tc>
        <w:tc>
          <w:tcPr>
            <w:tcW w:w="1701" w:type="dxa"/>
            <w:noWrap w:val="0"/>
            <w:vAlign w:val="center"/>
          </w:tcPr>
          <w:p>
            <w:pPr>
              <w:spacing w:beforeLines="0" w:afterLines="0" w:line="240" w:lineRule="auto"/>
              <w:jc w:val="center"/>
              <w:rPr>
                <w:rFonts w:hint="eastAsia" w:ascii="Times New Roman" w:hAnsi="Times New Roman" w:cs="Times New Roman"/>
                <w:snapToGrid w:val="0"/>
                <w:color w:val="auto"/>
                <w:kern w:val="21"/>
                <w:szCs w:val="21"/>
                <w:highlight w:val="none"/>
                <w:lang w:val="en-US" w:eastAsia="zh-CN"/>
              </w:rPr>
            </w:pPr>
            <w:r>
              <w:rPr>
                <w:rFonts w:hint="eastAsia" w:ascii="Times New Roman" w:hAnsi="Times New Roman" w:cs="Times New Roman"/>
                <w:snapToGrid w:val="0"/>
                <w:color w:val="auto"/>
                <w:kern w:val="21"/>
                <w:szCs w:val="21"/>
                <w:highlight w:val="none"/>
                <w:lang w:val="en-US" w:eastAsia="zh-CN"/>
              </w:rPr>
              <w:t>/</w:t>
            </w:r>
          </w:p>
        </w:tc>
        <w:tc>
          <w:tcPr>
            <w:tcW w:w="1559" w:type="dxa"/>
            <w:noWrap w:val="0"/>
            <w:vAlign w:val="center"/>
          </w:tcPr>
          <w:p>
            <w:pPr>
              <w:jc w:val="center"/>
              <w:rPr>
                <w:rFonts w:hint="eastAsia" w:eastAsia="宋体"/>
                <w:bCs/>
                <w:color w:val="auto"/>
                <w:szCs w:val="21"/>
                <w:highlight w:val="none"/>
                <w:lang w:val="en-US" w:eastAsia="zh-CN"/>
              </w:rPr>
            </w:pPr>
            <w:r>
              <w:rPr>
                <w:rFonts w:hint="eastAsia"/>
                <w:color w:val="auto"/>
                <w:szCs w:val="21"/>
                <w:highlight w:val="none"/>
                <w:lang w:val="en-US" w:eastAsia="zh-CN"/>
              </w:rPr>
              <w:t>50.4</w:t>
            </w:r>
          </w:p>
        </w:tc>
        <w:tc>
          <w:tcPr>
            <w:tcW w:w="1761" w:type="dxa"/>
            <w:noWrap w:val="0"/>
            <w:vAlign w:val="center"/>
          </w:tcPr>
          <w:p>
            <w:pPr>
              <w:spacing w:beforeLines="0" w:afterLines="0" w:line="240" w:lineRule="auto"/>
              <w:jc w:val="center"/>
              <w:rPr>
                <w:rFonts w:ascii="Times New Roman"/>
                <w:snapToGrid w:val="0"/>
                <w:color w:val="auto"/>
                <w:kern w:val="21"/>
                <w:szCs w:val="21"/>
                <w:highlight w:val="none"/>
              </w:rPr>
            </w:pPr>
            <w:r>
              <w:rPr>
                <w:rFonts w:ascii="Times New Roman"/>
                <w:snapToGrid w:val="0"/>
                <w:color w:val="auto"/>
                <w:kern w:val="21"/>
                <w:szCs w:val="21"/>
                <w:highlight w:val="none"/>
              </w:rPr>
              <w:t>0</w:t>
            </w:r>
          </w:p>
        </w:tc>
        <w:tc>
          <w:tcPr>
            <w:tcW w:w="1519" w:type="dxa"/>
            <w:noWrap w:val="0"/>
            <w:vAlign w:val="center"/>
          </w:tcPr>
          <w:p>
            <w:pPr>
              <w:jc w:val="center"/>
              <w:rPr>
                <w:rFonts w:hint="eastAsia" w:eastAsia="宋体"/>
                <w:bCs/>
                <w:color w:val="auto"/>
                <w:szCs w:val="21"/>
                <w:highlight w:val="none"/>
                <w:lang w:val="en-US" w:eastAsia="zh-CN"/>
              </w:rPr>
            </w:pPr>
            <w:r>
              <w:rPr>
                <w:rFonts w:hint="eastAsia"/>
                <w:color w:val="auto"/>
                <w:szCs w:val="21"/>
                <w:highlight w:val="none"/>
                <w:lang w:val="en-US" w:eastAsia="zh-CN"/>
              </w:rPr>
              <w:t>50.4</w:t>
            </w:r>
          </w:p>
        </w:tc>
        <w:tc>
          <w:tcPr>
            <w:tcW w:w="1474" w:type="dxa"/>
            <w:noWrap w:val="0"/>
            <w:vAlign w:val="center"/>
          </w:tcPr>
          <w:p>
            <w:pPr>
              <w:jc w:val="center"/>
              <w:rPr>
                <w:rFonts w:hint="eastAsia" w:eastAsia="宋体"/>
                <w:bCs/>
                <w:color w:val="auto"/>
                <w:szCs w:val="21"/>
                <w:highlight w:val="none"/>
                <w:lang w:val="en-US" w:eastAsia="zh-CN"/>
              </w:rPr>
            </w:pPr>
            <w:r>
              <w:rPr>
                <w:rFonts w:hint="eastAsia"/>
                <w:color w:val="auto"/>
                <w:szCs w:val="21"/>
                <w:highlight w:val="none"/>
                <w:lang w:val="en-US" w:eastAsia="zh-CN"/>
              </w:rPr>
              <w:t>+50.4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88" w:type="dxa"/>
            <w:vMerge w:val="continue"/>
            <w:noWrap w:val="0"/>
            <w:vAlign w:val="center"/>
          </w:tcPr>
          <w:p>
            <w:pPr>
              <w:pStyle w:val="92"/>
              <w:spacing w:beforeLines="0" w:afterLines="0" w:line="240" w:lineRule="auto"/>
              <w:rPr>
                <w:rFonts w:hint="default" w:ascii="Times New Roman" w:hAnsi="Times New Roman" w:cs="Times New Roman"/>
                <w:snapToGrid w:val="0"/>
                <w:color w:val="auto"/>
                <w:kern w:val="21"/>
                <w:szCs w:val="21"/>
                <w:highlight w:val="none"/>
              </w:rPr>
            </w:pPr>
          </w:p>
        </w:tc>
        <w:tc>
          <w:tcPr>
            <w:tcW w:w="1542" w:type="dxa"/>
            <w:noWrap w:val="0"/>
            <w:vAlign w:val="center"/>
          </w:tcPr>
          <w:p>
            <w:pPr>
              <w:jc w:val="center"/>
              <w:rPr>
                <w:rFonts w:hint="eastAsia" w:ascii="Times New Roman" w:hAnsi="Times New Roman" w:cs="Times New Roman"/>
                <w:snapToGrid w:val="0"/>
                <w:color w:val="auto"/>
                <w:kern w:val="21"/>
                <w:szCs w:val="21"/>
                <w:highlight w:val="none"/>
                <w:lang w:eastAsia="zh-CN"/>
              </w:rPr>
            </w:pPr>
            <w:r>
              <w:rPr>
                <w:rFonts w:hint="eastAsia" w:ascii="Times New Roman" w:hAnsi="Times New Roman" w:cs="Times New Roman"/>
                <w:color w:val="auto"/>
                <w:szCs w:val="21"/>
                <w:highlight w:val="none"/>
                <w:lang w:val="en-US" w:eastAsia="zh-CN"/>
              </w:rPr>
              <w:t>包装材料</w:t>
            </w:r>
          </w:p>
        </w:tc>
        <w:tc>
          <w:tcPr>
            <w:tcW w:w="1576" w:type="dxa"/>
            <w:noWrap w:val="0"/>
            <w:vAlign w:val="center"/>
          </w:tcPr>
          <w:p>
            <w:pPr>
              <w:spacing w:beforeLines="0" w:afterLines="0" w:line="240" w:lineRule="auto"/>
              <w:jc w:val="center"/>
              <w:rPr>
                <w:rFonts w:hint="default" w:ascii="Times New Roman" w:hAnsi="Times New Roman" w:cs="Times New Roman"/>
                <w:snapToGrid w:val="0"/>
                <w:color w:val="auto"/>
                <w:kern w:val="21"/>
                <w:szCs w:val="21"/>
                <w:highlight w:val="none"/>
                <w:lang w:val="en-US" w:eastAsia="zh-CN"/>
              </w:rPr>
            </w:pPr>
            <w:r>
              <w:rPr>
                <w:rFonts w:hint="eastAsia" w:ascii="Times New Roman" w:hAnsi="Times New Roman" w:cs="Times New Roman"/>
                <w:snapToGrid w:val="0"/>
                <w:color w:val="auto"/>
                <w:kern w:val="21"/>
                <w:szCs w:val="21"/>
                <w:highlight w:val="none"/>
                <w:lang w:val="en-US" w:eastAsia="zh-CN"/>
              </w:rPr>
              <w:t>/</w:t>
            </w:r>
          </w:p>
        </w:tc>
        <w:tc>
          <w:tcPr>
            <w:tcW w:w="1276" w:type="dxa"/>
            <w:noWrap w:val="0"/>
            <w:vAlign w:val="center"/>
          </w:tcPr>
          <w:p>
            <w:pPr>
              <w:spacing w:beforeLines="0" w:afterLines="0" w:line="240" w:lineRule="auto"/>
              <w:jc w:val="center"/>
              <w:rPr>
                <w:rFonts w:hint="default" w:ascii="Times New Roman" w:hAnsi="Times New Roman" w:cs="Times New Roman"/>
                <w:snapToGrid w:val="0"/>
                <w:color w:val="auto"/>
                <w:kern w:val="21"/>
                <w:szCs w:val="21"/>
                <w:highlight w:val="none"/>
                <w:lang w:val="en-US" w:eastAsia="zh-CN"/>
              </w:rPr>
            </w:pPr>
            <w:r>
              <w:rPr>
                <w:rFonts w:hint="eastAsia" w:ascii="Times New Roman" w:hAnsi="Times New Roman" w:cs="Times New Roman"/>
                <w:snapToGrid w:val="0"/>
                <w:color w:val="auto"/>
                <w:kern w:val="21"/>
                <w:szCs w:val="21"/>
                <w:highlight w:val="none"/>
                <w:lang w:val="en-US" w:eastAsia="zh-CN"/>
              </w:rPr>
              <w:t>/</w:t>
            </w:r>
          </w:p>
        </w:tc>
        <w:tc>
          <w:tcPr>
            <w:tcW w:w="1701" w:type="dxa"/>
            <w:noWrap w:val="0"/>
            <w:vAlign w:val="center"/>
          </w:tcPr>
          <w:p>
            <w:pPr>
              <w:spacing w:beforeLines="0" w:afterLines="0" w:line="240" w:lineRule="auto"/>
              <w:jc w:val="center"/>
              <w:rPr>
                <w:rFonts w:hint="default" w:ascii="Times New Roman" w:hAnsi="Times New Roman" w:cs="Times New Roman"/>
                <w:snapToGrid w:val="0"/>
                <w:color w:val="auto"/>
                <w:kern w:val="21"/>
                <w:szCs w:val="21"/>
                <w:highlight w:val="none"/>
                <w:lang w:val="en-US" w:eastAsia="zh-CN"/>
              </w:rPr>
            </w:pPr>
            <w:r>
              <w:rPr>
                <w:rFonts w:hint="eastAsia" w:ascii="Times New Roman" w:hAnsi="Times New Roman" w:cs="Times New Roman"/>
                <w:snapToGrid w:val="0"/>
                <w:color w:val="auto"/>
                <w:kern w:val="21"/>
                <w:szCs w:val="21"/>
                <w:highlight w:val="none"/>
                <w:lang w:val="en-US" w:eastAsia="zh-CN"/>
              </w:rPr>
              <w:t>/</w:t>
            </w:r>
          </w:p>
        </w:tc>
        <w:tc>
          <w:tcPr>
            <w:tcW w:w="1559" w:type="dxa"/>
            <w:noWrap w:val="0"/>
            <w:vAlign w:val="center"/>
          </w:tcPr>
          <w:p>
            <w:pPr>
              <w:jc w:val="center"/>
              <w:rPr>
                <w:rFonts w:hint="default"/>
                <w:color w:val="auto"/>
                <w:szCs w:val="21"/>
                <w:highlight w:val="none"/>
                <w:lang w:val="en-US" w:eastAsia="zh-CN"/>
              </w:rPr>
            </w:pPr>
            <w:r>
              <w:rPr>
                <w:rFonts w:hint="eastAsia"/>
                <w:color w:val="auto"/>
                <w:szCs w:val="21"/>
                <w:highlight w:val="none"/>
                <w:lang w:val="en-US" w:eastAsia="zh-CN"/>
              </w:rPr>
              <w:t>0.5</w:t>
            </w:r>
          </w:p>
        </w:tc>
        <w:tc>
          <w:tcPr>
            <w:tcW w:w="1761" w:type="dxa"/>
            <w:noWrap w:val="0"/>
            <w:vAlign w:val="center"/>
          </w:tcPr>
          <w:p>
            <w:pPr>
              <w:spacing w:beforeLines="0" w:afterLines="0" w:line="240" w:lineRule="auto"/>
              <w:jc w:val="center"/>
              <w:rPr>
                <w:rFonts w:hint="eastAsia" w:ascii="Times New Roman" w:eastAsia="宋体"/>
                <w:snapToGrid w:val="0"/>
                <w:color w:val="auto"/>
                <w:kern w:val="21"/>
                <w:szCs w:val="21"/>
                <w:highlight w:val="none"/>
                <w:lang w:val="en-US" w:eastAsia="zh-CN"/>
              </w:rPr>
            </w:pPr>
            <w:r>
              <w:rPr>
                <w:rFonts w:hint="eastAsia" w:ascii="Times New Roman"/>
                <w:snapToGrid w:val="0"/>
                <w:color w:val="auto"/>
                <w:kern w:val="21"/>
                <w:szCs w:val="21"/>
                <w:highlight w:val="none"/>
                <w:lang w:val="en-US" w:eastAsia="zh-CN"/>
              </w:rPr>
              <w:t>0</w:t>
            </w:r>
          </w:p>
        </w:tc>
        <w:tc>
          <w:tcPr>
            <w:tcW w:w="1519" w:type="dxa"/>
            <w:noWrap w:val="0"/>
            <w:vAlign w:val="center"/>
          </w:tcPr>
          <w:p>
            <w:pPr>
              <w:jc w:val="center"/>
              <w:rPr>
                <w:rFonts w:hint="default"/>
                <w:color w:val="auto"/>
                <w:szCs w:val="21"/>
                <w:highlight w:val="none"/>
                <w:lang w:val="en-US" w:eastAsia="zh-CN"/>
              </w:rPr>
            </w:pPr>
            <w:r>
              <w:rPr>
                <w:rFonts w:hint="eastAsia"/>
                <w:color w:val="auto"/>
                <w:szCs w:val="21"/>
                <w:highlight w:val="none"/>
                <w:lang w:val="en-US" w:eastAsia="zh-CN"/>
              </w:rPr>
              <w:t>0.5</w:t>
            </w:r>
          </w:p>
        </w:tc>
        <w:tc>
          <w:tcPr>
            <w:tcW w:w="1474" w:type="dxa"/>
            <w:noWrap w:val="0"/>
            <w:vAlign w:val="center"/>
          </w:tcPr>
          <w:p>
            <w:pPr>
              <w:jc w:val="center"/>
              <w:rPr>
                <w:rFonts w:hint="default"/>
                <w:color w:val="auto"/>
                <w:szCs w:val="21"/>
                <w:highlight w:val="none"/>
                <w:lang w:val="en-US" w:eastAsia="zh-CN"/>
              </w:rPr>
            </w:pPr>
            <w:r>
              <w:rPr>
                <w:rFonts w:hint="eastAsia"/>
                <w:color w:val="auto"/>
                <w:szCs w:val="21"/>
                <w:highlight w:val="none"/>
                <w:lang w:val="en-US" w:eastAsia="zh-CN"/>
              </w:rPr>
              <w:t>+0.5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588" w:type="dxa"/>
            <w:vMerge w:val="restart"/>
            <w:noWrap w:val="0"/>
            <w:vAlign w:val="center"/>
          </w:tcPr>
          <w:p>
            <w:pPr>
              <w:pStyle w:val="92"/>
              <w:spacing w:beforeLines="0" w:afterLines="0" w:line="240" w:lineRule="auto"/>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rPr>
              <w:t>危险废物</w:t>
            </w:r>
          </w:p>
        </w:tc>
        <w:tc>
          <w:tcPr>
            <w:tcW w:w="1542" w:type="dxa"/>
            <w:noWrap w:val="0"/>
            <w:vAlign w:val="center"/>
          </w:tcPr>
          <w:p>
            <w:pPr>
              <w:jc w:val="center"/>
              <w:rPr>
                <w:rFonts w:hint="eastAsia" w:ascii="Times New Roman" w:hAnsi="Times New Roman" w:eastAsia="宋体" w:cs="Times New Roman"/>
                <w:snapToGrid w:val="0"/>
                <w:color w:val="auto"/>
                <w:kern w:val="21"/>
                <w:szCs w:val="21"/>
                <w:highlight w:val="none"/>
                <w:lang w:val="en-US" w:eastAsia="zh-CN"/>
              </w:rPr>
            </w:pPr>
            <w:r>
              <w:rPr>
                <w:rFonts w:hint="eastAsia" w:ascii="Times New Roman" w:hAnsi="Times New Roman" w:cs="Times New Roman"/>
                <w:color w:val="auto"/>
                <w:szCs w:val="21"/>
                <w:highlight w:val="none"/>
                <w:lang w:eastAsia="zh-CN"/>
              </w:rPr>
              <w:t>废漆料桶（油漆、稀释剂、固化剂）</w:t>
            </w:r>
          </w:p>
        </w:tc>
        <w:tc>
          <w:tcPr>
            <w:tcW w:w="1576" w:type="dxa"/>
            <w:noWrap w:val="0"/>
            <w:vAlign w:val="center"/>
          </w:tcPr>
          <w:p>
            <w:pPr>
              <w:spacing w:beforeLines="0" w:afterLines="0" w:line="240" w:lineRule="auto"/>
              <w:jc w:val="center"/>
              <w:rPr>
                <w:rFonts w:hint="eastAsia" w:ascii="Times New Roman" w:hAnsi="Times New Roman" w:eastAsia="宋体" w:cs="Times New Roman"/>
                <w:snapToGrid w:val="0"/>
                <w:color w:val="auto"/>
                <w:kern w:val="21"/>
                <w:szCs w:val="21"/>
                <w:highlight w:val="none"/>
                <w:lang w:val="en-US" w:eastAsia="zh-CN"/>
              </w:rPr>
            </w:pPr>
            <w:r>
              <w:rPr>
                <w:rFonts w:hint="eastAsia" w:ascii="Times New Roman" w:hAnsi="Times New Roman" w:cs="Times New Roman"/>
                <w:snapToGrid w:val="0"/>
                <w:color w:val="auto"/>
                <w:kern w:val="21"/>
                <w:szCs w:val="21"/>
                <w:highlight w:val="none"/>
                <w:lang w:val="en-US" w:eastAsia="zh-CN"/>
              </w:rPr>
              <w:t>/</w:t>
            </w:r>
          </w:p>
        </w:tc>
        <w:tc>
          <w:tcPr>
            <w:tcW w:w="1276" w:type="dxa"/>
            <w:noWrap w:val="0"/>
            <w:vAlign w:val="center"/>
          </w:tcPr>
          <w:p>
            <w:pPr>
              <w:spacing w:beforeLines="0" w:afterLines="0" w:line="240" w:lineRule="auto"/>
              <w:jc w:val="center"/>
              <w:rPr>
                <w:rFonts w:hint="eastAsia" w:ascii="Times New Roman" w:hAnsi="Times New Roman" w:eastAsia="宋体" w:cs="Times New Roman"/>
                <w:snapToGrid w:val="0"/>
                <w:color w:val="auto"/>
                <w:kern w:val="21"/>
                <w:szCs w:val="21"/>
                <w:highlight w:val="none"/>
                <w:lang w:val="en-US" w:eastAsia="zh-CN"/>
              </w:rPr>
            </w:pPr>
            <w:r>
              <w:rPr>
                <w:rFonts w:hint="eastAsia" w:ascii="Times New Roman" w:hAnsi="Times New Roman" w:cs="Times New Roman"/>
                <w:snapToGrid w:val="0"/>
                <w:color w:val="auto"/>
                <w:kern w:val="21"/>
                <w:szCs w:val="21"/>
                <w:highlight w:val="none"/>
                <w:lang w:val="en-US" w:eastAsia="zh-CN"/>
              </w:rPr>
              <w:t>/</w:t>
            </w:r>
          </w:p>
        </w:tc>
        <w:tc>
          <w:tcPr>
            <w:tcW w:w="1701" w:type="dxa"/>
            <w:noWrap w:val="0"/>
            <w:vAlign w:val="center"/>
          </w:tcPr>
          <w:p>
            <w:pPr>
              <w:spacing w:beforeLines="0" w:afterLines="0" w:line="240" w:lineRule="auto"/>
              <w:jc w:val="center"/>
              <w:rPr>
                <w:rFonts w:hint="eastAsia" w:ascii="Times New Roman" w:hAnsi="Times New Roman" w:eastAsia="宋体" w:cs="Times New Roman"/>
                <w:snapToGrid w:val="0"/>
                <w:color w:val="auto"/>
                <w:kern w:val="21"/>
                <w:szCs w:val="21"/>
                <w:highlight w:val="none"/>
                <w:lang w:val="en-US" w:eastAsia="zh-CN"/>
              </w:rPr>
            </w:pPr>
            <w:r>
              <w:rPr>
                <w:rFonts w:hint="eastAsia" w:ascii="Times New Roman" w:hAnsi="Times New Roman" w:cs="Times New Roman"/>
                <w:snapToGrid w:val="0"/>
                <w:color w:val="auto"/>
                <w:kern w:val="21"/>
                <w:szCs w:val="21"/>
                <w:highlight w:val="none"/>
                <w:lang w:val="en-US" w:eastAsia="zh-CN"/>
              </w:rPr>
              <w:t>/</w:t>
            </w:r>
          </w:p>
        </w:tc>
        <w:tc>
          <w:tcPr>
            <w:tcW w:w="1559" w:type="dxa"/>
            <w:noWrap w:val="0"/>
            <w:vAlign w:val="center"/>
          </w:tcPr>
          <w:p>
            <w:pPr>
              <w:jc w:val="center"/>
              <w:rPr>
                <w:rFonts w:hint="default" w:ascii="Times New Roman" w:hAnsi="Times New Roman" w:eastAsia="宋体" w:cs="Times New Roman"/>
                <w:snapToGrid w:val="0"/>
                <w:color w:val="auto"/>
                <w:kern w:val="21"/>
                <w:szCs w:val="21"/>
                <w:highlight w:val="none"/>
                <w:lang w:val="en-US" w:eastAsia="zh-CN"/>
              </w:rPr>
            </w:pPr>
            <w:r>
              <w:rPr>
                <w:rFonts w:hint="eastAsia"/>
                <w:color w:val="auto"/>
                <w:szCs w:val="21"/>
                <w:highlight w:val="none"/>
                <w:lang w:val="en-US" w:eastAsia="zh-CN"/>
              </w:rPr>
              <w:t>0.0056</w:t>
            </w:r>
          </w:p>
        </w:tc>
        <w:tc>
          <w:tcPr>
            <w:tcW w:w="1761" w:type="dxa"/>
            <w:noWrap w:val="0"/>
            <w:vAlign w:val="center"/>
          </w:tcPr>
          <w:p>
            <w:pPr>
              <w:spacing w:beforeLines="0" w:afterLines="0" w:line="240" w:lineRule="auto"/>
              <w:jc w:val="center"/>
              <w:rPr>
                <w:rFonts w:hint="default" w:ascii="Times New Roman" w:hAnsi="Times New Roman" w:cs="Times New Roman"/>
                <w:snapToGrid w:val="0"/>
                <w:color w:val="auto"/>
                <w:kern w:val="21"/>
                <w:szCs w:val="21"/>
                <w:highlight w:val="none"/>
              </w:rPr>
            </w:pPr>
            <w:r>
              <w:rPr>
                <w:rFonts w:hint="eastAsia" w:ascii="Times New Roman"/>
                <w:snapToGrid w:val="0"/>
                <w:color w:val="auto"/>
                <w:kern w:val="21"/>
                <w:szCs w:val="21"/>
                <w:highlight w:val="none"/>
                <w:lang w:val="en-US" w:eastAsia="zh-CN"/>
              </w:rPr>
              <w:t>0</w:t>
            </w:r>
          </w:p>
        </w:tc>
        <w:tc>
          <w:tcPr>
            <w:tcW w:w="1519" w:type="dxa"/>
            <w:noWrap w:val="0"/>
            <w:vAlign w:val="center"/>
          </w:tcPr>
          <w:p>
            <w:pPr>
              <w:jc w:val="center"/>
              <w:rPr>
                <w:rFonts w:hint="default" w:ascii="Times New Roman" w:hAnsi="Times New Roman" w:cs="Times New Roman"/>
                <w:snapToGrid w:val="0"/>
                <w:color w:val="auto"/>
                <w:kern w:val="21"/>
                <w:szCs w:val="21"/>
                <w:highlight w:val="none"/>
                <w:lang w:val="en-US"/>
              </w:rPr>
            </w:pPr>
            <w:r>
              <w:rPr>
                <w:rFonts w:hint="eastAsia"/>
                <w:color w:val="auto"/>
                <w:szCs w:val="21"/>
                <w:highlight w:val="none"/>
                <w:lang w:val="en-US" w:eastAsia="zh-CN"/>
              </w:rPr>
              <w:t>0.0056</w:t>
            </w:r>
          </w:p>
        </w:tc>
        <w:tc>
          <w:tcPr>
            <w:tcW w:w="1474" w:type="dxa"/>
            <w:noWrap w:val="0"/>
            <w:vAlign w:val="center"/>
          </w:tcPr>
          <w:p>
            <w:pPr>
              <w:jc w:val="center"/>
              <w:rPr>
                <w:rFonts w:hint="default" w:ascii="Times New Roman" w:hAnsi="Times New Roman" w:cs="Times New Roman"/>
                <w:snapToGrid w:val="0"/>
                <w:color w:val="auto"/>
                <w:kern w:val="21"/>
                <w:szCs w:val="21"/>
                <w:highlight w:val="none"/>
                <w:lang w:val="en-US"/>
              </w:rPr>
            </w:pPr>
            <w:r>
              <w:rPr>
                <w:rFonts w:hint="eastAsia"/>
                <w:color w:val="auto"/>
                <w:szCs w:val="21"/>
                <w:highlight w:val="none"/>
                <w:lang w:val="en-US" w:eastAsia="zh-CN"/>
              </w:rPr>
              <w:t>+0.0056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1588" w:type="dxa"/>
            <w:vMerge w:val="continue"/>
            <w:noWrap w:val="0"/>
            <w:vAlign w:val="center"/>
          </w:tcPr>
          <w:p>
            <w:pPr>
              <w:pStyle w:val="92"/>
              <w:spacing w:beforeLines="0" w:afterLines="0" w:line="240" w:lineRule="auto"/>
              <w:rPr>
                <w:rFonts w:hint="default" w:ascii="Times New Roman" w:hAnsi="Times New Roman" w:cs="Times New Roman"/>
                <w:snapToGrid w:val="0"/>
                <w:color w:val="auto"/>
                <w:kern w:val="21"/>
                <w:szCs w:val="21"/>
                <w:highlight w:val="none"/>
              </w:rPr>
            </w:pPr>
          </w:p>
        </w:tc>
        <w:tc>
          <w:tcPr>
            <w:tcW w:w="1542" w:type="dxa"/>
            <w:noWrap w:val="0"/>
            <w:vAlign w:val="center"/>
          </w:tcPr>
          <w:p>
            <w:pPr>
              <w:adjustRightInd w:val="0"/>
              <w:jc w:val="center"/>
              <w:textAlignment w:val="baseline"/>
              <w:rPr>
                <w:rFonts w:hint="eastAsia" w:ascii="Times New Roman" w:eastAsia="宋体"/>
                <w:color w:val="auto"/>
                <w:szCs w:val="21"/>
                <w:highlight w:val="none"/>
                <w:lang w:eastAsia="zh-CN"/>
              </w:rPr>
            </w:pPr>
            <w:r>
              <w:rPr>
                <w:rFonts w:hint="eastAsia"/>
                <w:color w:val="auto"/>
                <w:szCs w:val="21"/>
                <w:highlight w:val="none"/>
                <w:lang w:val="en-US" w:eastAsia="zh-CN"/>
              </w:rPr>
              <w:t>废滤料</w:t>
            </w:r>
          </w:p>
        </w:tc>
        <w:tc>
          <w:tcPr>
            <w:tcW w:w="1576" w:type="dxa"/>
            <w:noWrap w:val="0"/>
            <w:vAlign w:val="center"/>
          </w:tcPr>
          <w:p>
            <w:pPr>
              <w:spacing w:beforeLines="0" w:afterLines="0" w:line="240" w:lineRule="auto"/>
              <w:jc w:val="center"/>
              <w:rPr>
                <w:rFonts w:hint="eastAsia" w:ascii="Times New Roman" w:hAnsi="Times New Roman" w:cs="Times New Roman"/>
                <w:snapToGrid w:val="0"/>
                <w:color w:val="auto"/>
                <w:kern w:val="21"/>
                <w:szCs w:val="21"/>
                <w:highlight w:val="none"/>
                <w:lang w:val="en-US" w:eastAsia="zh-CN"/>
              </w:rPr>
            </w:pPr>
            <w:r>
              <w:rPr>
                <w:rFonts w:hint="eastAsia" w:ascii="Times New Roman" w:hAnsi="Times New Roman" w:cs="Times New Roman"/>
                <w:snapToGrid w:val="0"/>
                <w:color w:val="auto"/>
                <w:kern w:val="21"/>
                <w:szCs w:val="21"/>
                <w:highlight w:val="none"/>
                <w:lang w:val="en-US" w:eastAsia="zh-CN"/>
              </w:rPr>
              <w:t>/</w:t>
            </w:r>
          </w:p>
        </w:tc>
        <w:tc>
          <w:tcPr>
            <w:tcW w:w="1276" w:type="dxa"/>
            <w:noWrap w:val="0"/>
            <w:vAlign w:val="center"/>
          </w:tcPr>
          <w:p>
            <w:pPr>
              <w:spacing w:beforeLines="0" w:afterLines="0" w:line="240" w:lineRule="auto"/>
              <w:jc w:val="center"/>
              <w:rPr>
                <w:rFonts w:hint="eastAsia" w:ascii="Times New Roman" w:hAnsi="Times New Roman" w:cs="Times New Roman"/>
                <w:snapToGrid w:val="0"/>
                <w:color w:val="auto"/>
                <w:kern w:val="21"/>
                <w:szCs w:val="21"/>
                <w:highlight w:val="none"/>
                <w:lang w:val="en-US" w:eastAsia="zh-CN"/>
              </w:rPr>
            </w:pPr>
            <w:r>
              <w:rPr>
                <w:rFonts w:hint="eastAsia" w:ascii="Times New Roman" w:hAnsi="Times New Roman" w:cs="Times New Roman"/>
                <w:snapToGrid w:val="0"/>
                <w:color w:val="auto"/>
                <w:kern w:val="21"/>
                <w:szCs w:val="21"/>
                <w:highlight w:val="none"/>
                <w:lang w:val="en-US" w:eastAsia="zh-CN"/>
              </w:rPr>
              <w:t>/</w:t>
            </w:r>
          </w:p>
        </w:tc>
        <w:tc>
          <w:tcPr>
            <w:tcW w:w="1701" w:type="dxa"/>
            <w:noWrap w:val="0"/>
            <w:vAlign w:val="center"/>
          </w:tcPr>
          <w:p>
            <w:pPr>
              <w:spacing w:beforeLines="0" w:afterLines="0" w:line="240" w:lineRule="auto"/>
              <w:jc w:val="center"/>
              <w:rPr>
                <w:rFonts w:hint="eastAsia" w:ascii="Times New Roman" w:hAnsi="Times New Roman" w:cs="Times New Roman"/>
                <w:snapToGrid w:val="0"/>
                <w:color w:val="auto"/>
                <w:kern w:val="21"/>
                <w:szCs w:val="21"/>
                <w:highlight w:val="none"/>
                <w:lang w:val="en-US" w:eastAsia="zh-CN"/>
              </w:rPr>
            </w:pPr>
            <w:r>
              <w:rPr>
                <w:rFonts w:hint="eastAsia" w:ascii="Times New Roman" w:hAnsi="Times New Roman" w:cs="Times New Roman"/>
                <w:snapToGrid w:val="0"/>
                <w:color w:val="auto"/>
                <w:kern w:val="21"/>
                <w:szCs w:val="21"/>
                <w:highlight w:val="none"/>
                <w:lang w:val="en-US" w:eastAsia="zh-CN"/>
              </w:rPr>
              <w:t>/</w:t>
            </w:r>
          </w:p>
        </w:tc>
        <w:tc>
          <w:tcPr>
            <w:tcW w:w="1559" w:type="dxa"/>
            <w:noWrap w:val="0"/>
            <w:vAlign w:val="center"/>
          </w:tcPr>
          <w:p>
            <w:pPr>
              <w:jc w:val="center"/>
              <w:rPr>
                <w:rFonts w:ascii="Times New Roman"/>
                <w:snapToGrid w:val="0"/>
                <w:color w:val="auto"/>
                <w:kern w:val="21"/>
                <w:szCs w:val="21"/>
                <w:highlight w:val="none"/>
              </w:rPr>
            </w:pPr>
            <w:r>
              <w:rPr>
                <w:rFonts w:hint="eastAsia"/>
                <w:color w:val="auto"/>
                <w:szCs w:val="21"/>
                <w:highlight w:val="none"/>
                <w:lang w:val="en-US" w:eastAsia="zh-CN"/>
              </w:rPr>
              <w:t>0.05</w:t>
            </w:r>
          </w:p>
        </w:tc>
        <w:tc>
          <w:tcPr>
            <w:tcW w:w="1761" w:type="dxa"/>
            <w:noWrap w:val="0"/>
            <w:vAlign w:val="center"/>
          </w:tcPr>
          <w:p>
            <w:pPr>
              <w:spacing w:beforeLines="0" w:afterLines="0" w:line="240" w:lineRule="auto"/>
              <w:jc w:val="center"/>
              <w:rPr>
                <w:rFonts w:hint="eastAsia" w:ascii="Times New Roman" w:eastAsia="宋体"/>
                <w:snapToGrid w:val="0"/>
                <w:color w:val="auto"/>
                <w:kern w:val="21"/>
                <w:szCs w:val="21"/>
                <w:highlight w:val="none"/>
                <w:lang w:val="en-US" w:eastAsia="zh-CN"/>
              </w:rPr>
            </w:pPr>
            <w:r>
              <w:rPr>
                <w:rFonts w:hint="eastAsia" w:ascii="Times New Roman"/>
                <w:snapToGrid w:val="0"/>
                <w:color w:val="auto"/>
                <w:kern w:val="21"/>
                <w:szCs w:val="21"/>
                <w:highlight w:val="none"/>
                <w:lang w:val="en-US" w:eastAsia="zh-CN"/>
              </w:rPr>
              <w:t>0</w:t>
            </w:r>
          </w:p>
        </w:tc>
        <w:tc>
          <w:tcPr>
            <w:tcW w:w="1519" w:type="dxa"/>
            <w:noWrap w:val="0"/>
            <w:vAlign w:val="center"/>
          </w:tcPr>
          <w:p>
            <w:pPr>
              <w:jc w:val="center"/>
              <w:rPr>
                <w:rFonts w:ascii="Times New Roman"/>
                <w:snapToGrid w:val="0"/>
                <w:color w:val="auto"/>
                <w:kern w:val="21"/>
                <w:szCs w:val="21"/>
                <w:highlight w:val="none"/>
              </w:rPr>
            </w:pPr>
            <w:r>
              <w:rPr>
                <w:rFonts w:hint="eastAsia"/>
                <w:color w:val="auto"/>
                <w:szCs w:val="21"/>
                <w:highlight w:val="none"/>
                <w:lang w:val="en-US" w:eastAsia="zh-CN"/>
              </w:rPr>
              <w:t>0.05</w:t>
            </w:r>
          </w:p>
        </w:tc>
        <w:tc>
          <w:tcPr>
            <w:tcW w:w="1474" w:type="dxa"/>
            <w:noWrap w:val="0"/>
            <w:vAlign w:val="center"/>
          </w:tcPr>
          <w:p>
            <w:pPr>
              <w:jc w:val="center"/>
              <w:rPr>
                <w:rFonts w:hint="eastAsia" w:ascii="Times New Roman" w:eastAsia="宋体"/>
                <w:snapToGrid w:val="0"/>
                <w:color w:val="auto"/>
                <w:kern w:val="21"/>
                <w:szCs w:val="21"/>
                <w:highlight w:val="none"/>
                <w:lang w:val="en-US" w:eastAsia="zh-CN"/>
              </w:rPr>
            </w:pPr>
            <w:r>
              <w:rPr>
                <w:rFonts w:hint="eastAsia"/>
                <w:color w:val="auto"/>
                <w:szCs w:val="21"/>
                <w:highlight w:val="none"/>
                <w:lang w:val="en-US" w:eastAsia="zh-CN"/>
              </w:rPr>
              <w:t>+0.05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588" w:type="dxa"/>
            <w:vMerge w:val="continue"/>
            <w:noWrap w:val="0"/>
            <w:vAlign w:val="center"/>
          </w:tcPr>
          <w:p>
            <w:pPr>
              <w:pStyle w:val="92"/>
              <w:spacing w:beforeLines="0" w:afterLines="0" w:line="240" w:lineRule="auto"/>
              <w:rPr>
                <w:rFonts w:hint="default" w:ascii="Times New Roman" w:hAnsi="Times New Roman" w:cs="Times New Roman"/>
                <w:snapToGrid w:val="0"/>
                <w:color w:val="auto"/>
                <w:kern w:val="21"/>
                <w:szCs w:val="21"/>
                <w:highlight w:val="none"/>
              </w:rPr>
            </w:pPr>
          </w:p>
        </w:tc>
        <w:tc>
          <w:tcPr>
            <w:tcW w:w="1542" w:type="dxa"/>
            <w:noWrap w:val="0"/>
            <w:vAlign w:val="center"/>
          </w:tcPr>
          <w:p>
            <w:pPr>
              <w:adjustRightInd w:val="0"/>
              <w:jc w:val="center"/>
              <w:textAlignment w:val="baseline"/>
              <w:rPr>
                <w:rFonts w:hint="eastAsia" w:ascii="Times New Roman"/>
                <w:color w:val="auto"/>
                <w:szCs w:val="21"/>
                <w:highlight w:val="none"/>
                <w:lang w:eastAsia="zh-CN"/>
              </w:rPr>
            </w:pPr>
            <w:r>
              <w:rPr>
                <w:rFonts w:hint="eastAsia"/>
                <w:color w:val="auto"/>
                <w:szCs w:val="21"/>
                <w:highlight w:val="none"/>
                <w:lang w:val="en-US" w:eastAsia="zh-CN"/>
              </w:rPr>
              <w:t>漆渣</w:t>
            </w:r>
          </w:p>
        </w:tc>
        <w:tc>
          <w:tcPr>
            <w:tcW w:w="1576" w:type="dxa"/>
            <w:noWrap w:val="0"/>
            <w:vAlign w:val="center"/>
          </w:tcPr>
          <w:p>
            <w:pPr>
              <w:spacing w:beforeLines="0" w:afterLines="0" w:line="240" w:lineRule="auto"/>
              <w:jc w:val="center"/>
              <w:rPr>
                <w:rFonts w:hint="eastAsia" w:ascii="Times New Roman" w:hAnsi="Times New Roman" w:cs="Times New Roman"/>
                <w:snapToGrid w:val="0"/>
                <w:color w:val="auto"/>
                <w:kern w:val="21"/>
                <w:szCs w:val="21"/>
                <w:highlight w:val="none"/>
                <w:lang w:val="en-US" w:eastAsia="zh-CN"/>
              </w:rPr>
            </w:pPr>
            <w:r>
              <w:rPr>
                <w:rFonts w:hint="eastAsia" w:ascii="Times New Roman" w:hAnsi="Times New Roman" w:cs="Times New Roman"/>
                <w:snapToGrid w:val="0"/>
                <w:color w:val="auto"/>
                <w:kern w:val="21"/>
                <w:szCs w:val="21"/>
                <w:highlight w:val="none"/>
                <w:lang w:val="en-US" w:eastAsia="zh-CN"/>
              </w:rPr>
              <w:t>/</w:t>
            </w:r>
          </w:p>
        </w:tc>
        <w:tc>
          <w:tcPr>
            <w:tcW w:w="1276" w:type="dxa"/>
            <w:noWrap w:val="0"/>
            <w:vAlign w:val="center"/>
          </w:tcPr>
          <w:p>
            <w:pPr>
              <w:spacing w:beforeLines="0" w:afterLines="0" w:line="240" w:lineRule="auto"/>
              <w:jc w:val="center"/>
              <w:rPr>
                <w:rFonts w:hint="eastAsia" w:ascii="Times New Roman" w:hAnsi="Times New Roman" w:cs="Times New Roman"/>
                <w:snapToGrid w:val="0"/>
                <w:color w:val="auto"/>
                <w:kern w:val="21"/>
                <w:szCs w:val="21"/>
                <w:highlight w:val="none"/>
                <w:lang w:val="en-US" w:eastAsia="zh-CN"/>
              </w:rPr>
            </w:pPr>
            <w:r>
              <w:rPr>
                <w:rFonts w:hint="eastAsia" w:ascii="Times New Roman" w:hAnsi="Times New Roman" w:cs="Times New Roman"/>
                <w:snapToGrid w:val="0"/>
                <w:color w:val="auto"/>
                <w:kern w:val="21"/>
                <w:szCs w:val="21"/>
                <w:highlight w:val="none"/>
                <w:lang w:val="en-US" w:eastAsia="zh-CN"/>
              </w:rPr>
              <w:t>/</w:t>
            </w:r>
          </w:p>
        </w:tc>
        <w:tc>
          <w:tcPr>
            <w:tcW w:w="1701" w:type="dxa"/>
            <w:noWrap w:val="0"/>
            <w:vAlign w:val="center"/>
          </w:tcPr>
          <w:p>
            <w:pPr>
              <w:spacing w:beforeLines="0" w:afterLines="0" w:line="240" w:lineRule="auto"/>
              <w:jc w:val="center"/>
              <w:rPr>
                <w:rFonts w:hint="eastAsia" w:ascii="Times New Roman" w:hAnsi="Times New Roman" w:cs="Times New Roman"/>
                <w:snapToGrid w:val="0"/>
                <w:color w:val="auto"/>
                <w:kern w:val="21"/>
                <w:szCs w:val="21"/>
                <w:highlight w:val="none"/>
                <w:lang w:val="en-US" w:eastAsia="zh-CN"/>
              </w:rPr>
            </w:pPr>
            <w:r>
              <w:rPr>
                <w:rFonts w:hint="eastAsia" w:ascii="Times New Roman" w:hAnsi="Times New Roman" w:cs="Times New Roman"/>
                <w:snapToGrid w:val="0"/>
                <w:color w:val="auto"/>
                <w:kern w:val="21"/>
                <w:szCs w:val="21"/>
                <w:highlight w:val="none"/>
                <w:lang w:val="en-US" w:eastAsia="zh-CN"/>
              </w:rPr>
              <w:t>/</w:t>
            </w:r>
          </w:p>
        </w:tc>
        <w:tc>
          <w:tcPr>
            <w:tcW w:w="1559" w:type="dxa"/>
            <w:noWrap w:val="0"/>
            <w:vAlign w:val="center"/>
          </w:tcPr>
          <w:p>
            <w:pPr>
              <w:jc w:val="center"/>
              <w:rPr>
                <w:rFonts w:ascii="Times New Roman"/>
                <w:snapToGrid w:val="0"/>
                <w:color w:val="auto"/>
                <w:kern w:val="21"/>
                <w:szCs w:val="21"/>
                <w:highlight w:val="none"/>
              </w:rPr>
            </w:pPr>
            <w:r>
              <w:rPr>
                <w:rFonts w:hint="eastAsia"/>
                <w:color w:val="auto"/>
                <w:szCs w:val="21"/>
                <w:highlight w:val="none"/>
                <w:lang w:val="en-US" w:eastAsia="zh-CN"/>
              </w:rPr>
              <w:t>0.0138</w:t>
            </w:r>
          </w:p>
        </w:tc>
        <w:tc>
          <w:tcPr>
            <w:tcW w:w="1761" w:type="dxa"/>
            <w:noWrap w:val="0"/>
            <w:vAlign w:val="center"/>
          </w:tcPr>
          <w:p>
            <w:pPr>
              <w:spacing w:beforeLines="0" w:afterLines="0" w:line="240" w:lineRule="auto"/>
              <w:jc w:val="center"/>
              <w:rPr>
                <w:rFonts w:hint="eastAsia" w:ascii="Times New Roman" w:eastAsia="宋体"/>
                <w:snapToGrid w:val="0"/>
                <w:color w:val="auto"/>
                <w:kern w:val="21"/>
                <w:szCs w:val="21"/>
                <w:highlight w:val="none"/>
                <w:lang w:val="en-US" w:eastAsia="zh-CN"/>
              </w:rPr>
            </w:pPr>
            <w:r>
              <w:rPr>
                <w:rFonts w:hint="eastAsia" w:ascii="Times New Roman"/>
                <w:snapToGrid w:val="0"/>
                <w:color w:val="auto"/>
                <w:kern w:val="21"/>
                <w:szCs w:val="21"/>
                <w:highlight w:val="none"/>
                <w:lang w:val="en-US" w:eastAsia="zh-CN"/>
              </w:rPr>
              <w:t>0</w:t>
            </w:r>
          </w:p>
        </w:tc>
        <w:tc>
          <w:tcPr>
            <w:tcW w:w="1519" w:type="dxa"/>
            <w:noWrap w:val="0"/>
            <w:vAlign w:val="center"/>
          </w:tcPr>
          <w:p>
            <w:pPr>
              <w:jc w:val="center"/>
              <w:rPr>
                <w:rFonts w:ascii="Times New Roman"/>
                <w:snapToGrid w:val="0"/>
                <w:color w:val="auto"/>
                <w:kern w:val="21"/>
                <w:szCs w:val="21"/>
                <w:highlight w:val="none"/>
              </w:rPr>
            </w:pPr>
            <w:r>
              <w:rPr>
                <w:rFonts w:hint="eastAsia"/>
                <w:color w:val="auto"/>
                <w:szCs w:val="21"/>
                <w:highlight w:val="none"/>
                <w:lang w:val="en-US" w:eastAsia="zh-CN"/>
              </w:rPr>
              <w:t>0.0138</w:t>
            </w:r>
          </w:p>
        </w:tc>
        <w:tc>
          <w:tcPr>
            <w:tcW w:w="1474" w:type="dxa"/>
            <w:noWrap w:val="0"/>
            <w:vAlign w:val="center"/>
          </w:tcPr>
          <w:p>
            <w:pPr>
              <w:jc w:val="center"/>
              <w:rPr>
                <w:rFonts w:hint="eastAsia" w:ascii="Times New Roman" w:eastAsia="宋体"/>
                <w:snapToGrid w:val="0"/>
                <w:color w:val="auto"/>
                <w:kern w:val="21"/>
                <w:szCs w:val="21"/>
                <w:highlight w:val="none"/>
                <w:lang w:val="en-US" w:eastAsia="zh-CN"/>
              </w:rPr>
            </w:pPr>
            <w:r>
              <w:rPr>
                <w:rFonts w:hint="eastAsia"/>
                <w:color w:val="auto"/>
                <w:szCs w:val="21"/>
                <w:highlight w:val="none"/>
                <w:lang w:val="en-US" w:eastAsia="zh-CN"/>
              </w:rPr>
              <w:t>+0.0138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588" w:type="dxa"/>
            <w:vMerge w:val="continue"/>
            <w:noWrap w:val="0"/>
            <w:vAlign w:val="center"/>
          </w:tcPr>
          <w:p>
            <w:pPr>
              <w:pStyle w:val="92"/>
              <w:spacing w:beforeLines="0" w:afterLines="0" w:line="240" w:lineRule="auto"/>
              <w:rPr>
                <w:rFonts w:hint="default" w:ascii="Times New Roman" w:hAnsi="Times New Roman" w:cs="Times New Roman"/>
                <w:snapToGrid w:val="0"/>
                <w:color w:val="auto"/>
                <w:kern w:val="21"/>
                <w:szCs w:val="21"/>
                <w:highlight w:val="none"/>
              </w:rPr>
            </w:pPr>
          </w:p>
        </w:tc>
        <w:tc>
          <w:tcPr>
            <w:tcW w:w="1542" w:type="dxa"/>
            <w:noWrap w:val="0"/>
            <w:vAlign w:val="center"/>
          </w:tcPr>
          <w:p>
            <w:pPr>
              <w:adjustRightInd w:val="0"/>
              <w:jc w:val="center"/>
              <w:textAlignment w:val="baseline"/>
              <w:rPr>
                <w:rFonts w:hint="eastAsia"/>
                <w:color w:val="auto"/>
                <w:szCs w:val="21"/>
                <w:highlight w:val="none"/>
                <w:lang w:eastAsia="zh-CN"/>
              </w:rPr>
            </w:pPr>
            <w:r>
              <w:rPr>
                <w:rFonts w:hint="eastAsia"/>
                <w:color w:val="auto"/>
                <w:szCs w:val="21"/>
                <w:highlight w:val="none"/>
                <w:lang w:eastAsia="zh-CN"/>
              </w:rPr>
              <w:t>废活性炭</w:t>
            </w:r>
          </w:p>
        </w:tc>
        <w:tc>
          <w:tcPr>
            <w:tcW w:w="1576" w:type="dxa"/>
            <w:noWrap w:val="0"/>
            <w:vAlign w:val="center"/>
          </w:tcPr>
          <w:p>
            <w:pPr>
              <w:spacing w:beforeLines="0" w:afterLines="0" w:line="240" w:lineRule="auto"/>
              <w:jc w:val="center"/>
              <w:rPr>
                <w:rFonts w:hint="eastAsia" w:ascii="Times New Roman" w:hAnsi="Times New Roman" w:cs="Times New Roman"/>
                <w:snapToGrid w:val="0"/>
                <w:color w:val="auto"/>
                <w:kern w:val="21"/>
                <w:szCs w:val="21"/>
                <w:highlight w:val="none"/>
                <w:lang w:val="en-US" w:eastAsia="zh-CN"/>
              </w:rPr>
            </w:pPr>
          </w:p>
        </w:tc>
        <w:tc>
          <w:tcPr>
            <w:tcW w:w="1276" w:type="dxa"/>
            <w:noWrap w:val="0"/>
            <w:vAlign w:val="center"/>
          </w:tcPr>
          <w:p>
            <w:pPr>
              <w:spacing w:beforeLines="0" w:afterLines="0" w:line="240" w:lineRule="auto"/>
              <w:jc w:val="center"/>
              <w:rPr>
                <w:rFonts w:hint="eastAsia" w:ascii="Times New Roman" w:hAnsi="Times New Roman" w:cs="Times New Roman"/>
                <w:snapToGrid w:val="0"/>
                <w:color w:val="auto"/>
                <w:kern w:val="21"/>
                <w:szCs w:val="21"/>
                <w:highlight w:val="none"/>
                <w:lang w:val="en-US" w:eastAsia="zh-CN"/>
              </w:rPr>
            </w:pPr>
          </w:p>
        </w:tc>
        <w:tc>
          <w:tcPr>
            <w:tcW w:w="1701" w:type="dxa"/>
            <w:noWrap w:val="0"/>
            <w:vAlign w:val="center"/>
          </w:tcPr>
          <w:p>
            <w:pPr>
              <w:spacing w:beforeLines="0" w:afterLines="0" w:line="240" w:lineRule="auto"/>
              <w:jc w:val="center"/>
              <w:rPr>
                <w:rFonts w:hint="eastAsia" w:ascii="Times New Roman" w:hAnsi="Times New Roman" w:cs="Times New Roman"/>
                <w:snapToGrid w:val="0"/>
                <w:color w:val="auto"/>
                <w:kern w:val="21"/>
                <w:szCs w:val="21"/>
                <w:highlight w:val="none"/>
                <w:lang w:val="en-US" w:eastAsia="zh-CN"/>
              </w:rPr>
            </w:pPr>
          </w:p>
        </w:tc>
        <w:tc>
          <w:tcPr>
            <w:tcW w:w="1559" w:type="dxa"/>
            <w:noWrap w:val="0"/>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0.067</w:t>
            </w:r>
          </w:p>
        </w:tc>
        <w:tc>
          <w:tcPr>
            <w:tcW w:w="1761" w:type="dxa"/>
            <w:noWrap w:val="0"/>
            <w:vAlign w:val="center"/>
          </w:tcPr>
          <w:p>
            <w:pPr>
              <w:spacing w:beforeLines="0" w:afterLines="0" w:line="240" w:lineRule="auto"/>
              <w:jc w:val="center"/>
              <w:rPr>
                <w:rFonts w:hint="eastAsia" w:ascii="Times New Roman"/>
                <w:snapToGrid w:val="0"/>
                <w:color w:val="auto"/>
                <w:kern w:val="21"/>
                <w:szCs w:val="21"/>
                <w:highlight w:val="none"/>
                <w:lang w:val="en-US" w:eastAsia="zh-CN"/>
              </w:rPr>
            </w:pPr>
            <w:r>
              <w:rPr>
                <w:rFonts w:ascii="Times New Roman"/>
                <w:snapToGrid w:val="0"/>
                <w:color w:val="auto"/>
                <w:kern w:val="21"/>
                <w:szCs w:val="21"/>
                <w:highlight w:val="none"/>
              </w:rPr>
              <w:t>0</w:t>
            </w:r>
          </w:p>
        </w:tc>
        <w:tc>
          <w:tcPr>
            <w:tcW w:w="1519" w:type="dxa"/>
            <w:noWrap w:val="0"/>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0.067</w:t>
            </w:r>
          </w:p>
        </w:tc>
        <w:tc>
          <w:tcPr>
            <w:tcW w:w="1474" w:type="dxa"/>
            <w:noWrap w:val="0"/>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+0.067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1588" w:type="dxa"/>
            <w:vMerge w:val="continue"/>
            <w:noWrap w:val="0"/>
            <w:vAlign w:val="center"/>
          </w:tcPr>
          <w:p>
            <w:pPr>
              <w:pStyle w:val="92"/>
              <w:spacing w:beforeLines="0" w:afterLines="0" w:line="240" w:lineRule="auto"/>
              <w:rPr>
                <w:rFonts w:hint="default" w:ascii="Times New Roman" w:hAnsi="Times New Roman" w:cs="Times New Roman"/>
                <w:snapToGrid w:val="0"/>
                <w:color w:val="auto"/>
                <w:kern w:val="21"/>
                <w:szCs w:val="21"/>
                <w:highlight w:val="none"/>
              </w:rPr>
            </w:pPr>
          </w:p>
        </w:tc>
        <w:tc>
          <w:tcPr>
            <w:tcW w:w="1542" w:type="dxa"/>
            <w:noWrap w:val="0"/>
            <w:vAlign w:val="center"/>
          </w:tcPr>
          <w:p>
            <w:pPr>
              <w:adjustRightInd w:val="0"/>
              <w:jc w:val="center"/>
              <w:textAlignment w:val="baseline"/>
              <w:rPr>
                <w:rFonts w:hint="eastAsia" w:ascii="Times New Roman"/>
                <w:color w:val="auto"/>
                <w:szCs w:val="21"/>
                <w:highlight w:val="none"/>
                <w:lang w:eastAsia="zh-CN"/>
              </w:rPr>
            </w:pPr>
            <w:r>
              <w:rPr>
                <w:rFonts w:hint="eastAsia"/>
                <w:color w:val="auto"/>
                <w:szCs w:val="21"/>
                <w:highlight w:val="none"/>
                <w:lang w:eastAsia="zh-CN"/>
              </w:rPr>
              <w:t>废油桶和</w:t>
            </w:r>
            <w:r>
              <w:rPr>
                <w:color w:val="auto"/>
                <w:szCs w:val="21"/>
                <w:highlight w:val="none"/>
              </w:rPr>
              <w:t>含油棉纱手套</w:t>
            </w:r>
          </w:p>
        </w:tc>
        <w:tc>
          <w:tcPr>
            <w:tcW w:w="1576" w:type="dxa"/>
            <w:noWrap w:val="0"/>
            <w:vAlign w:val="center"/>
          </w:tcPr>
          <w:p>
            <w:pPr>
              <w:spacing w:beforeLines="0" w:afterLines="0" w:line="240" w:lineRule="auto"/>
              <w:jc w:val="center"/>
              <w:rPr>
                <w:rFonts w:hint="eastAsia" w:ascii="Times New Roman" w:hAnsi="Times New Roman" w:cs="Times New Roman"/>
                <w:snapToGrid w:val="0"/>
                <w:color w:val="auto"/>
                <w:kern w:val="21"/>
                <w:szCs w:val="21"/>
                <w:highlight w:val="none"/>
                <w:lang w:val="en-US" w:eastAsia="zh-CN"/>
              </w:rPr>
            </w:pPr>
            <w:r>
              <w:rPr>
                <w:rFonts w:hint="eastAsia" w:ascii="Times New Roman" w:hAnsi="Times New Roman" w:cs="Times New Roman"/>
                <w:snapToGrid w:val="0"/>
                <w:color w:val="auto"/>
                <w:kern w:val="21"/>
                <w:szCs w:val="21"/>
                <w:highlight w:val="none"/>
                <w:lang w:val="en-US" w:eastAsia="zh-CN"/>
              </w:rPr>
              <w:t>/</w:t>
            </w:r>
          </w:p>
        </w:tc>
        <w:tc>
          <w:tcPr>
            <w:tcW w:w="1276" w:type="dxa"/>
            <w:noWrap w:val="0"/>
            <w:vAlign w:val="center"/>
          </w:tcPr>
          <w:p>
            <w:pPr>
              <w:spacing w:beforeLines="0" w:afterLines="0" w:line="240" w:lineRule="auto"/>
              <w:jc w:val="center"/>
              <w:rPr>
                <w:rFonts w:hint="eastAsia" w:ascii="Times New Roman" w:hAnsi="Times New Roman" w:cs="Times New Roman"/>
                <w:snapToGrid w:val="0"/>
                <w:color w:val="auto"/>
                <w:kern w:val="21"/>
                <w:szCs w:val="21"/>
                <w:highlight w:val="none"/>
                <w:lang w:val="en-US" w:eastAsia="zh-CN"/>
              </w:rPr>
            </w:pPr>
            <w:r>
              <w:rPr>
                <w:rFonts w:hint="eastAsia" w:ascii="Times New Roman" w:hAnsi="Times New Roman" w:cs="Times New Roman"/>
                <w:snapToGrid w:val="0"/>
                <w:color w:val="auto"/>
                <w:kern w:val="21"/>
                <w:szCs w:val="21"/>
                <w:highlight w:val="none"/>
                <w:lang w:val="en-US" w:eastAsia="zh-CN"/>
              </w:rPr>
              <w:t>/</w:t>
            </w:r>
          </w:p>
        </w:tc>
        <w:tc>
          <w:tcPr>
            <w:tcW w:w="1701" w:type="dxa"/>
            <w:noWrap w:val="0"/>
            <w:vAlign w:val="center"/>
          </w:tcPr>
          <w:p>
            <w:pPr>
              <w:spacing w:beforeLines="0" w:afterLines="0" w:line="240" w:lineRule="auto"/>
              <w:jc w:val="center"/>
              <w:rPr>
                <w:rFonts w:hint="eastAsia" w:ascii="Times New Roman" w:hAnsi="Times New Roman" w:cs="Times New Roman"/>
                <w:snapToGrid w:val="0"/>
                <w:color w:val="auto"/>
                <w:kern w:val="21"/>
                <w:szCs w:val="21"/>
                <w:highlight w:val="none"/>
                <w:lang w:val="en-US" w:eastAsia="zh-CN"/>
              </w:rPr>
            </w:pPr>
            <w:r>
              <w:rPr>
                <w:rFonts w:hint="eastAsia" w:ascii="Times New Roman" w:hAnsi="Times New Roman" w:cs="Times New Roman"/>
                <w:snapToGrid w:val="0"/>
                <w:color w:val="auto"/>
                <w:kern w:val="21"/>
                <w:szCs w:val="21"/>
                <w:highlight w:val="none"/>
                <w:lang w:val="en-US" w:eastAsia="zh-CN"/>
              </w:rPr>
              <w:t>/</w:t>
            </w:r>
          </w:p>
        </w:tc>
        <w:tc>
          <w:tcPr>
            <w:tcW w:w="1559" w:type="dxa"/>
            <w:noWrap w:val="0"/>
            <w:vAlign w:val="center"/>
          </w:tcPr>
          <w:p>
            <w:pPr>
              <w:jc w:val="center"/>
              <w:rPr>
                <w:rFonts w:ascii="Times New Roman"/>
                <w:snapToGrid w:val="0"/>
                <w:color w:val="auto"/>
                <w:kern w:val="21"/>
                <w:szCs w:val="21"/>
                <w:highlight w:val="none"/>
              </w:rPr>
            </w:pPr>
            <w:r>
              <w:rPr>
                <w:rFonts w:hint="eastAsia" w:eastAsia="宋体"/>
                <w:bCs/>
                <w:color w:val="auto"/>
                <w:szCs w:val="21"/>
                <w:highlight w:val="none"/>
                <w:lang w:val="en-US" w:eastAsia="zh-CN"/>
              </w:rPr>
              <w:t>0.01</w:t>
            </w:r>
          </w:p>
        </w:tc>
        <w:tc>
          <w:tcPr>
            <w:tcW w:w="1761" w:type="dxa"/>
            <w:noWrap w:val="0"/>
            <w:vAlign w:val="center"/>
          </w:tcPr>
          <w:p>
            <w:pPr>
              <w:spacing w:beforeLines="0" w:afterLines="0" w:line="240" w:lineRule="auto"/>
              <w:jc w:val="center"/>
              <w:rPr>
                <w:rFonts w:hint="eastAsia" w:ascii="Times New Roman" w:eastAsia="宋体"/>
                <w:snapToGrid w:val="0"/>
                <w:color w:val="auto"/>
                <w:kern w:val="21"/>
                <w:szCs w:val="21"/>
                <w:highlight w:val="none"/>
                <w:lang w:val="en-US" w:eastAsia="zh-CN"/>
              </w:rPr>
            </w:pPr>
            <w:r>
              <w:rPr>
                <w:rFonts w:hint="eastAsia" w:ascii="Times New Roman"/>
                <w:snapToGrid w:val="0"/>
                <w:color w:val="auto"/>
                <w:kern w:val="21"/>
                <w:szCs w:val="21"/>
                <w:highlight w:val="none"/>
                <w:lang w:val="en-US" w:eastAsia="zh-CN"/>
              </w:rPr>
              <w:t>0</w:t>
            </w:r>
          </w:p>
        </w:tc>
        <w:tc>
          <w:tcPr>
            <w:tcW w:w="1519" w:type="dxa"/>
            <w:noWrap w:val="0"/>
            <w:vAlign w:val="center"/>
          </w:tcPr>
          <w:p>
            <w:pPr>
              <w:jc w:val="center"/>
              <w:rPr>
                <w:rFonts w:ascii="Times New Roman"/>
                <w:snapToGrid w:val="0"/>
                <w:color w:val="auto"/>
                <w:kern w:val="21"/>
                <w:szCs w:val="21"/>
                <w:highlight w:val="none"/>
              </w:rPr>
            </w:pPr>
            <w:r>
              <w:rPr>
                <w:rFonts w:hint="eastAsia" w:eastAsia="宋体"/>
                <w:bCs/>
                <w:color w:val="auto"/>
                <w:szCs w:val="21"/>
                <w:highlight w:val="none"/>
                <w:lang w:val="en-US" w:eastAsia="zh-CN"/>
              </w:rPr>
              <w:t>0.01</w:t>
            </w:r>
          </w:p>
        </w:tc>
        <w:tc>
          <w:tcPr>
            <w:tcW w:w="1474" w:type="dxa"/>
            <w:noWrap w:val="0"/>
            <w:vAlign w:val="center"/>
          </w:tcPr>
          <w:p>
            <w:pPr>
              <w:jc w:val="center"/>
              <w:rPr>
                <w:rFonts w:hint="eastAsia" w:ascii="Times New Roman" w:eastAsia="宋体"/>
                <w:snapToGrid w:val="0"/>
                <w:color w:val="auto"/>
                <w:kern w:val="21"/>
                <w:szCs w:val="21"/>
                <w:highlight w:val="none"/>
                <w:lang w:val="en-US" w:eastAsia="zh-CN"/>
              </w:rPr>
            </w:pPr>
            <w:r>
              <w:rPr>
                <w:rFonts w:hint="eastAsia" w:eastAsia="宋体"/>
                <w:bCs/>
                <w:color w:val="auto"/>
                <w:szCs w:val="21"/>
                <w:highlight w:val="none"/>
                <w:lang w:val="en-US" w:eastAsia="zh-CN"/>
              </w:rPr>
              <w:t>+0.01</w:t>
            </w:r>
          </w:p>
        </w:tc>
      </w:tr>
    </w:tbl>
    <w:p>
      <w:pPr>
        <w:pStyle w:val="92"/>
        <w:spacing w:before="192" w:beforeLines="80" w:after="24"/>
        <w:jc w:val="left"/>
        <w:rPr>
          <w:rFonts w:hint="default" w:ascii="Times New Roman" w:hAnsi="Times New Roman" w:eastAsia="黑体" w:cs="Times New Roman"/>
          <w:color w:val="auto"/>
          <w:highlight w:val="none"/>
        </w:rPr>
      </w:pPr>
      <w:r>
        <w:rPr>
          <w:rFonts w:hint="default" w:ascii="Times New Roman" w:hAnsi="Times New Roman" w:cs="Times New Roman"/>
          <w:snapToGrid w:val="0"/>
          <w:color w:val="auto"/>
          <w:kern w:val="21"/>
          <w:szCs w:val="21"/>
          <w:highlight w:val="none"/>
        </w:rPr>
        <w:t>注：</w:t>
      </w:r>
      <w:r>
        <w:rPr>
          <w:rFonts w:hint="default" w:ascii="Times New Roman" w:hAnsi="Times New Roman" w:cs="Times New Roman"/>
          <w:snapToGrid w:val="0"/>
          <w:color w:val="auto"/>
          <w:spacing w:val="-16"/>
          <w:kern w:val="21"/>
          <w:szCs w:val="21"/>
          <w:highlight w:val="none"/>
        </w:rPr>
        <w:fldChar w:fldCharType="begin"/>
      </w:r>
      <w:r>
        <w:rPr>
          <w:rFonts w:hint="default" w:ascii="Times New Roman" w:hAnsi="Times New Roman" w:cs="Times New Roman"/>
          <w:snapToGrid w:val="0"/>
          <w:color w:val="auto"/>
          <w:spacing w:val="-16"/>
          <w:kern w:val="21"/>
          <w:szCs w:val="21"/>
          <w:highlight w:val="none"/>
        </w:rPr>
        <w:instrText xml:space="preserve"> = 6 \* GB3 \* MERGEFORMAT </w:instrText>
      </w:r>
      <w:r>
        <w:rPr>
          <w:rFonts w:hint="default" w:ascii="Times New Roman" w:hAnsi="Times New Roman" w:cs="Times New Roman"/>
          <w:snapToGrid w:val="0"/>
          <w:color w:val="auto"/>
          <w:spacing w:val="-16"/>
          <w:kern w:val="21"/>
          <w:szCs w:val="21"/>
          <w:highlight w:val="none"/>
        </w:rPr>
        <w:fldChar w:fldCharType="separate"/>
      </w:r>
      <w:r>
        <w:rPr>
          <w:rFonts w:hint="default" w:ascii="Times New Roman" w:hAnsi="Times New Roman" w:cs="Times New Roman"/>
          <w:color w:val="auto"/>
          <w:szCs w:val="21"/>
          <w:highlight w:val="none"/>
        </w:rPr>
        <w:t>⑥</w:t>
      </w:r>
      <w:r>
        <w:rPr>
          <w:rFonts w:hint="default" w:ascii="Times New Roman" w:hAnsi="Times New Roman" w:cs="Times New Roman"/>
          <w:snapToGrid w:val="0"/>
          <w:color w:val="auto"/>
          <w:spacing w:val="-16"/>
          <w:kern w:val="21"/>
          <w:szCs w:val="21"/>
          <w:highlight w:val="none"/>
        </w:rPr>
        <w:fldChar w:fldCharType="end"/>
      </w:r>
      <w:r>
        <w:rPr>
          <w:rFonts w:hint="default" w:ascii="Times New Roman" w:hAnsi="Times New Roman" w:cs="Times New Roman"/>
          <w:snapToGrid w:val="0"/>
          <w:color w:val="auto"/>
          <w:spacing w:val="-1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1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①</w:t>
      </w:r>
      <w:r>
        <w:rPr>
          <w:rFonts w:hint="default" w:ascii="Times New Roman" w:hAnsi="Times New Roman" w:cs="Times New Roman"/>
          <w:snapToGrid w:val="0"/>
          <w:color w:val="auto"/>
          <w:spacing w:val="-6"/>
          <w:kern w:val="21"/>
          <w:szCs w:val="21"/>
          <w:highlight w:val="none"/>
        </w:rPr>
        <w:fldChar w:fldCharType="end"/>
      </w:r>
      <w:r>
        <w:rPr>
          <w:rFonts w:hint="default" w:ascii="Times New Roman" w:hAnsi="Times New Roman" w:cs="Times New Roman"/>
          <w:snapToGrid w:val="0"/>
          <w:color w:val="auto"/>
          <w:spacing w:val="-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3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③</w:t>
      </w:r>
      <w:r>
        <w:rPr>
          <w:rFonts w:hint="default" w:ascii="Times New Roman" w:hAnsi="Times New Roman" w:cs="Times New Roman"/>
          <w:snapToGrid w:val="0"/>
          <w:color w:val="auto"/>
          <w:spacing w:val="-6"/>
          <w:kern w:val="21"/>
          <w:szCs w:val="21"/>
          <w:highlight w:val="none"/>
        </w:rPr>
        <w:fldChar w:fldCharType="end"/>
      </w:r>
      <w:r>
        <w:rPr>
          <w:rFonts w:hint="default" w:ascii="Times New Roman" w:hAnsi="Times New Roman" w:cs="Times New Roman"/>
          <w:snapToGrid w:val="0"/>
          <w:color w:val="auto"/>
          <w:spacing w:val="-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4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④</w:t>
      </w:r>
      <w:r>
        <w:rPr>
          <w:rFonts w:hint="default" w:ascii="Times New Roman" w:hAnsi="Times New Roman" w:cs="Times New Roman"/>
          <w:snapToGrid w:val="0"/>
          <w:color w:val="auto"/>
          <w:spacing w:val="-6"/>
          <w:kern w:val="21"/>
          <w:szCs w:val="21"/>
          <w:highlight w:val="none"/>
        </w:rPr>
        <w:fldChar w:fldCharType="end"/>
      </w:r>
      <w:r>
        <w:rPr>
          <w:rFonts w:hint="default" w:ascii="Times New Roman" w:hAnsi="Times New Roman" w:cs="Times New Roman"/>
          <w:snapToGrid w:val="0"/>
          <w:color w:val="auto"/>
          <w:spacing w:val="-6"/>
          <w:kern w:val="21"/>
          <w:szCs w:val="21"/>
          <w:highlight w:val="none"/>
        </w:rPr>
        <w:t>-</w:t>
      </w:r>
      <w:r>
        <w:rPr>
          <w:rFonts w:hint="default" w:ascii="Times New Roman" w:hAnsi="Times New Roman" w:cs="Times New Roman"/>
          <w:snapToGrid w:val="0"/>
          <w:color w:val="auto"/>
          <w:spacing w:val="-16"/>
          <w:kern w:val="21"/>
          <w:szCs w:val="21"/>
          <w:highlight w:val="none"/>
        </w:rPr>
        <w:fldChar w:fldCharType="begin"/>
      </w:r>
      <w:r>
        <w:rPr>
          <w:rFonts w:hint="default" w:ascii="Times New Roman" w:hAnsi="Times New Roman" w:cs="Times New Roman"/>
          <w:snapToGrid w:val="0"/>
          <w:color w:val="auto"/>
          <w:spacing w:val="-16"/>
          <w:kern w:val="21"/>
          <w:szCs w:val="21"/>
          <w:highlight w:val="none"/>
        </w:rPr>
        <w:instrText xml:space="preserve"> = 5 \* GB3 \* MERGEFORMAT </w:instrText>
      </w:r>
      <w:r>
        <w:rPr>
          <w:rFonts w:hint="default" w:ascii="Times New Roman" w:hAnsi="Times New Roman" w:cs="Times New Roman"/>
          <w:snapToGrid w:val="0"/>
          <w:color w:val="auto"/>
          <w:spacing w:val="-16"/>
          <w:kern w:val="21"/>
          <w:szCs w:val="21"/>
          <w:highlight w:val="none"/>
        </w:rPr>
        <w:fldChar w:fldCharType="separate"/>
      </w:r>
      <w:r>
        <w:rPr>
          <w:rFonts w:hint="default" w:ascii="Times New Roman" w:hAnsi="Times New Roman" w:cs="Times New Roman"/>
          <w:color w:val="auto"/>
          <w:szCs w:val="21"/>
          <w:highlight w:val="none"/>
        </w:rPr>
        <w:t>⑤</w:t>
      </w:r>
      <w:r>
        <w:rPr>
          <w:rFonts w:hint="default" w:ascii="Times New Roman" w:hAnsi="Times New Roman" w:cs="Times New Roman"/>
          <w:snapToGrid w:val="0"/>
          <w:color w:val="auto"/>
          <w:spacing w:val="-16"/>
          <w:kern w:val="21"/>
          <w:szCs w:val="21"/>
          <w:highlight w:val="none"/>
        </w:rPr>
        <w:fldChar w:fldCharType="end"/>
      </w:r>
      <w:r>
        <w:rPr>
          <w:rFonts w:hint="default" w:ascii="Times New Roman" w:hAnsi="Times New Roman" w:cs="Times New Roman"/>
          <w:snapToGrid w:val="0"/>
          <w:color w:val="auto"/>
          <w:spacing w:val="-1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7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⑦</w:t>
      </w:r>
      <w:r>
        <w:rPr>
          <w:rFonts w:hint="default" w:ascii="Times New Roman" w:hAnsi="Times New Roman" w:cs="Times New Roman"/>
          <w:snapToGrid w:val="0"/>
          <w:color w:val="auto"/>
          <w:spacing w:val="-6"/>
          <w:kern w:val="21"/>
          <w:szCs w:val="21"/>
          <w:highlight w:val="none"/>
        </w:rPr>
        <w:fldChar w:fldCharType="end"/>
      </w:r>
      <w:r>
        <w:rPr>
          <w:rFonts w:hint="default" w:ascii="Times New Roman" w:hAnsi="Times New Roman" w:cs="Times New Roman"/>
          <w:snapToGrid w:val="0"/>
          <w:color w:val="auto"/>
          <w:spacing w:val="-6"/>
          <w:kern w:val="21"/>
          <w:szCs w:val="21"/>
          <w:highlight w:val="none"/>
        </w:rPr>
        <w:t>=</w:t>
      </w:r>
      <w:r>
        <w:rPr>
          <w:rFonts w:hint="default" w:ascii="Times New Roman" w:hAnsi="Times New Roman" w:cs="Times New Roman"/>
          <w:snapToGrid w:val="0"/>
          <w:color w:val="auto"/>
          <w:spacing w:val="-16"/>
          <w:kern w:val="21"/>
          <w:szCs w:val="21"/>
          <w:highlight w:val="none"/>
        </w:rPr>
        <w:fldChar w:fldCharType="begin"/>
      </w:r>
      <w:r>
        <w:rPr>
          <w:rFonts w:hint="default" w:ascii="Times New Roman" w:hAnsi="Times New Roman" w:cs="Times New Roman"/>
          <w:snapToGrid w:val="0"/>
          <w:color w:val="auto"/>
          <w:spacing w:val="-16"/>
          <w:kern w:val="21"/>
          <w:szCs w:val="21"/>
          <w:highlight w:val="none"/>
        </w:rPr>
        <w:instrText xml:space="preserve"> = 6 \* GB3 \* MERGEFORMAT </w:instrText>
      </w:r>
      <w:r>
        <w:rPr>
          <w:rFonts w:hint="default" w:ascii="Times New Roman" w:hAnsi="Times New Roman" w:cs="Times New Roman"/>
          <w:snapToGrid w:val="0"/>
          <w:color w:val="auto"/>
          <w:spacing w:val="-16"/>
          <w:kern w:val="21"/>
          <w:szCs w:val="21"/>
          <w:highlight w:val="none"/>
        </w:rPr>
        <w:fldChar w:fldCharType="separate"/>
      </w:r>
      <w:r>
        <w:rPr>
          <w:rFonts w:hint="default" w:ascii="Times New Roman" w:hAnsi="Times New Roman" w:cs="Times New Roman"/>
          <w:color w:val="auto"/>
          <w:szCs w:val="21"/>
          <w:highlight w:val="none"/>
        </w:rPr>
        <w:t>⑥</w:t>
      </w:r>
      <w:r>
        <w:rPr>
          <w:rFonts w:hint="default" w:ascii="Times New Roman" w:hAnsi="Times New Roman" w:cs="Times New Roman"/>
          <w:snapToGrid w:val="0"/>
          <w:color w:val="auto"/>
          <w:spacing w:val="-16"/>
          <w:kern w:val="21"/>
          <w:szCs w:val="21"/>
          <w:highlight w:val="none"/>
        </w:rPr>
        <w:fldChar w:fldCharType="end"/>
      </w:r>
      <w:r>
        <w:rPr>
          <w:rFonts w:hint="default" w:ascii="Times New Roman" w:hAnsi="Times New Roman" w:cs="Times New Roman"/>
          <w:snapToGrid w:val="0"/>
          <w:color w:val="auto"/>
          <w:spacing w:val="-1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1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①</w:t>
      </w:r>
      <w:r>
        <w:rPr>
          <w:rFonts w:hint="default" w:ascii="Times New Roman" w:hAnsi="Times New Roman" w:cs="Times New Roman"/>
          <w:snapToGrid w:val="0"/>
          <w:color w:val="auto"/>
          <w:spacing w:val="-6"/>
          <w:kern w:val="21"/>
          <w:szCs w:val="21"/>
          <w:highlight w:val="none"/>
        </w:rPr>
        <w:fldChar w:fldCharType="end"/>
      </w:r>
    </w:p>
    <w:p>
      <w:pPr>
        <w:rPr>
          <w:rFonts w:hint="eastAsia" w:ascii="Times New Roman" w:hAnsi="Times New Roman" w:eastAsia="仿宋_GB2312" w:cs="Times New Roman"/>
          <w:color w:val="auto"/>
          <w:sz w:val="36"/>
          <w:szCs w:val="36"/>
          <w:highlight w:val="none"/>
          <w:lang w:val="en-US" w:eastAsia="zh-CN"/>
        </w:rPr>
      </w:pPr>
    </w:p>
    <w:p>
      <w:pPr>
        <w:pStyle w:val="5"/>
        <w:rPr>
          <w:rFonts w:hint="eastAsia"/>
        </w:rPr>
      </w:pPr>
    </w:p>
    <w:sectPr>
      <w:headerReference r:id="rId6" w:type="default"/>
      <w:footerReference r:id="rId7" w:type="default"/>
      <w:pgSz w:w="16838" w:h="11906" w:orient="landscape"/>
      <w:pgMar w:top="1797" w:right="1440" w:bottom="1797" w:left="1440"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panose1 w:val="02010609030101010101"/>
    <w:charset w:val="86"/>
    <w:family w:val="modern"/>
    <w:pitch w:val="default"/>
    <w:sig w:usb0="00000001" w:usb1="080E0000" w:usb2="00000000" w:usb3="00000000" w:csb0="00040000" w:csb1="00000000"/>
  </w:font>
  <w:font w:name="幼圆">
    <w:panose1 w:val="0201050906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TimesNewRomanPSMT">
    <w:altName w:val="Times New Roman"/>
    <w:panose1 w:val="00000000000000000000"/>
    <w:charset w:val="00"/>
    <w:family w:val="roman"/>
    <w:pitch w:val="default"/>
    <w:sig w:usb0="00000000" w:usb1="00000000" w:usb2="00000000" w:usb3="00000000" w:csb0="00040001" w:csb1="00000000"/>
  </w:font>
  <w:font w:name="楷体_GB2312">
    <w:panose1 w:val="02010609030101010101"/>
    <w:charset w:val="86"/>
    <w:family w:val="modern"/>
    <w:pitch w:val="default"/>
    <w:sig w:usb0="00000001" w:usb1="080E0000" w:usb2="00000000" w:usb3="00000000" w:csb0="00040000" w:csb1="00000000"/>
  </w:font>
  <w:font w:name="Courier">
    <w:altName w:val="Courier New"/>
    <w:panose1 w:val="02070409020205020404"/>
    <w:charset w:val="00"/>
    <w:family w:val="modern"/>
    <w:pitch w:val="default"/>
    <w:sig w:usb0="00000000" w:usb1="00000000" w:usb2="00000000" w:usb3="00000000" w:csb0="00000001" w:csb1="00000000"/>
  </w:font>
  <w:font w:name="PMingLiU">
    <w:panose1 w:val="02020500000000000000"/>
    <w:charset w:val="88"/>
    <w:family w:val="roman"/>
    <w:pitch w:val="default"/>
    <w:sig w:usb0="A00002FF" w:usb1="28CFFCFA" w:usb2="00000016" w:usb3="00000000" w:csb0="00100001" w:csb1="00000000"/>
  </w:font>
  <w:font w:name="宋?">
    <w:altName w:val="宋体"/>
    <w:panose1 w:val="00000000000000000000"/>
    <w:charset w:val="81"/>
    <w:family w:val="auto"/>
    <w:pitch w:val="default"/>
    <w:sig w:usb0="00000000" w:usb1="00000000" w:usb2="00000010" w:usb3="00000000" w:csb0="00080000" w:csb1="00000000"/>
  </w:font>
  <w:font w:name="MingLiU">
    <w:panose1 w:val="02020509000000000000"/>
    <w:charset w:val="88"/>
    <w:family w:val="modern"/>
    <w:pitch w:val="default"/>
    <w:sig w:usb0="A00002FF" w:usb1="28CFFCFA" w:usb2="00000016" w:usb3="00000000" w:csb0="00100001"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ˎ̥">
    <w:altName w:val="hakuyoxingshu7000"/>
    <w:panose1 w:val="00000000000000000000"/>
    <w:charset w:val="00"/>
    <w:family w:val="roman"/>
    <w:pitch w:val="default"/>
    <w:sig w:usb0="00000000" w:usb1="00000000" w:usb2="00000000" w:usb3="00000000" w:csb0="00040001" w:csb1="00000000"/>
  </w:font>
  <w:font w:name="华文仿宋">
    <w:panose1 w:val="02010600040101010101"/>
    <w:charset w:val="86"/>
    <w:family w:val="auto"/>
    <w:pitch w:val="default"/>
    <w:sig w:usb0="00000287" w:usb1="080F0000" w:usb2="00000000" w:usb3="00000000" w:csb0="0004009F" w:csb1="DFD70000"/>
  </w:font>
  <w:font w:name="Arial Unicode MS">
    <w:panose1 w:val="020B0604020202020204"/>
    <w:charset w:val="86"/>
    <w:family w:val="swiss"/>
    <w:pitch w:val="default"/>
    <w:sig w:usb0="FFFFFFFF" w:usb1="E9FFFFFF" w:usb2="0000003F" w:usb3="00000000" w:csb0="603F01FF" w:csb1="FFFF0000"/>
  </w:font>
  <w:font w:name="方正小标宋_GBK">
    <w:altName w:val="Arial Unicode MS"/>
    <w:panose1 w:val="02000000000000000000"/>
    <w:charset w:val="86"/>
    <w:family w:val="roman"/>
    <w:pitch w:val="default"/>
    <w:sig w:usb0="00000000" w:usb1="00000000" w:usb2="00000000" w:usb3="00000000" w:csb0="00040000" w:csb1="00000000"/>
  </w:font>
  <w:font w:name="Wingdings 2">
    <w:panose1 w:val="05020102010507070707"/>
    <w:charset w:val="02"/>
    <w:family w:val="roman"/>
    <w:pitch w:val="default"/>
    <w:sig w:usb0="00000000" w:usb1="00000000" w:usb2="00000000" w:usb3="00000000" w:csb0="80000000" w:csb1="00000000"/>
  </w:font>
  <w:font w:name="仿宋体">
    <w:altName w:val="宋体"/>
    <w:panose1 w:val="02010600030101010101"/>
    <w:charset w:val="00"/>
    <w:family w:val="roman"/>
    <w:pitch w:val="default"/>
    <w:sig w:usb0="00000000" w:usb1="00000000" w:usb2="00000010" w:usb3="00000000" w:csb0="00040000" w:csb1="00000000"/>
  </w:font>
  <w:font w:name="Helvetica">
    <w:altName w:val="Arial"/>
    <w:panose1 w:val="020B0604020202020204"/>
    <w:charset w:val="00"/>
    <w:family w:val="swiss"/>
    <w:pitch w:val="default"/>
    <w:sig w:usb0="00000000" w:usb1="00000000" w:usb2="00000009" w:usb3="00000000" w:csb0="000001FF" w:csb1="00000000"/>
  </w:font>
  <w:font w:name="Arial">
    <w:panose1 w:val="020B0604020202020204"/>
    <w:charset w:val="00"/>
    <w:family w:val="auto"/>
    <w:pitch w:val="default"/>
    <w:sig w:usb0="E0002AFF" w:usb1="C0007843" w:usb2="00000009" w:usb3="00000000" w:csb0="400001FF" w:csb1="FFFF0000"/>
  </w:font>
  <w:font w:name="Courier New">
    <w:panose1 w:val="02070309020205020404"/>
    <w:charset w:val="00"/>
    <w:family w:val="auto"/>
    <w:pitch w:val="default"/>
    <w:sig w:usb0="E0002AFF" w:usb1="C0007843" w:usb2="00000009" w:usb3="00000000" w:csb0="400001FF" w:csb1="FFFF0000"/>
  </w:font>
  <w:font w:name="hakuyoxingshu7000">
    <w:panose1 w:val="02000600000000000000"/>
    <w:charset w:val="86"/>
    <w:family w:val="auto"/>
    <w:pitch w:val="default"/>
    <w:sig w:usb0="FFFFFFFF" w:usb1="E9FFFFFF" w:usb2="0000003F" w:usb3="00000000" w:csb0="603F00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framePr w:wrap="around" w:vAnchor="text" w:hAnchor="margin" w:xAlign="center" w:y="1"/>
      <w:rPr>
        <w:rStyle w:val="46"/>
      </w:rPr>
    </w:pPr>
    <w:r>
      <w:fldChar w:fldCharType="begin"/>
    </w:r>
    <w:r>
      <w:rPr>
        <w:rStyle w:val="46"/>
      </w:rPr>
      <w:instrText xml:space="preserve">PAGE  </w:instrText>
    </w:r>
    <w:r>
      <w:fldChar w:fldCharType="end"/>
    </w:r>
  </w:p>
  <w:p>
    <w:pPr>
      <w:pStyle w:val="26"/>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right="360"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6"/>
                            <w:rPr>
                              <w:rStyle w:val="46"/>
                              <w:rFonts w:ascii="宋体" w:hAnsi="宋体"/>
                              <w:sz w:val="28"/>
                              <w:szCs w:val="28"/>
                            </w:rPr>
                          </w:pPr>
                          <w:r>
                            <w:rPr>
                              <w:rStyle w:val="46"/>
                              <w:rFonts w:hint="eastAsia" w:ascii="宋体" w:hAnsi="宋体"/>
                              <w:sz w:val="28"/>
                              <w:szCs w:val="28"/>
                            </w:rPr>
                            <w:t>—</w:t>
                          </w:r>
                          <w:r>
                            <w:rPr>
                              <w:rStyle w:val="46"/>
                              <w:rFonts w:hint="eastAsia" w:ascii="宋体" w:hAnsi="宋体"/>
                              <w:sz w:val="20"/>
                            </w:rPr>
                            <w:t xml:space="preserve">  </w:t>
                          </w:r>
                          <w:r>
                            <w:rPr>
                              <w:rFonts w:ascii="宋体" w:hAnsi="宋体"/>
                              <w:sz w:val="26"/>
                              <w:szCs w:val="26"/>
                            </w:rPr>
                            <w:fldChar w:fldCharType="begin"/>
                          </w:r>
                          <w:r>
                            <w:rPr>
                              <w:rStyle w:val="46"/>
                              <w:rFonts w:ascii="宋体" w:hAnsi="宋体"/>
                              <w:sz w:val="26"/>
                              <w:szCs w:val="26"/>
                            </w:rPr>
                            <w:instrText xml:space="preserve">PAGE  </w:instrText>
                          </w:r>
                          <w:r>
                            <w:rPr>
                              <w:rFonts w:ascii="宋体" w:hAnsi="宋体"/>
                              <w:sz w:val="26"/>
                              <w:szCs w:val="26"/>
                            </w:rPr>
                            <w:fldChar w:fldCharType="separate"/>
                          </w:r>
                          <w:r>
                            <w:rPr>
                              <w:rStyle w:val="46"/>
                              <w:rFonts w:ascii="宋体" w:hAnsi="宋体"/>
                              <w:sz w:val="26"/>
                              <w:szCs w:val="26"/>
                            </w:rPr>
                            <w:t>9</w:t>
                          </w:r>
                          <w:r>
                            <w:rPr>
                              <w:rFonts w:ascii="宋体" w:hAnsi="宋体"/>
                              <w:sz w:val="26"/>
                              <w:szCs w:val="26"/>
                            </w:rPr>
                            <w:fldChar w:fldCharType="end"/>
                          </w:r>
                          <w:r>
                            <w:rPr>
                              <w:rStyle w:val="46"/>
                              <w:rFonts w:hint="eastAsia" w:ascii="宋体" w:hAnsi="宋体"/>
                              <w:sz w:val="20"/>
                            </w:rPr>
                            <w:t xml:space="preserve">  </w:t>
                          </w:r>
                          <w:r>
                            <w:rPr>
                              <w:rStyle w:val="46"/>
                              <w:rFonts w:hint="eastAsia" w:ascii="宋体" w:hAnsi="宋体"/>
                              <w:sz w:val="28"/>
                              <w:szCs w:val="28"/>
                            </w:rPr>
                            <w:t>—</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ZM0qcgBAACZAwAADgAAAGRycy9lMm9Eb2MueG1srVPNjtMwEL4j8Q6W&#10;79TZHlA3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zcYhRL3vyhLlehBuDwmbKL3lCiPsVBgnVthN25VX4vG9ZD38UZ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CWTNKnIAQAAmQMAAA4AAAAAAAAAAQAgAAAAHgEAAGRycy9lMm9Eb2Mu&#10;eG1sUEsFBgAAAAAGAAYAWQEAAFgFAAAAAA==&#10;">
              <v:fill on="f" focussize="0,0"/>
              <v:stroke on="f"/>
              <v:imagedata o:title=""/>
              <o:lock v:ext="edit" aspectratio="f"/>
              <v:textbox inset="0mm,0mm,0mm,0mm" style="mso-fit-shape-to-text:t;">
                <w:txbxContent>
                  <w:p>
                    <w:pPr>
                      <w:pStyle w:val="26"/>
                      <w:rPr>
                        <w:rStyle w:val="46"/>
                        <w:rFonts w:ascii="宋体" w:hAnsi="宋体"/>
                        <w:sz w:val="28"/>
                        <w:szCs w:val="28"/>
                      </w:rPr>
                    </w:pPr>
                    <w:r>
                      <w:rPr>
                        <w:rStyle w:val="46"/>
                        <w:rFonts w:hint="eastAsia" w:ascii="宋体" w:hAnsi="宋体"/>
                        <w:sz w:val="28"/>
                        <w:szCs w:val="28"/>
                      </w:rPr>
                      <w:t>—</w:t>
                    </w:r>
                    <w:r>
                      <w:rPr>
                        <w:rStyle w:val="46"/>
                        <w:rFonts w:hint="eastAsia" w:ascii="宋体" w:hAnsi="宋体"/>
                        <w:sz w:val="20"/>
                      </w:rPr>
                      <w:t xml:space="preserve">  </w:t>
                    </w:r>
                    <w:r>
                      <w:rPr>
                        <w:rFonts w:ascii="宋体" w:hAnsi="宋体"/>
                        <w:sz w:val="26"/>
                        <w:szCs w:val="26"/>
                      </w:rPr>
                      <w:fldChar w:fldCharType="begin"/>
                    </w:r>
                    <w:r>
                      <w:rPr>
                        <w:rStyle w:val="46"/>
                        <w:rFonts w:ascii="宋体" w:hAnsi="宋体"/>
                        <w:sz w:val="26"/>
                        <w:szCs w:val="26"/>
                      </w:rPr>
                      <w:instrText xml:space="preserve">PAGE  </w:instrText>
                    </w:r>
                    <w:r>
                      <w:rPr>
                        <w:rFonts w:ascii="宋体" w:hAnsi="宋体"/>
                        <w:sz w:val="26"/>
                        <w:szCs w:val="26"/>
                      </w:rPr>
                      <w:fldChar w:fldCharType="separate"/>
                    </w:r>
                    <w:r>
                      <w:rPr>
                        <w:rStyle w:val="46"/>
                        <w:rFonts w:ascii="宋体" w:hAnsi="宋体"/>
                        <w:sz w:val="26"/>
                        <w:szCs w:val="26"/>
                      </w:rPr>
                      <w:t>9</w:t>
                    </w:r>
                    <w:r>
                      <w:rPr>
                        <w:rFonts w:ascii="宋体" w:hAnsi="宋体"/>
                        <w:sz w:val="26"/>
                        <w:szCs w:val="26"/>
                      </w:rPr>
                      <w:fldChar w:fldCharType="end"/>
                    </w:r>
                    <w:r>
                      <w:rPr>
                        <w:rStyle w:val="46"/>
                        <w:rFonts w:hint="eastAsia" w:ascii="宋体" w:hAnsi="宋体"/>
                        <w:sz w:val="20"/>
                      </w:rPr>
                      <w:t xml:space="preserve">  </w:t>
                    </w:r>
                    <w:r>
                      <w:rPr>
                        <w:rStyle w:val="46"/>
                        <w:rFonts w:hint="eastAsia" w:ascii="宋体" w:hAnsi="宋体"/>
                        <w:sz w:val="28"/>
                        <w:szCs w:val="28"/>
                      </w:rPr>
                      <w:t>—</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right"/>
    </w:pPr>
    <w:r>
      <w:fldChar w:fldCharType="begin"/>
    </w:r>
    <w:r>
      <w:instrText xml:space="preserve"> PAGE   \* MERGEFORMAT </w:instrText>
    </w:r>
    <w:r>
      <w:fldChar w:fldCharType="separate"/>
    </w:r>
    <w:r>
      <w:rPr>
        <w:lang w:val="zh-CN"/>
      </w:rPr>
      <w:t>51</w:t>
    </w:r>
    <w:r>
      <w:fldChar w:fldCharType="end"/>
    </w:r>
  </w:p>
  <w:p>
    <w:pPr>
      <w:pStyle w:val="26"/>
      <w:ind w:right="360" w:firstLine="360"/>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thinThickSmallGap" w:color="auto" w:sz="12" w:space="1"/>
      </w:pBdr>
      <w:tabs>
        <w:tab w:val="center" w:pos="4153"/>
        <w:tab w:val="right" w:pos="8306"/>
      </w:tabs>
      <w:ind w:firstLine="0" w:firstLineChars="0"/>
      <w:jc w:val="left"/>
      <w:rPr>
        <w:sz w:val="24"/>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F"/>
    <w:multiLevelType w:val="multilevel"/>
    <w:tmpl w:val="0000000F"/>
    <w:lvl w:ilvl="0" w:tentative="0">
      <w:start w:val="1"/>
      <w:numFmt w:val="decimal"/>
      <w:lvlText w:val="%1"/>
      <w:lvlJc w:val="left"/>
      <w:pPr>
        <w:tabs>
          <w:tab w:val="left" w:pos="432"/>
        </w:tabs>
        <w:ind w:left="432" w:hanging="432"/>
      </w:pPr>
      <w:rPr>
        <w:rFonts w:hint="eastAsia"/>
      </w:rPr>
    </w:lvl>
    <w:lvl w:ilvl="1" w:tentative="0">
      <w:start w:val="1"/>
      <w:numFmt w:val="decimal"/>
      <w:lvlText w:val="%1.%2"/>
      <w:lvlJc w:val="left"/>
      <w:pPr>
        <w:tabs>
          <w:tab w:val="left" w:pos="576"/>
        </w:tabs>
        <w:ind w:left="576" w:hanging="576"/>
      </w:pPr>
      <w:rPr>
        <w:rFonts w:hint="eastAsia"/>
      </w:rPr>
    </w:lvl>
    <w:lvl w:ilvl="2" w:tentative="0">
      <w:start w:val="1"/>
      <w:numFmt w:val="decimal"/>
      <w:lvlText w:val="%1.%2.%3"/>
      <w:lvlJc w:val="left"/>
      <w:pPr>
        <w:tabs>
          <w:tab w:val="left" w:pos="720"/>
        </w:tabs>
        <w:ind w:left="720" w:hanging="720"/>
      </w:pPr>
      <w:rPr>
        <w:rFonts w:hint="eastAsia"/>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lvlText w:val="%1.%2.%3.%4.%5"/>
      <w:lvlJc w:val="left"/>
      <w:pPr>
        <w:tabs>
          <w:tab w:val="left" w:pos="1800"/>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1">
    <w:nsid w:val="48273669"/>
    <w:multiLevelType w:val="multilevel"/>
    <w:tmpl w:val="48273669"/>
    <w:lvl w:ilvl="0" w:tentative="0">
      <w:start w:val="1"/>
      <w:numFmt w:val="decimal"/>
      <w:pStyle w:val="235"/>
      <w:suff w:val="nothing"/>
      <w:lvlText w:val="%1、"/>
      <w:lvlJc w:val="left"/>
      <w:pPr>
        <w:ind w:left="2121" w:hanging="420"/>
      </w:pPr>
      <w:rPr>
        <w:rFonts w:hint="default"/>
        <w:b/>
        <w:bC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
    <w:nsid w:val="590C3712"/>
    <w:multiLevelType w:val="multilevel"/>
    <w:tmpl w:val="590C3712"/>
    <w:lvl w:ilvl="0" w:tentative="0">
      <w:start w:val="0"/>
      <w:numFmt w:val="none"/>
      <w:pStyle w:val="266"/>
      <w:lvlText w:val=""/>
      <w:lvlJc w:val="left"/>
      <w:pPr>
        <w:tabs>
          <w:tab w:val="left" w:pos="360"/>
        </w:tabs>
      </w:pPr>
    </w:lvl>
    <w:lvl w:ilvl="1" w:tentative="0">
      <w:start w:val="1"/>
      <w:numFmt w:val="lowerLetter"/>
      <w:lvlText w:val="%2)"/>
      <w:lvlJc w:val="left"/>
      <w:pPr>
        <w:ind w:left="840" w:hanging="420"/>
      </w:pPr>
      <w:rPr>
        <w:rFonts w:hint="default" w:ascii="宋体" w:hAnsi="宋体" w:eastAsia="宋体" w:cs="宋体"/>
      </w:rPr>
    </w:lvl>
    <w:lvl w:ilvl="2" w:tentative="0">
      <w:start w:val="1"/>
      <w:numFmt w:val="decimal"/>
      <w:lvlText w:val="%3."/>
      <w:lvlJc w:val="right"/>
      <w:pPr>
        <w:ind w:left="1260" w:hanging="420"/>
      </w:pPr>
      <w:rPr>
        <w:rFonts w:hint="default" w:ascii="宋体" w:hAnsi="宋体" w:eastAsia="宋体" w:cs="宋体"/>
      </w:rPr>
    </w:lvl>
    <w:lvl w:ilvl="3" w:tentative="0">
      <w:start w:val="1"/>
      <w:numFmt w:val="decimal"/>
      <w:lvlText w:val="%4."/>
      <w:lvlJc w:val="left"/>
      <w:pPr>
        <w:ind w:left="1680" w:hanging="420"/>
      </w:pPr>
      <w:rPr>
        <w:rFonts w:hint="default" w:ascii="宋体" w:hAnsi="宋体" w:eastAsia="宋体" w:cs="宋体"/>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3">
    <w:nsid w:val="7ED14685"/>
    <w:multiLevelType w:val="singleLevel"/>
    <w:tmpl w:val="7ED14685"/>
    <w:lvl w:ilvl="0" w:tentative="0">
      <w:start w:val="1"/>
      <w:numFmt w:val="bullet"/>
      <w:pStyle w:val="15"/>
      <w:lvlText w:val=""/>
      <w:lvlJc w:val="left"/>
      <w:pPr>
        <w:tabs>
          <w:tab w:val="left" w:pos="2040"/>
        </w:tabs>
        <w:ind w:left="2040" w:hanging="360"/>
      </w:pPr>
      <w:rPr>
        <w:rFonts w:hint="default" w:ascii="Wingdings" w:hAnsi="Wingdings"/>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endnotePr>
    <w:numFmt w:val="decimal"/>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VjOWU3MGM1YjYyNTZiNDkyOGFhMTZjNTVjZDM0NjgifQ=="/>
  </w:docVars>
  <w:rsids>
    <w:rsidRoot w:val="4CC51681"/>
    <w:rsid w:val="00143723"/>
    <w:rsid w:val="00150902"/>
    <w:rsid w:val="0025035E"/>
    <w:rsid w:val="006A2EAD"/>
    <w:rsid w:val="00854F9C"/>
    <w:rsid w:val="00955394"/>
    <w:rsid w:val="00B4697A"/>
    <w:rsid w:val="00CE1CF4"/>
    <w:rsid w:val="00D34727"/>
    <w:rsid w:val="00EA480F"/>
    <w:rsid w:val="00F53CD5"/>
    <w:rsid w:val="01392CC3"/>
    <w:rsid w:val="01594742"/>
    <w:rsid w:val="015E0AA1"/>
    <w:rsid w:val="01962E2B"/>
    <w:rsid w:val="01C74BCA"/>
    <w:rsid w:val="01D62705"/>
    <w:rsid w:val="021F4145"/>
    <w:rsid w:val="024E3BCD"/>
    <w:rsid w:val="02805672"/>
    <w:rsid w:val="02D87096"/>
    <w:rsid w:val="02E2183C"/>
    <w:rsid w:val="0307687D"/>
    <w:rsid w:val="035D21FD"/>
    <w:rsid w:val="03DF2239"/>
    <w:rsid w:val="045D3736"/>
    <w:rsid w:val="04AE0DC8"/>
    <w:rsid w:val="04B97B11"/>
    <w:rsid w:val="04C55C41"/>
    <w:rsid w:val="04E747C2"/>
    <w:rsid w:val="050A70B6"/>
    <w:rsid w:val="05180283"/>
    <w:rsid w:val="05804E48"/>
    <w:rsid w:val="059C7B24"/>
    <w:rsid w:val="06614682"/>
    <w:rsid w:val="067512AC"/>
    <w:rsid w:val="0779268E"/>
    <w:rsid w:val="08195139"/>
    <w:rsid w:val="082D180C"/>
    <w:rsid w:val="08352131"/>
    <w:rsid w:val="083B1DE4"/>
    <w:rsid w:val="084F0D5C"/>
    <w:rsid w:val="08560496"/>
    <w:rsid w:val="08932046"/>
    <w:rsid w:val="08D07CD7"/>
    <w:rsid w:val="08D609C0"/>
    <w:rsid w:val="093D7238"/>
    <w:rsid w:val="09D23B5C"/>
    <w:rsid w:val="0A300F3E"/>
    <w:rsid w:val="0A690A42"/>
    <w:rsid w:val="0ABA277E"/>
    <w:rsid w:val="0AD304EE"/>
    <w:rsid w:val="0B0D5A73"/>
    <w:rsid w:val="0B100C28"/>
    <w:rsid w:val="0B641641"/>
    <w:rsid w:val="0B737DFC"/>
    <w:rsid w:val="0C1E1312"/>
    <w:rsid w:val="0C266E4F"/>
    <w:rsid w:val="0C290EBE"/>
    <w:rsid w:val="0C7F6F4E"/>
    <w:rsid w:val="0C946F6B"/>
    <w:rsid w:val="0CC777E5"/>
    <w:rsid w:val="0CDB0707"/>
    <w:rsid w:val="0DDD7799"/>
    <w:rsid w:val="0DFD3960"/>
    <w:rsid w:val="0E1657E1"/>
    <w:rsid w:val="0EBF382D"/>
    <w:rsid w:val="0EF0007C"/>
    <w:rsid w:val="0F2A6253"/>
    <w:rsid w:val="10D83537"/>
    <w:rsid w:val="10FB3257"/>
    <w:rsid w:val="1116403C"/>
    <w:rsid w:val="11A744E6"/>
    <w:rsid w:val="11CF60C1"/>
    <w:rsid w:val="1208464E"/>
    <w:rsid w:val="12614BA6"/>
    <w:rsid w:val="128B36DF"/>
    <w:rsid w:val="13707CF2"/>
    <w:rsid w:val="13C51721"/>
    <w:rsid w:val="14521FBF"/>
    <w:rsid w:val="14AE4611"/>
    <w:rsid w:val="150E5154"/>
    <w:rsid w:val="154D01F0"/>
    <w:rsid w:val="159A2B43"/>
    <w:rsid w:val="15AA5CF1"/>
    <w:rsid w:val="16223187"/>
    <w:rsid w:val="170718E6"/>
    <w:rsid w:val="175627CE"/>
    <w:rsid w:val="17A24F79"/>
    <w:rsid w:val="18047AE0"/>
    <w:rsid w:val="18C97015"/>
    <w:rsid w:val="18CA0832"/>
    <w:rsid w:val="192C0E0C"/>
    <w:rsid w:val="194B3136"/>
    <w:rsid w:val="197E6AA6"/>
    <w:rsid w:val="19903300"/>
    <w:rsid w:val="19AB256E"/>
    <w:rsid w:val="19F53607"/>
    <w:rsid w:val="1A1B7E99"/>
    <w:rsid w:val="1A2E4B26"/>
    <w:rsid w:val="1A3E41FA"/>
    <w:rsid w:val="1AA1295A"/>
    <w:rsid w:val="1AF12A44"/>
    <w:rsid w:val="1B1A26E2"/>
    <w:rsid w:val="1B306FCF"/>
    <w:rsid w:val="1B3D691D"/>
    <w:rsid w:val="1B4C7724"/>
    <w:rsid w:val="1BED4E39"/>
    <w:rsid w:val="1C1F0578"/>
    <w:rsid w:val="1C28039D"/>
    <w:rsid w:val="1D4650ED"/>
    <w:rsid w:val="1D753DB0"/>
    <w:rsid w:val="1D915310"/>
    <w:rsid w:val="1D962123"/>
    <w:rsid w:val="1DC70DEC"/>
    <w:rsid w:val="1DDF4CD2"/>
    <w:rsid w:val="1E042A1B"/>
    <w:rsid w:val="1E25248A"/>
    <w:rsid w:val="1E3F2025"/>
    <w:rsid w:val="1F9A238D"/>
    <w:rsid w:val="1FDC1987"/>
    <w:rsid w:val="1FDE7D08"/>
    <w:rsid w:val="203F12C3"/>
    <w:rsid w:val="206146C8"/>
    <w:rsid w:val="20645E17"/>
    <w:rsid w:val="20C71CD9"/>
    <w:rsid w:val="21000432"/>
    <w:rsid w:val="211D50C8"/>
    <w:rsid w:val="216A4C05"/>
    <w:rsid w:val="21863D0D"/>
    <w:rsid w:val="2216046A"/>
    <w:rsid w:val="223B4BFE"/>
    <w:rsid w:val="22644AB9"/>
    <w:rsid w:val="22876AFD"/>
    <w:rsid w:val="23163EB2"/>
    <w:rsid w:val="2427107E"/>
    <w:rsid w:val="245A3DCA"/>
    <w:rsid w:val="24B94350"/>
    <w:rsid w:val="253F118A"/>
    <w:rsid w:val="2578310B"/>
    <w:rsid w:val="25D8356A"/>
    <w:rsid w:val="25E71BEC"/>
    <w:rsid w:val="25EC6ED5"/>
    <w:rsid w:val="25F015C5"/>
    <w:rsid w:val="26571D40"/>
    <w:rsid w:val="266F149F"/>
    <w:rsid w:val="27804D47"/>
    <w:rsid w:val="28145128"/>
    <w:rsid w:val="282838DA"/>
    <w:rsid w:val="28571D32"/>
    <w:rsid w:val="294D084D"/>
    <w:rsid w:val="29933722"/>
    <w:rsid w:val="29AA51F0"/>
    <w:rsid w:val="29DA4EBE"/>
    <w:rsid w:val="2A3253DE"/>
    <w:rsid w:val="2A356872"/>
    <w:rsid w:val="2A546059"/>
    <w:rsid w:val="2A5D2D01"/>
    <w:rsid w:val="2AF27BEF"/>
    <w:rsid w:val="2B0077CF"/>
    <w:rsid w:val="2B01741F"/>
    <w:rsid w:val="2B1C040B"/>
    <w:rsid w:val="2B1F6EF2"/>
    <w:rsid w:val="2B71731C"/>
    <w:rsid w:val="2BB0437F"/>
    <w:rsid w:val="2CD261A7"/>
    <w:rsid w:val="2D321CC8"/>
    <w:rsid w:val="2D6477FE"/>
    <w:rsid w:val="2D833FE8"/>
    <w:rsid w:val="2D85397D"/>
    <w:rsid w:val="2DEE303D"/>
    <w:rsid w:val="2DF7769F"/>
    <w:rsid w:val="2DFF55A7"/>
    <w:rsid w:val="2EAE0106"/>
    <w:rsid w:val="2EC652B2"/>
    <w:rsid w:val="2F344423"/>
    <w:rsid w:val="305212CF"/>
    <w:rsid w:val="30CF1B19"/>
    <w:rsid w:val="30FD7924"/>
    <w:rsid w:val="311E24FD"/>
    <w:rsid w:val="315A5151"/>
    <w:rsid w:val="31746F9C"/>
    <w:rsid w:val="31873AFA"/>
    <w:rsid w:val="31E45D99"/>
    <w:rsid w:val="325B6989"/>
    <w:rsid w:val="32B722E3"/>
    <w:rsid w:val="32E55AEF"/>
    <w:rsid w:val="336C325E"/>
    <w:rsid w:val="34C60C67"/>
    <w:rsid w:val="350E0B57"/>
    <w:rsid w:val="353C3345"/>
    <w:rsid w:val="353C3CAC"/>
    <w:rsid w:val="354B7504"/>
    <w:rsid w:val="35A35FAD"/>
    <w:rsid w:val="36106FD5"/>
    <w:rsid w:val="36B01313"/>
    <w:rsid w:val="36B93809"/>
    <w:rsid w:val="36C631E8"/>
    <w:rsid w:val="371F41A4"/>
    <w:rsid w:val="3788036E"/>
    <w:rsid w:val="37A924CB"/>
    <w:rsid w:val="383F1698"/>
    <w:rsid w:val="38534CB7"/>
    <w:rsid w:val="38A56D41"/>
    <w:rsid w:val="38B54033"/>
    <w:rsid w:val="39212C99"/>
    <w:rsid w:val="39740B10"/>
    <w:rsid w:val="398639BF"/>
    <w:rsid w:val="39A26D13"/>
    <w:rsid w:val="39AE25A1"/>
    <w:rsid w:val="39F914CF"/>
    <w:rsid w:val="3A147AAC"/>
    <w:rsid w:val="3AFE72DB"/>
    <w:rsid w:val="3B2565A9"/>
    <w:rsid w:val="3B993EB6"/>
    <w:rsid w:val="3BE15BA1"/>
    <w:rsid w:val="3C1B6DEE"/>
    <w:rsid w:val="3CAD29AD"/>
    <w:rsid w:val="3CCF454A"/>
    <w:rsid w:val="3CE25A6A"/>
    <w:rsid w:val="3D6852CB"/>
    <w:rsid w:val="3D9D1094"/>
    <w:rsid w:val="3E3D6F14"/>
    <w:rsid w:val="3E6A3F16"/>
    <w:rsid w:val="3E7E1783"/>
    <w:rsid w:val="3F0223F3"/>
    <w:rsid w:val="3F281E38"/>
    <w:rsid w:val="3FC6242C"/>
    <w:rsid w:val="3FD35A41"/>
    <w:rsid w:val="3FDC4DBB"/>
    <w:rsid w:val="40061E82"/>
    <w:rsid w:val="405E0770"/>
    <w:rsid w:val="40616FB3"/>
    <w:rsid w:val="40722C94"/>
    <w:rsid w:val="40994365"/>
    <w:rsid w:val="40C8628A"/>
    <w:rsid w:val="40FF6E50"/>
    <w:rsid w:val="41104488"/>
    <w:rsid w:val="4162197F"/>
    <w:rsid w:val="41722AF1"/>
    <w:rsid w:val="41DD508C"/>
    <w:rsid w:val="425303BA"/>
    <w:rsid w:val="428E3330"/>
    <w:rsid w:val="42AB7666"/>
    <w:rsid w:val="42BB005F"/>
    <w:rsid w:val="42BC36B5"/>
    <w:rsid w:val="42C72DDD"/>
    <w:rsid w:val="441F2B8F"/>
    <w:rsid w:val="444B7C62"/>
    <w:rsid w:val="44B5606C"/>
    <w:rsid w:val="456316C1"/>
    <w:rsid w:val="459A4837"/>
    <w:rsid w:val="45F770A4"/>
    <w:rsid w:val="463A687E"/>
    <w:rsid w:val="465E7AF3"/>
    <w:rsid w:val="46756B4D"/>
    <w:rsid w:val="467B7704"/>
    <w:rsid w:val="467E26A2"/>
    <w:rsid w:val="468A57EA"/>
    <w:rsid w:val="46CC0674"/>
    <w:rsid w:val="472C7DB9"/>
    <w:rsid w:val="473B76F4"/>
    <w:rsid w:val="478A6064"/>
    <w:rsid w:val="47DB3EB5"/>
    <w:rsid w:val="47DD5A16"/>
    <w:rsid w:val="47F30BAC"/>
    <w:rsid w:val="489F51E6"/>
    <w:rsid w:val="49033AA7"/>
    <w:rsid w:val="49053025"/>
    <w:rsid w:val="49605F29"/>
    <w:rsid w:val="496A1820"/>
    <w:rsid w:val="49AE2C09"/>
    <w:rsid w:val="49F03E63"/>
    <w:rsid w:val="4A4302F3"/>
    <w:rsid w:val="4A9D7730"/>
    <w:rsid w:val="4A9F4ED2"/>
    <w:rsid w:val="4AEB31A1"/>
    <w:rsid w:val="4B35253D"/>
    <w:rsid w:val="4B3F5B3D"/>
    <w:rsid w:val="4B484E83"/>
    <w:rsid w:val="4BAC2D11"/>
    <w:rsid w:val="4BF55372"/>
    <w:rsid w:val="4C2F4549"/>
    <w:rsid w:val="4C3E3B1C"/>
    <w:rsid w:val="4C4A104E"/>
    <w:rsid w:val="4C756707"/>
    <w:rsid w:val="4CA11C08"/>
    <w:rsid w:val="4CB730C8"/>
    <w:rsid w:val="4CC51681"/>
    <w:rsid w:val="4D886208"/>
    <w:rsid w:val="4DAB0432"/>
    <w:rsid w:val="4DCA4FE5"/>
    <w:rsid w:val="4DCE2983"/>
    <w:rsid w:val="4E0232B1"/>
    <w:rsid w:val="4E9F2A5D"/>
    <w:rsid w:val="4F38594F"/>
    <w:rsid w:val="4F515FE9"/>
    <w:rsid w:val="4F9414B9"/>
    <w:rsid w:val="4FA12AF2"/>
    <w:rsid w:val="4FD16792"/>
    <w:rsid w:val="502425D9"/>
    <w:rsid w:val="50BA4FC9"/>
    <w:rsid w:val="50BC6D86"/>
    <w:rsid w:val="50E02679"/>
    <w:rsid w:val="50FA58BC"/>
    <w:rsid w:val="51382F51"/>
    <w:rsid w:val="51A92E83"/>
    <w:rsid w:val="51C31DA4"/>
    <w:rsid w:val="523650DE"/>
    <w:rsid w:val="52912564"/>
    <w:rsid w:val="52DE77D4"/>
    <w:rsid w:val="52E96F1C"/>
    <w:rsid w:val="52EF4BF8"/>
    <w:rsid w:val="532A43C2"/>
    <w:rsid w:val="533E09D9"/>
    <w:rsid w:val="534A733C"/>
    <w:rsid w:val="53702B43"/>
    <w:rsid w:val="54467018"/>
    <w:rsid w:val="54B92662"/>
    <w:rsid w:val="550D2678"/>
    <w:rsid w:val="5586388A"/>
    <w:rsid w:val="55DA22E2"/>
    <w:rsid w:val="563B3990"/>
    <w:rsid w:val="568360A8"/>
    <w:rsid w:val="568B2EA3"/>
    <w:rsid w:val="56A277AC"/>
    <w:rsid w:val="56C660B4"/>
    <w:rsid w:val="56CB1DE5"/>
    <w:rsid w:val="575D3FBB"/>
    <w:rsid w:val="57C06D11"/>
    <w:rsid w:val="57D263DD"/>
    <w:rsid w:val="58107F8D"/>
    <w:rsid w:val="581C7926"/>
    <w:rsid w:val="584A7F36"/>
    <w:rsid w:val="587A1A63"/>
    <w:rsid w:val="587A54B2"/>
    <w:rsid w:val="59074BA6"/>
    <w:rsid w:val="592D7C8F"/>
    <w:rsid w:val="594D7F0C"/>
    <w:rsid w:val="598835F0"/>
    <w:rsid w:val="59E978B5"/>
    <w:rsid w:val="5AC121E6"/>
    <w:rsid w:val="5AF13DA4"/>
    <w:rsid w:val="5B82786A"/>
    <w:rsid w:val="5B8B5CB2"/>
    <w:rsid w:val="5C3C7AB7"/>
    <w:rsid w:val="5C8F3A65"/>
    <w:rsid w:val="5CF45604"/>
    <w:rsid w:val="5D467400"/>
    <w:rsid w:val="5DDB1CC1"/>
    <w:rsid w:val="5E491B7D"/>
    <w:rsid w:val="5EC1721C"/>
    <w:rsid w:val="5ED04E54"/>
    <w:rsid w:val="5EDF2450"/>
    <w:rsid w:val="5F5373F4"/>
    <w:rsid w:val="5F8B122C"/>
    <w:rsid w:val="5F9D7EB8"/>
    <w:rsid w:val="5FEB54B0"/>
    <w:rsid w:val="60130582"/>
    <w:rsid w:val="60432D29"/>
    <w:rsid w:val="60BA0BE9"/>
    <w:rsid w:val="61157D57"/>
    <w:rsid w:val="616E3CD7"/>
    <w:rsid w:val="61755907"/>
    <w:rsid w:val="61926F26"/>
    <w:rsid w:val="61E20692"/>
    <w:rsid w:val="62995E01"/>
    <w:rsid w:val="62CF0CE3"/>
    <w:rsid w:val="62ED2CC5"/>
    <w:rsid w:val="63334C22"/>
    <w:rsid w:val="636276DD"/>
    <w:rsid w:val="637D16D3"/>
    <w:rsid w:val="639867C6"/>
    <w:rsid w:val="64286496"/>
    <w:rsid w:val="6442109A"/>
    <w:rsid w:val="644F43BE"/>
    <w:rsid w:val="646A5445"/>
    <w:rsid w:val="648C47B0"/>
    <w:rsid w:val="649E470F"/>
    <w:rsid w:val="64A47949"/>
    <w:rsid w:val="64E03700"/>
    <w:rsid w:val="655A2533"/>
    <w:rsid w:val="656761A5"/>
    <w:rsid w:val="65CD7172"/>
    <w:rsid w:val="65D67186"/>
    <w:rsid w:val="66157F1F"/>
    <w:rsid w:val="666A4FEF"/>
    <w:rsid w:val="66A12197"/>
    <w:rsid w:val="671E5E43"/>
    <w:rsid w:val="67AA3780"/>
    <w:rsid w:val="685052AC"/>
    <w:rsid w:val="69BA63AE"/>
    <w:rsid w:val="69F11EE7"/>
    <w:rsid w:val="6A12081F"/>
    <w:rsid w:val="6A1D516C"/>
    <w:rsid w:val="6A4F3A38"/>
    <w:rsid w:val="6A9E1BFD"/>
    <w:rsid w:val="6B8F0760"/>
    <w:rsid w:val="6BD21C54"/>
    <w:rsid w:val="6BEE2099"/>
    <w:rsid w:val="6C25268D"/>
    <w:rsid w:val="6C6A4035"/>
    <w:rsid w:val="6D0C615C"/>
    <w:rsid w:val="6D1E1452"/>
    <w:rsid w:val="6D36105C"/>
    <w:rsid w:val="6E403CB0"/>
    <w:rsid w:val="6E636184"/>
    <w:rsid w:val="6EDB28FB"/>
    <w:rsid w:val="6F186B7B"/>
    <w:rsid w:val="6F5F241C"/>
    <w:rsid w:val="6F931BF6"/>
    <w:rsid w:val="6FBE275D"/>
    <w:rsid w:val="700B3E3B"/>
    <w:rsid w:val="707A0433"/>
    <w:rsid w:val="708E3E12"/>
    <w:rsid w:val="71F73062"/>
    <w:rsid w:val="71FB7042"/>
    <w:rsid w:val="722C4FFE"/>
    <w:rsid w:val="727D3B15"/>
    <w:rsid w:val="728C6699"/>
    <w:rsid w:val="72B2437C"/>
    <w:rsid w:val="73051FF0"/>
    <w:rsid w:val="735A50DF"/>
    <w:rsid w:val="73A05C9A"/>
    <w:rsid w:val="73CB008F"/>
    <w:rsid w:val="7406705E"/>
    <w:rsid w:val="748C52D0"/>
    <w:rsid w:val="748D2974"/>
    <w:rsid w:val="74BE4E6C"/>
    <w:rsid w:val="75784937"/>
    <w:rsid w:val="75956B13"/>
    <w:rsid w:val="75F37958"/>
    <w:rsid w:val="76394AFB"/>
    <w:rsid w:val="76A1624D"/>
    <w:rsid w:val="76EF20B0"/>
    <w:rsid w:val="776275E7"/>
    <w:rsid w:val="776F0544"/>
    <w:rsid w:val="7774199C"/>
    <w:rsid w:val="77AF4A80"/>
    <w:rsid w:val="781B2AFE"/>
    <w:rsid w:val="7835040A"/>
    <w:rsid w:val="78692CD8"/>
    <w:rsid w:val="78A2151A"/>
    <w:rsid w:val="790C7AD8"/>
    <w:rsid w:val="79474801"/>
    <w:rsid w:val="79E562A1"/>
    <w:rsid w:val="7AAD61DE"/>
    <w:rsid w:val="7AD711F4"/>
    <w:rsid w:val="7ADA12B7"/>
    <w:rsid w:val="7B603DFE"/>
    <w:rsid w:val="7D397C15"/>
    <w:rsid w:val="7E62389E"/>
    <w:rsid w:val="7E623D4C"/>
    <w:rsid w:val="7E6A5CE2"/>
    <w:rsid w:val="7E942C4C"/>
    <w:rsid w:val="7EAD0578"/>
    <w:rsid w:val="7FF31989"/>
    <w:rsid w:val="7FFEF811"/>
    <w:rsid w:val="97F6AAFE"/>
    <w:rsid w:val="BFFF2AFE"/>
    <w:rsid w:val="FB9EEC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qFormat="1" w:unhideWhenUsed="0" w:uiPriority="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qFormat="1" w:unhideWhenUsed="0" w:uiPriority="99"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5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4"/>
      <w:szCs w:val="24"/>
      <w:lang w:val="en-US" w:eastAsia="zh-CN" w:bidi="ar-SA"/>
    </w:rPr>
  </w:style>
  <w:style w:type="paragraph" w:styleId="3">
    <w:name w:val="heading 1"/>
    <w:basedOn w:val="1"/>
    <w:next w:val="1"/>
    <w:link w:val="86"/>
    <w:qFormat/>
    <w:uiPriority w:val="0"/>
    <w:pPr>
      <w:keepNext/>
      <w:keepLines/>
      <w:adjustRightInd w:val="0"/>
      <w:snapToGrid w:val="0"/>
      <w:spacing w:before="50" w:beforeLines="50" w:after="50" w:afterLines="50" w:line="360" w:lineRule="auto"/>
      <w:jc w:val="center"/>
      <w:outlineLvl w:val="0"/>
    </w:pPr>
    <w:rPr>
      <w:rFonts w:ascii="黑体" w:hAnsi="黑体" w:eastAsia="黑体"/>
      <w:b/>
      <w:snapToGrid w:val="0"/>
      <w:color w:val="000000"/>
      <w:sz w:val="32"/>
    </w:rPr>
  </w:style>
  <w:style w:type="paragraph" w:styleId="4">
    <w:name w:val="heading 2"/>
    <w:basedOn w:val="1"/>
    <w:next w:val="1"/>
    <w:link w:val="182"/>
    <w:qFormat/>
    <w:uiPriority w:val="0"/>
    <w:pPr>
      <w:keepNext/>
      <w:keepLines/>
      <w:adjustRightInd w:val="0"/>
      <w:snapToGrid w:val="0"/>
      <w:spacing w:line="360" w:lineRule="auto"/>
      <w:outlineLvl w:val="1"/>
    </w:pPr>
    <w:rPr>
      <w:rFonts w:ascii="黑体" w:hAnsi="宋体" w:eastAsia="Times New Roman"/>
      <w:b/>
      <w:bCs/>
      <w:snapToGrid w:val="0"/>
      <w:kern w:val="0"/>
      <w:szCs w:val="20"/>
    </w:rPr>
  </w:style>
  <w:style w:type="paragraph" w:styleId="5">
    <w:name w:val="heading 3"/>
    <w:basedOn w:val="1"/>
    <w:next w:val="1"/>
    <w:link w:val="275"/>
    <w:qFormat/>
    <w:uiPriority w:val="0"/>
    <w:pPr>
      <w:keepNext/>
      <w:keepLines/>
      <w:spacing w:line="360" w:lineRule="auto"/>
      <w:outlineLvl w:val="2"/>
    </w:pPr>
    <w:rPr>
      <w:rFonts w:ascii="黑体" w:hAnsi="宋体" w:eastAsia="Times New Roman"/>
      <w:bCs/>
      <w:snapToGrid w:val="0"/>
      <w:kern w:val="0"/>
      <w:szCs w:val="20"/>
    </w:rPr>
  </w:style>
  <w:style w:type="paragraph" w:styleId="6">
    <w:name w:val="heading 4"/>
    <w:basedOn w:val="1"/>
    <w:next w:val="1"/>
    <w:link w:val="255"/>
    <w:qFormat/>
    <w:uiPriority w:val="0"/>
    <w:pPr>
      <w:keepNext/>
      <w:keepLines/>
      <w:numPr>
        <w:ilvl w:val="3"/>
        <w:numId w:val="1"/>
      </w:numPr>
      <w:snapToGrid w:val="0"/>
      <w:spacing w:line="460" w:lineRule="atLeast"/>
      <w:outlineLvl w:val="3"/>
    </w:pPr>
    <w:rPr>
      <w:b/>
      <w:szCs w:val="20"/>
    </w:rPr>
  </w:style>
  <w:style w:type="paragraph" w:styleId="7">
    <w:name w:val="heading 5"/>
    <w:basedOn w:val="1"/>
    <w:next w:val="1"/>
    <w:link w:val="97"/>
    <w:qFormat/>
    <w:uiPriority w:val="0"/>
    <w:pPr>
      <w:ind w:firstLine="482" w:firstLineChars="0"/>
      <w:jc w:val="center"/>
      <w:outlineLvl w:val="4"/>
    </w:pPr>
    <w:rPr>
      <w:b/>
      <w:bCs/>
      <w:sz w:val="21"/>
      <w:szCs w:val="28"/>
    </w:rPr>
  </w:style>
  <w:style w:type="character" w:default="1" w:styleId="44">
    <w:name w:val="Default Paragraph Font"/>
    <w:semiHidden/>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customStyle="1" w:styleId="2">
    <w:name w:val="Default1"/>
    <w:qFormat/>
    <w:uiPriority w:val="0"/>
    <w:pPr>
      <w:widowControl w:val="0"/>
      <w:autoSpaceDE w:val="0"/>
      <w:autoSpaceDN w:val="0"/>
      <w:adjustRightInd w:val="0"/>
      <w:jc w:val="center"/>
    </w:pPr>
    <w:rPr>
      <w:rFonts w:ascii="Times New Roman" w:hAnsi="Times New Roman" w:eastAsia="宋体" w:cs="宋体"/>
      <w:b/>
      <w:color w:val="000000"/>
      <w:sz w:val="21"/>
      <w:szCs w:val="24"/>
      <w:lang w:val="en-US" w:eastAsia="zh-CN" w:bidi="ar-SA"/>
    </w:rPr>
  </w:style>
  <w:style w:type="paragraph" w:styleId="8">
    <w:name w:val="Normal Indent"/>
    <w:basedOn w:val="1"/>
    <w:next w:val="1"/>
    <w:link w:val="72"/>
    <w:qFormat/>
    <w:uiPriority w:val="0"/>
    <w:pPr>
      <w:ind w:firstLine="420"/>
    </w:pPr>
    <w:rPr>
      <w:szCs w:val="20"/>
    </w:rPr>
  </w:style>
  <w:style w:type="paragraph" w:styleId="9">
    <w:name w:val="caption"/>
    <w:basedOn w:val="1"/>
    <w:next w:val="1"/>
    <w:qFormat/>
    <w:uiPriority w:val="0"/>
    <w:pPr>
      <w:adjustRightInd w:val="0"/>
      <w:spacing w:before="152" w:after="160" w:line="240" w:lineRule="exact"/>
      <w:jc w:val="center"/>
      <w:textAlignment w:val="baseline"/>
    </w:pPr>
    <w:rPr>
      <w:kern w:val="0"/>
    </w:rPr>
  </w:style>
  <w:style w:type="paragraph" w:styleId="10">
    <w:name w:val="toa heading"/>
    <w:basedOn w:val="1"/>
    <w:next w:val="1"/>
    <w:qFormat/>
    <w:uiPriority w:val="0"/>
    <w:pPr>
      <w:spacing w:before="120"/>
    </w:pPr>
    <w:rPr>
      <w:rFonts w:ascii="Arial" w:hAnsi="Arial" w:cs="Arial"/>
    </w:rPr>
  </w:style>
  <w:style w:type="paragraph" w:styleId="11">
    <w:name w:val="annotation text"/>
    <w:basedOn w:val="1"/>
    <w:link w:val="81"/>
    <w:qFormat/>
    <w:uiPriority w:val="0"/>
    <w:pPr>
      <w:jc w:val="left"/>
    </w:pPr>
  </w:style>
  <w:style w:type="paragraph" w:styleId="12">
    <w:name w:val="Salutation"/>
    <w:basedOn w:val="1"/>
    <w:next w:val="1"/>
    <w:qFormat/>
    <w:uiPriority w:val="0"/>
    <w:pPr>
      <w:jc w:val="left"/>
    </w:pPr>
    <w:rPr>
      <w:rFonts w:ascii="Times New Roman" w:hAnsi="Times New Roman" w:eastAsia="仿宋_GB2312"/>
      <w:sz w:val="32"/>
    </w:rPr>
  </w:style>
  <w:style w:type="paragraph" w:styleId="13">
    <w:name w:val="Body Text 3"/>
    <w:basedOn w:val="1"/>
    <w:qFormat/>
    <w:uiPriority w:val="0"/>
    <w:pPr>
      <w:spacing w:line="360" w:lineRule="auto"/>
    </w:pPr>
    <w:rPr>
      <w:rFonts w:ascii="仿宋_GB2312" w:eastAsia="仿宋_GB2312"/>
      <w:sz w:val="24"/>
    </w:rPr>
  </w:style>
  <w:style w:type="paragraph" w:styleId="14">
    <w:name w:val="Body Text"/>
    <w:basedOn w:val="1"/>
    <w:next w:val="15"/>
    <w:qFormat/>
    <w:uiPriority w:val="0"/>
    <w:pPr>
      <w:spacing w:after="120"/>
    </w:pPr>
  </w:style>
  <w:style w:type="paragraph" w:styleId="15">
    <w:name w:val="List Bullet 5"/>
    <w:basedOn w:val="1"/>
    <w:qFormat/>
    <w:uiPriority w:val="0"/>
    <w:pPr>
      <w:numPr>
        <w:ilvl w:val="0"/>
        <w:numId w:val="2"/>
      </w:numPr>
    </w:pPr>
  </w:style>
  <w:style w:type="paragraph" w:styleId="16">
    <w:name w:val="Body Text Indent"/>
    <w:basedOn w:val="1"/>
    <w:next w:val="17"/>
    <w:qFormat/>
    <w:uiPriority w:val="0"/>
    <w:pPr>
      <w:adjustRightInd w:val="0"/>
      <w:snapToGrid w:val="0"/>
      <w:spacing w:line="360" w:lineRule="auto"/>
      <w:ind w:firstLine="480"/>
    </w:pPr>
    <w:rPr>
      <w:bCs/>
      <w:kern w:val="0"/>
    </w:rPr>
  </w:style>
  <w:style w:type="paragraph" w:styleId="17">
    <w:name w:val="List"/>
    <w:basedOn w:val="1"/>
    <w:next w:val="1"/>
    <w:qFormat/>
    <w:uiPriority w:val="99"/>
    <w:pPr>
      <w:ind w:left="200" w:hanging="200" w:hangingChars="200"/>
    </w:pPr>
    <w:rPr>
      <w:szCs w:val="20"/>
    </w:rPr>
  </w:style>
  <w:style w:type="paragraph" w:styleId="18">
    <w:name w:val="Block Text"/>
    <w:basedOn w:val="1"/>
    <w:qFormat/>
    <w:uiPriority w:val="0"/>
    <w:pPr>
      <w:spacing w:after="120"/>
      <w:ind w:left="1440" w:leftChars="700" w:right="700" w:rightChars="700"/>
    </w:pPr>
    <w:rPr>
      <w:rFonts w:ascii="Calibri" w:hAnsi="Calibri"/>
      <w:szCs w:val="20"/>
    </w:rPr>
  </w:style>
  <w:style w:type="paragraph" w:styleId="19">
    <w:name w:val="toc 3"/>
    <w:basedOn w:val="1"/>
    <w:next w:val="1"/>
    <w:qFormat/>
    <w:uiPriority w:val="0"/>
    <w:pPr>
      <w:ind w:left="840" w:leftChars="400"/>
    </w:pPr>
  </w:style>
  <w:style w:type="paragraph" w:styleId="20">
    <w:name w:val="Plain Text"/>
    <w:basedOn w:val="1"/>
    <w:next w:val="21"/>
    <w:qFormat/>
    <w:uiPriority w:val="0"/>
    <w:rPr>
      <w:rFonts w:ascii="宋体" w:hAnsi="Courier New"/>
      <w:szCs w:val="20"/>
    </w:rPr>
  </w:style>
  <w:style w:type="paragraph" w:customStyle="1" w:styleId="21">
    <w:name w:val="正本"/>
    <w:basedOn w:val="1"/>
    <w:qFormat/>
    <w:uiPriority w:val="0"/>
    <w:pPr>
      <w:adjustRightInd w:val="0"/>
      <w:snapToGrid w:val="0"/>
      <w:spacing w:line="360" w:lineRule="auto"/>
      <w:ind w:firstLine="200" w:firstLineChars="200"/>
    </w:pPr>
    <w:rPr>
      <w:kern w:val="2"/>
      <w:sz w:val="24"/>
      <w:szCs w:val="24"/>
      <w:lang w:val="en-US" w:bidi="ar-SA"/>
    </w:rPr>
  </w:style>
  <w:style w:type="paragraph" w:styleId="22">
    <w:name w:val="Date"/>
    <w:basedOn w:val="1"/>
    <w:next w:val="1"/>
    <w:qFormat/>
    <w:uiPriority w:val="0"/>
    <w:rPr>
      <w:szCs w:val="20"/>
    </w:rPr>
  </w:style>
  <w:style w:type="paragraph" w:styleId="23">
    <w:name w:val="Body Text Indent 2"/>
    <w:basedOn w:val="1"/>
    <w:next w:val="24"/>
    <w:qFormat/>
    <w:uiPriority w:val="0"/>
    <w:pPr>
      <w:adjustRightInd w:val="0"/>
      <w:snapToGrid w:val="0"/>
      <w:spacing w:line="360" w:lineRule="auto"/>
      <w:ind w:firstLine="480" w:firstLineChars="200"/>
    </w:pPr>
    <w:rPr>
      <w:rFonts w:ascii="宋体" w:hAnsi="宋体"/>
      <w:snapToGrid w:val="0"/>
      <w:color w:val="339966"/>
      <w:kern w:val="0"/>
    </w:rPr>
  </w:style>
  <w:style w:type="paragraph" w:customStyle="1" w:styleId="24">
    <w:name w:val="简单回函地址"/>
    <w:basedOn w:val="1"/>
    <w:next w:val="25"/>
    <w:qFormat/>
    <w:uiPriority w:val="0"/>
    <w:rPr>
      <w:szCs w:val="20"/>
    </w:rPr>
  </w:style>
  <w:style w:type="paragraph" w:customStyle="1" w:styleId="25">
    <w:name w:val="正文2"/>
    <w:basedOn w:val="1"/>
    <w:next w:val="1"/>
    <w:qFormat/>
    <w:uiPriority w:val="0"/>
    <w:pPr>
      <w:ind w:firstLine="200"/>
    </w:pPr>
  </w:style>
  <w:style w:type="paragraph" w:styleId="26">
    <w:name w:val="footer"/>
    <w:basedOn w:val="1"/>
    <w:qFormat/>
    <w:uiPriority w:val="0"/>
    <w:pPr>
      <w:tabs>
        <w:tab w:val="center" w:pos="4153"/>
        <w:tab w:val="right" w:pos="8306"/>
      </w:tabs>
      <w:snapToGrid w:val="0"/>
      <w:jc w:val="left"/>
    </w:pPr>
    <w:rPr>
      <w:sz w:val="18"/>
      <w:szCs w:val="18"/>
    </w:rPr>
  </w:style>
  <w:style w:type="paragraph" w:styleId="27">
    <w:name w:val="header"/>
    <w:basedOn w:val="1"/>
    <w:next w:val="1"/>
    <w:qFormat/>
    <w:uiPriority w:val="0"/>
    <w:pPr>
      <w:pBdr>
        <w:bottom w:val="single" w:color="auto" w:sz="6" w:space="1"/>
      </w:pBdr>
      <w:tabs>
        <w:tab w:val="center" w:pos="4153"/>
        <w:tab w:val="right" w:pos="8306"/>
      </w:tabs>
      <w:snapToGrid w:val="0"/>
      <w:spacing w:line="240" w:lineRule="atLeast"/>
      <w:jc w:val="center"/>
    </w:pPr>
    <w:rPr>
      <w:rFonts w:ascii="幼圆" w:eastAsia="幼圆"/>
      <w:sz w:val="18"/>
      <w:szCs w:val="18"/>
    </w:rPr>
  </w:style>
  <w:style w:type="paragraph" w:styleId="28">
    <w:name w:val="toc 1"/>
    <w:basedOn w:val="1"/>
    <w:next w:val="1"/>
    <w:qFormat/>
    <w:uiPriority w:val="39"/>
    <w:pPr>
      <w:spacing w:before="120" w:after="120"/>
      <w:jc w:val="left"/>
    </w:pPr>
    <w:rPr>
      <w:rFonts w:ascii="Calibri" w:hAnsi="Calibri" w:cs="Calibri"/>
      <w:b/>
      <w:bCs/>
      <w:caps/>
      <w:sz w:val="20"/>
      <w:szCs w:val="20"/>
    </w:rPr>
  </w:style>
  <w:style w:type="paragraph" w:styleId="29">
    <w:name w:val="toc 4"/>
    <w:basedOn w:val="1"/>
    <w:next w:val="1"/>
    <w:qFormat/>
    <w:uiPriority w:val="0"/>
    <w:pPr>
      <w:ind w:left="1260" w:leftChars="600"/>
    </w:pPr>
  </w:style>
  <w:style w:type="paragraph" w:styleId="30">
    <w:name w:val="index heading"/>
    <w:basedOn w:val="1"/>
    <w:next w:val="31"/>
    <w:qFormat/>
    <w:uiPriority w:val="0"/>
    <w:rPr>
      <w:szCs w:val="20"/>
    </w:rPr>
  </w:style>
  <w:style w:type="paragraph" w:styleId="31">
    <w:name w:val="index 1"/>
    <w:basedOn w:val="1"/>
    <w:next w:val="1"/>
    <w:qFormat/>
    <w:uiPriority w:val="0"/>
    <w:pPr>
      <w:adjustRightInd w:val="0"/>
      <w:spacing w:before="60"/>
      <w:textAlignment w:val="baseline"/>
    </w:pPr>
    <w:rPr>
      <w:sz w:val="24"/>
      <w:szCs w:val="20"/>
    </w:rPr>
  </w:style>
  <w:style w:type="paragraph" w:styleId="32">
    <w:name w:val="Body Text Indent 3"/>
    <w:basedOn w:val="1"/>
    <w:qFormat/>
    <w:uiPriority w:val="0"/>
    <w:pPr>
      <w:spacing w:line="360" w:lineRule="auto"/>
      <w:ind w:firstLine="480" w:firstLineChars="200"/>
    </w:pPr>
    <w:rPr>
      <w:rFonts w:ascii="宋体"/>
      <w:sz w:val="24"/>
    </w:rPr>
  </w:style>
  <w:style w:type="paragraph" w:styleId="33">
    <w:name w:val="table of figures"/>
    <w:basedOn w:val="1"/>
    <w:next w:val="1"/>
    <w:semiHidden/>
    <w:qFormat/>
    <w:uiPriority w:val="0"/>
    <w:pPr>
      <w:ind w:left="200" w:leftChars="200" w:hanging="200" w:hangingChars="200"/>
    </w:pPr>
  </w:style>
  <w:style w:type="paragraph" w:styleId="34">
    <w:name w:val="toc 2"/>
    <w:basedOn w:val="1"/>
    <w:next w:val="1"/>
    <w:qFormat/>
    <w:uiPriority w:val="39"/>
    <w:pPr>
      <w:ind w:left="240"/>
      <w:jc w:val="left"/>
    </w:pPr>
    <w:rPr>
      <w:rFonts w:ascii="Calibri" w:hAnsi="Calibri" w:cs="Calibri"/>
      <w:smallCaps/>
      <w:sz w:val="20"/>
      <w:szCs w:val="20"/>
    </w:rPr>
  </w:style>
  <w:style w:type="paragraph" w:styleId="35">
    <w:name w:val="Body Text 2"/>
    <w:basedOn w:val="1"/>
    <w:next w:val="1"/>
    <w:qFormat/>
    <w:uiPriority w:val="0"/>
    <w:pPr>
      <w:spacing w:after="120" w:line="480" w:lineRule="auto"/>
    </w:pPr>
  </w:style>
  <w:style w:type="paragraph" w:styleId="36">
    <w:name w:val="HTML Preformatted"/>
    <w:basedOn w:val="1"/>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rPr>
  </w:style>
  <w:style w:type="paragraph" w:styleId="37">
    <w:name w:val="Normal (Web)"/>
    <w:basedOn w:val="1"/>
    <w:next w:val="1"/>
    <w:qFormat/>
    <w:uiPriority w:val="99"/>
  </w:style>
  <w:style w:type="paragraph" w:styleId="38">
    <w:name w:val="Title"/>
    <w:basedOn w:val="1"/>
    <w:next w:val="1"/>
    <w:qFormat/>
    <w:uiPriority w:val="0"/>
    <w:pPr>
      <w:spacing w:before="240" w:after="60"/>
      <w:jc w:val="center"/>
      <w:outlineLvl w:val="0"/>
    </w:pPr>
    <w:rPr>
      <w:rFonts w:ascii="Cambria" w:hAnsi="Cambria"/>
      <w:b/>
      <w:bCs/>
      <w:sz w:val="32"/>
      <w:szCs w:val="32"/>
    </w:rPr>
  </w:style>
  <w:style w:type="paragraph" w:styleId="39">
    <w:name w:val="annotation subject"/>
    <w:basedOn w:val="11"/>
    <w:next w:val="11"/>
    <w:link w:val="82"/>
    <w:qFormat/>
    <w:uiPriority w:val="0"/>
    <w:rPr>
      <w:b/>
      <w:bCs/>
    </w:rPr>
  </w:style>
  <w:style w:type="paragraph" w:styleId="40">
    <w:name w:val="Body Text First Indent"/>
    <w:basedOn w:val="14"/>
    <w:next w:val="1"/>
    <w:qFormat/>
    <w:uiPriority w:val="0"/>
    <w:pPr>
      <w:ind w:firstLine="420" w:firstLineChars="100"/>
    </w:pPr>
    <w:rPr>
      <w:rFonts w:ascii="黑体" w:hAnsi="黑体"/>
      <w:spacing w:val="10"/>
      <w:sz w:val="21"/>
    </w:rPr>
  </w:style>
  <w:style w:type="paragraph" w:styleId="41">
    <w:name w:val="Body Text First Indent 2"/>
    <w:basedOn w:val="16"/>
    <w:next w:val="1"/>
    <w:qFormat/>
    <w:uiPriority w:val="0"/>
    <w:pPr>
      <w:adjustRightInd/>
      <w:snapToGrid/>
      <w:spacing w:after="120" w:line="240" w:lineRule="auto"/>
      <w:ind w:left="420" w:leftChars="200" w:firstLine="420" w:firstLineChars="200"/>
    </w:pPr>
    <w:rPr>
      <w:bCs w:val="0"/>
      <w:kern w:val="2"/>
      <w:sz w:val="21"/>
    </w:rPr>
  </w:style>
  <w:style w:type="table" w:styleId="43">
    <w:name w:val="Table Grid"/>
    <w:basedOn w:val="42"/>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5">
    <w:name w:val="Strong"/>
    <w:basedOn w:val="44"/>
    <w:qFormat/>
    <w:uiPriority w:val="0"/>
    <w:rPr>
      <w:b/>
    </w:rPr>
  </w:style>
  <w:style w:type="character" w:styleId="46">
    <w:name w:val="page number"/>
    <w:basedOn w:val="44"/>
    <w:qFormat/>
    <w:uiPriority w:val="0"/>
    <w:rPr>
      <w:rFonts w:ascii="宋体" w:hAnsi="宋体" w:eastAsia="宋体" w:cs="宋体"/>
      <w:kern w:val="2"/>
      <w:sz w:val="24"/>
      <w:szCs w:val="24"/>
      <w:lang w:val="en-US" w:eastAsia="zh-CN" w:bidi="ar-SA"/>
    </w:rPr>
  </w:style>
  <w:style w:type="character" w:styleId="47">
    <w:name w:val="Emphasis"/>
    <w:basedOn w:val="44"/>
    <w:qFormat/>
    <w:uiPriority w:val="0"/>
    <w:rPr>
      <w:i/>
      <w:iCs/>
    </w:rPr>
  </w:style>
  <w:style w:type="character" w:styleId="48">
    <w:name w:val="Hyperlink"/>
    <w:basedOn w:val="44"/>
    <w:qFormat/>
    <w:uiPriority w:val="99"/>
    <w:rPr>
      <w:rFonts w:ascii="宋体" w:hAnsi="宋体" w:eastAsia="宋体" w:cs="宋体"/>
      <w:color w:val="0000FF"/>
      <w:kern w:val="2"/>
      <w:sz w:val="24"/>
      <w:szCs w:val="24"/>
      <w:u w:val="single"/>
      <w:lang w:val="en-US" w:eastAsia="zh-CN" w:bidi="ar-SA"/>
    </w:rPr>
  </w:style>
  <w:style w:type="character" w:styleId="49">
    <w:name w:val="annotation reference"/>
    <w:basedOn w:val="44"/>
    <w:qFormat/>
    <w:uiPriority w:val="0"/>
    <w:rPr>
      <w:sz w:val="21"/>
      <w:szCs w:val="21"/>
    </w:rPr>
  </w:style>
  <w:style w:type="paragraph" w:customStyle="1" w:styleId="50">
    <w:name w:val="Char4 Char Char Char Char Char Char1"/>
    <w:basedOn w:val="1"/>
    <w:qFormat/>
    <w:uiPriority w:val="0"/>
    <w:pPr>
      <w:spacing w:line="360" w:lineRule="auto"/>
      <w:ind w:firstLine="200" w:firstLineChars="200"/>
    </w:pPr>
    <w:rPr>
      <w:rFonts w:ascii="宋体" w:cs="宋体"/>
      <w:sz w:val="24"/>
    </w:rPr>
  </w:style>
  <w:style w:type="paragraph" w:customStyle="1" w:styleId="51">
    <w:name w:val="0正文"/>
    <w:basedOn w:val="16"/>
    <w:unhideWhenUsed/>
    <w:qFormat/>
    <w:uiPriority w:val="0"/>
    <w:pPr>
      <w:ind w:firstLine="720"/>
    </w:pPr>
  </w:style>
  <w:style w:type="paragraph" w:customStyle="1" w:styleId="52">
    <w:name w:val="Default"/>
    <w:basedOn w:val="53"/>
    <w:next w:val="14"/>
    <w:link w:val="212"/>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53">
    <w:name w:val="纯文本1"/>
    <w:basedOn w:val="1"/>
    <w:qFormat/>
    <w:uiPriority w:val="0"/>
    <w:rPr>
      <w:rFonts w:ascii="宋体" w:hAnsi="Courier New"/>
      <w:kern w:val="0"/>
      <w:sz w:val="20"/>
      <w:szCs w:val="20"/>
    </w:rPr>
  </w:style>
  <w:style w:type="paragraph" w:customStyle="1" w:styleId="54">
    <w:name w:val="1 表头"/>
    <w:basedOn w:val="1"/>
    <w:qFormat/>
    <w:uiPriority w:val="0"/>
    <w:pPr>
      <w:adjustRightInd w:val="0"/>
      <w:snapToGrid w:val="0"/>
      <w:spacing w:line="240" w:lineRule="auto"/>
      <w:ind w:firstLine="0" w:firstLineChars="0"/>
      <w:jc w:val="center"/>
    </w:pPr>
    <w:rPr>
      <w:b/>
      <w:color w:val="000000"/>
      <w:sz w:val="21"/>
      <w:szCs w:val="21"/>
    </w:rPr>
  </w:style>
  <w:style w:type="paragraph" w:customStyle="1" w:styleId="55">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56">
    <w:name w:val="表文"/>
    <w:basedOn w:val="1"/>
    <w:next w:val="1"/>
    <w:qFormat/>
    <w:uiPriority w:val="0"/>
    <w:pPr>
      <w:overflowPunct w:val="0"/>
      <w:topLinePunct/>
      <w:spacing w:line="320" w:lineRule="exact"/>
      <w:jc w:val="center"/>
      <w:outlineLvl w:val="6"/>
    </w:pPr>
    <w:rPr>
      <w:kern w:val="0"/>
      <w:sz w:val="18"/>
      <w:szCs w:val="18"/>
    </w:rPr>
  </w:style>
  <w:style w:type="paragraph" w:customStyle="1" w:styleId="57">
    <w:name w:val="报告"/>
    <w:basedOn w:val="1"/>
    <w:qFormat/>
    <w:uiPriority w:val="0"/>
    <w:pPr>
      <w:adjustRightInd w:val="0"/>
      <w:spacing w:line="360" w:lineRule="auto"/>
      <w:ind w:firstLine="505"/>
      <w:textAlignment w:val="baseline"/>
    </w:pPr>
    <w:rPr>
      <w:kern w:val="0"/>
      <w:szCs w:val="20"/>
    </w:rPr>
  </w:style>
  <w:style w:type="paragraph" w:customStyle="1" w:styleId="58">
    <w:name w:val="主体"/>
    <w:qFormat/>
    <w:uiPriority w:val="0"/>
    <w:pPr>
      <w:widowControl w:val="0"/>
      <w:autoSpaceDE w:val="0"/>
      <w:autoSpaceDN w:val="0"/>
      <w:spacing w:line="440" w:lineRule="exact"/>
      <w:ind w:firstLine="480" w:firstLineChars="200"/>
      <w:jc w:val="both"/>
    </w:pPr>
    <w:rPr>
      <w:rFonts w:ascii="Times New Roman" w:hAnsi="Times New Roman" w:eastAsia="仿宋_GB2312" w:cs="Times New Roman"/>
      <w:bCs/>
      <w:kern w:val="2"/>
      <w:sz w:val="24"/>
      <w:szCs w:val="24"/>
      <w:lang w:val="en-US" w:eastAsia="zh-CN" w:bidi="ar-SA"/>
    </w:rPr>
  </w:style>
  <w:style w:type="character" w:customStyle="1" w:styleId="59">
    <w:name w:val="fontstyle11"/>
    <w:qFormat/>
    <w:uiPriority w:val="0"/>
    <w:rPr>
      <w:rFonts w:ascii="TimesNewRomanPSMT" w:hAnsi="TimesNewRomanPSMT" w:eastAsia="TimesNewRomanPSMT" w:cs="TimesNewRomanPSMT"/>
      <w:color w:val="000000"/>
      <w:kern w:val="0"/>
      <w:sz w:val="24"/>
      <w:szCs w:val="24"/>
    </w:rPr>
  </w:style>
  <w:style w:type="table" w:customStyle="1" w:styleId="60">
    <w:name w:val="报告表格式新建"/>
    <w:basedOn w:val="42"/>
    <w:qFormat/>
    <w:uiPriority w:val="99"/>
    <w:pPr>
      <w:jc w:val="center"/>
    </w:pPr>
    <w:rPr>
      <w:sz w:val="18"/>
    </w:rPr>
    <w:tblPr>
      <w:tblBorders>
        <w:top w:val="single" w:color="auto" w:sz="12" w:space="0"/>
        <w:bottom w:val="single" w:color="auto" w:sz="12" w:space="0"/>
        <w:insideH w:val="single" w:color="auto" w:sz="8" w:space="0"/>
        <w:insideV w:val="single" w:color="auto" w:sz="8" w:space="0"/>
      </w:tblBorders>
    </w:tblPr>
    <w:tcPr>
      <w:vAlign w:val="center"/>
    </w:tcPr>
  </w:style>
  <w:style w:type="paragraph" w:customStyle="1" w:styleId="61">
    <w:name w:val="样式 首行缩进:  2 字符"/>
    <w:basedOn w:val="1"/>
    <w:qFormat/>
    <w:uiPriority w:val="0"/>
    <w:pPr>
      <w:ind w:right="11" w:firstLine="480" w:firstLineChars="200"/>
    </w:pPr>
    <w:rPr>
      <w:bCs/>
    </w:rPr>
  </w:style>
  <w:style w:type="paragraph" w:customStyle="1" w:styleId="62">
    <w:name w:val="1文章"/>
    <w:basedOn w:val="1"/>
    <w:qFormat/>
    <w:uiPriority w:val="0"/>
    <w:pPr>
      <w:snapToGrid w:val="0"/>
      <w:spacing w:line="360" w:lineRule="auto"/>
      <w:ind w:firstLine="573"/>
    </w:pPr>
    <w:rPr>
      <w:rFonts w:eastAsia="仿宋_GB2312"/>
      <w:sz w:val="28"/>
    </w:rPr>
  </w:style>
  <w:style w:type="paragraph" w:customStyle="1" w:styleId="63">
    <w:name w:val="报告书"/>
    <w:basedOn w:val="1"/>
    <w:qFormat/>
    <w:uiPriority w:val="0"/>
    <w:pPr>
      <w:autoSpaceDE w:val="0"/>
      <w:autoSpaceDN w:val="0"/>
      <w:adjustRightInd w:val="0"/>
      <w:spacing w:line="360" w:lineRule="auto"/>
      <w:ind w:firstLine="480" w:firstLineChars="200"/>
      <w:textAlignment w:val="bottom"/>
    </w:pPr>
    <w:rPr>
      <w:rFonts w:hAnsi="宋体"/>
      <w:bCs/>
      <w:kern w:val="0"/>
    </w:rPr>
  </w:style>
  <w:style w:type="paragraph" w:customStyle="1" w:styleId="64">
    <w:name w:val="填表内容"/>
    <w:basedOn w:val="1"/>
    <w:qFormat/>
    <w:uiPriority w:val="0"/>
    <w:pPr>
      <w:adjustRightInd w:val="0"/>
      <w:jc w:val="center"/>
    </w:pPr>
    <w:rPr>
      <w:kern w:val="0"/>
      <w:sz w:val="21"/>
      <w:szCs w:val="20"/>
    </w:rPr>
  </w:style>
  <w:style w:type="character" w:customStyle="1" w:styleId="65">
    <w:name w:val="fontstyle01"/>
    <w:basedOn w:val="44"/>
    <w:qFormat/>
    <w:uiPriority w:val="0"/>
    <w:rPr>
      <w:rFonts w:ascii="宋体" w:hAnsi="宋体" w:eastAsia="宋体" w:cs="宋体"/>
      <w:color w:val="000000"/>
      <w:kern w:val="0"/>
      <w:sz w:val="24"/>
      <w:szCs w:val="24"/>
    </w:rPr>
  </w:style>
  <w:style w:type="paragraph" w:customStyle="1" w:styleId="66">
    <w:name w:val="xyb自建正文"/>
    <w:basedOn w:val="1"/>
    <w:qFormat/>
    <w:uiPriority w:val="0"/>
    <w:pPr>
      <w:adjustRightInd w:val="0"/>
      <w:snapToGrid w:val="0"/>
      <w:spacing w:line="360" w:lineRule="auto"/>
      <w:ind w:firstLine="480" w:firstLineChars="200"/>
      <w:textAlignment w:val="baseline"/>
    </w:pPr>
    <w:rPr>
      <w:snapToGrid w:val="0"/>
      <w:kern w:val="0"/>
    </w:rPr>
  </w:style>
  <w:style w:type="paragraph" w:customStyle="1" w:styleId="67">
    <w:name w:val="列表段落1"/>
    <w:basedOn w:val="1"/>
    <w:qFormat/>
    <w:uiPriority w:val="0"/>
    <w:pPr>
      <w:ind w:firstLine="420" w:firstLineChars="200"/>
    </w:pPr>
    <w:rPr>
      <w:rFonts w:ascii="Calibri" w:hAnsi="Calibri"/>
      <w:szCs w:val="22"/>
    </w:rPr>
  </w:style>
  <w:style w:type="paragraph" w:customStyle="1" w:styleId="68">
    <w:name w:val="Zw"/>
    <w:basedOn w:val="1"/>
    <w:next w:val="1"/>
    <w:qFormat/>
    <w:uiPriority w:val="0"/>
    <w:pPr>
      <w:spacing w:line="360" w:lineRule="auto"/>
      <w:ind w:firstLine="200" w:firstLineChars="200"/>
    </w:pPr>
    <w:rPr>
      <w:rFonts w:ascii="宋体" w:hAnsi="宋体" w:cs="宋体"/>
    </w:rPr>
  </w:style>
  <w:style w:type="character" w:customStyle="1" w:styleId="69">
    <w:name w:val="fontstyle21"/>
    <w:basedOn w:val="44"/>
    <w:qFormat/>
    <w:uiPriority w:val="0"/>
    <w:rPr>
      <w:rFonts w:ascii="TimesNewRomanPSMT" w:hAnsi="TimesNewRomanPSMT" w:eastAsia="TimesNewRomanPSMT" w:cs="TimesNewRomanPSMT"/>
      <w:color w:val="000000"/>
      <w:kern w:val="0"/>
      <w:sz w:val="24"/>
      <w:szCs w:val="24"/>
    </w:rPr>
  </w:style>
  <w:style w:type="paragraph" w:customStyle="1" w:styleId="70">
    <w:name w:val="样式2"/>
    <w:basedOn w:val="4"/>
    <w:qFormat/>
    <w:uiPriority w:val="0"/>
    <w:pPr>
      <w:tabs>
        <w:tab w:val="left" w:pos="567"/>
      </w:tabs>
      <w:snapToGrid/>
      <w:spacing w:before="156" w:beforeLines="50" w:line="400" w:lineRule="atLeast"/>
      <w:ind w:left="567" w:hanging="567"/>
      <w:jc w:val="left"/>
      <w:textAlignment w:val="baseline"/>
    </w:pPr>
    <w:rPr>
      <w:rFonts w:ascii="Times New Roman" w:hAnsi="Times New Roman" w:eastAsia="宋体"/>
      <w:b w:val="0"/>
      <w:bCs w:val="0"/>
      <w:snapToGrid/>
      <w:kern w:val="2"/>
      <w:szCs w:val="28"/>
    </w:rPr>
  </w:style>
  <w:style w:type="paragraph" w:customStyle="1" w:styleId="71">
    <w:name w:val="报告表格"/>
    <w:basedOn w:val="1"/>
    <w:qFormat/>
    <w:uiPriority w:val="0"/>
    <w:pPr>
      <w:autoSpaceDE w:val="0"/>
      <w:autoSpaceDN w:val="0"/>
      <w:adjustRightInd w:val="0"/>
      <w:spacing w:before="40" w:after="40"/>
      <w:jc w:val="center"/>
      <w:textAlignment w:val="bottom"/>
    </w:pPr>
    <w:rPr>
      <w:kern w:val="0"/>
      <w:sz w:val="21"/>
      <w:szCs w:val="20"/>
    </w:rPr>
  </w:style>
  <w:style w:type="character" w:customStyle="1" w:styleId="72">
    <w:name w:val="正文缩进 字符"/>
    <w:link w:val="8"/>
    <w:qFormat/>
    <w:uiPriority w:val="0"/>
    <w:rPr>
      <w:szCs w:val="20"/>
    </w:rPr>
  </w:style>
  <w:style w:type="paragraph" w:customStyle="1" w:styleId="73">
    <w:name w:val="表格标题"/>
    <w:basedOn w:val="74"/>
    <w:next w:val="75"/>
    <w:qFormat/>
    <w:uiPriority w:val="0"/>
    <w:pPr>
      <w:spacing w:before="120"/>
    </w:pPr>
    <w:rPr>
      <w:rFonts w:eastAsia="仿宋_GB2312"/>
    </w:rPr>
  </w:style>
  <w:style w:type="paragraph" w:customStyle="1" w:styleId="74">
    <w:name w:val="表格内容"/>
    <w:basedOn w:val="8"/>
    <w:next w:val="8"/>
    <w:link w:val="264"/>
    <w:qFormat/>
    <w:uiPriority w:val="0"/>
    <w:pPr>
      <w:spacing w:line="360" w:lineRule="auto"/>
      <w:jc w:val="center"/>
    </w:pPr>
    <w:rPr>
      <w:color w:val="000000"/>
    </w:rPr>
  </w:style>
  <w:style w:type="paragraph" w:customStyle="1" w:styleId="75">
    <w:name w:val="表格文字"/>
    <w:basedOn w:val="73"/>
    <w:next w:val="1"/>
    <w:qFormat/>
    <w:uiPriority w:val="99"/>
    <w:pPr>
      <w:tabs>
        <w:tab w:val="left" w:pos="7590"/>
      </w:tabs>
      <w:snapToGrid w:val="0"/>
      <w:jc w:val="center"/>
    </w:pPr>
    <w:rPr>
      <w:sz w:val="21"/>
      <w:lang w:val="zh-CN"/>
    </w:rPr>
  </w:style>
  <w:style w:type="paragraph" w:customStyle="1" w:styleId="76">
    <w:name w:val="表格文字2"/>
    <w:basedOn w:val="75"/>
    <w:qFormat/>
    <w:uiPriority w:val="0"/>
    <w:pPr>
      <w:spacing w:before="60"/>
    </w:pPr>
  </w:style>
  <w:style w:type="paragraph" w:customStyle="1" w:styleId="77">
    <w:name w:val="标题1"/>
    <w:basedOn w:val="1"/>
    <w:next w:val="1"/>
    <w:qFormat/>
    <w:uiPriority w:val="0"/>
    <w:pPr>
      <w:spacing w:line="500" w:lineRule="exact"/>
    </w:pPr>
    <w:rPr>
      <w:rFonts w:eastAsia="楷体_GB2312"/>
      <w:b/>
      <w:color w:val="000000"/>
      <w:spacing w:val="10"/>
      <w:sz w:val="28"/>
    </w:rPr>
  </w:style>
  <w:style w:type="paragraph" w:customStyle="1" w:styleId="78">
    <w:name w:val="正文-蓝色"/>
    <w:basedOn w:val="79"/>
    <w:qFormat/>
    <w:uiPriority w:val="0"/>
    <w:pPr>
      <w:ind w:firstLine="480"/>
    </w:pPr>
    <w:rPr>
      <w:color w:val="0000FF"/>
    </w:rPr>
  </w:style>
  <w:style w:type="paragraph" w:customStyle="1" w:styleId="79">
    <w:name w:val="正文-欣欣"/>
    <w:basedOn w:val="1"/>
    <w:next w:val="1"/>
    <w:qFormat/>
    <w:uiPriority w:val="0"/>
    <w:pPr>
      <w:ind w:firstLine="200" w:firstLineChars="200"/>
    </w:pPr>
    <w:rPr>
      <w:rFonts w:cs="Courier New"/>
      <w:szCs w:val="21"/>
    </w:rPr>
  </w:style>
  <w:style w:type="paragraph" w:customStyle="1" w:styleId="80">
    <w:name w:val="表格中文字"/>
    <w:basedOn w:val="1"/>
    <w:qFormat/>
    <w:uiPriority w:val="0"/>
    <w:pPr>
      <w:adjustRightInd w:val="0"/>
      <w:snapToGrid w:val="0"/>
      <w:spacing w:line="360" w:lineRule="atLeast"/>
      <w:jc w:val="center"/>
      <w:textAlignment w:val="baseline"/>
    </w:pPr>
    <w:rPr>
      <w:kern w:val="18"/>
      <w:sz w:val="21"/>
    </w:rPr>
  </w:style>
  <w:style w:type="character" w:customStyle="1" w:styleId="81">
    <w:name w:val="批注文字 字符"/>
    <w:basedOn w:val="44"/>
    <w:link w:val="11"/>
    <w:qFormat/>
    <w:uiPriority w:val="0"/>
    <w:rPr>
      <w:kern w:val="2"/>
      <w:sz w:val="24"/>
      <w:szCs w:val="24"/>
    </w:rPr>
  </w:style>
  <w:style w:type="character" w:customStyle="1" w:styleId="82">
    <w:name w:val="批注主题 字符"/>
    <w:basedOn w:val="81"/>
    <w:link w:val="39"/>
    <w:qFormat/>
    <w:uiPriority w:val="0"/>
    <w:rPr>
      <w:b/>
      <w:bCs/>
      <w:kern w:val="2"/>
      <w:sz w:val="24"/>
      <w:szCs w:val="24"/>
    </w:rPr>
  </w:style>
  <w:style w:type="paragraph" w:customStyle="1" w:styleId="83">
    <w:name w:val="WPSOffice手动目录 1"/>
    <w:qFormat/>
    <w:uiPriority w:val="0"/>
    <w:pPr>
      <w:ind w:leftChars="0"/>
    </w:pPr>
    <w:rPr>
      <w:rFonts w:ascii="Times New Roman" w:hAnsi="Times New Roman" w:eastAsia="宋体" w:cs="Times New Roman"/>
      <w:sz w:val="20"/>
      <w:szCs w:val="20"/>
    </w:rPr>
  </w:style>
  <w:style w:type="paragraph" w:customStyle="1" w:styleId="84">
    <w:name w:val="WPSOffice手动目录 2"/>
    <w:qFormat/>
    <w:uiPriority w:val="0"/>
    <w:pPr>
      <w:ind w:leftChars="200"/>
    </w:pPr>
    <w:rPr>
      <w:rFonts w:ascii="Times New Roman" w:hAnsi="Times New Roman" w:eastAsia="宋体" w:cs="Times New Roman"/>
      <w:sz w:val="20"/>
      <w:szCs w:val="20"/>
    </w:rPr>
  </w:style>
  <w:style w:type="paragraph" w:customStyle="1" w:styleId="85">
    <w:name w:val="正文文本缩进1"/>
    <w:basedOn w:val="1"/>
    <w:qFormat/>
    <w:uiPriority w:val="0"/>
    <w:pPr>
      <w:spacing w:after="120"/>
      <w:ind w:left="420" w:leftChars="200"/>
    </w:pPr>
    <w:rPr>
      <w:kern w:val="0"/>
      <w:sz w:val="20"/>
    </w:rPr>
  </w:style>
  <w:style w:type="character" w:customStyle="1" w:styleId="86">
    <w:name w:val="标题 1 Char"/>
    <w:link w:val="3"/>
    <w:qFormat/>
    <w:uiPriority w:val="0"/>
    <w:rPr>
      <w:rFonts w:ascii="黑体" w:hAnsi="黑体" w:eastAsia="黑体"/>
      <w:b/>
      <w:snapToGrid w:val="0"/>
      <w:color w:val="000000"/>
      <w:sz w:val="32"/>
    </w:rPr>
  </w:style>
  <w:style w:type="paragraph" w:customStyle="1" w:styleId="87">
    <w:name w:val="No Spacing1"/>
    <w:qFormat/>
    <w:uiPriority w:val="0"/>
    <w:pPr>
      <w:widowControl w:val="0"/>
      <w:contextualSpacing/>
      <w:jc w:val="center"/>
    </w:pPr>
    <w:rPr>
      <w:rFonts w:ascii="Times New Roman" w:hAnsi="Times New Roman" w:eastAsia="宋体" w:cs="Times New Roman"/>
      <w:sz w:val="21"/>
      <w:szCs w:val="24"/>
      <w:lang w:val="en-US" w:eastAsia="zh-CN" w:bidi="ar-SA"/>
    </w:rPr>
  </w:style>
  <w:style w:type="paragraph" w:styleId="88">
    <w:name w:val="No Spacing"/>
    <w:basedOn w:val="13"/>
    <w:next w:val="20"/>
    <w:qFormat/>
    <w:uiPriority w:val="1"/>
    <w:pPr>
      <w:widowControl w:val="0"/>
      <w:spacing w:line="340" w:lineRule="exact"/>
      <w:jc w:val="center"/>
    </w:pPr>
    <w:rPr>
      <w:rFonts w:ascii="Times New Roman" w:hAnsi="Times New Roman" w:eastAsia="宋体" w:cs="Times New Roman"/>
      <w:kern w:val="2"/>
      <w:sz w:val="21"/>
      <w:szCs w:val="24"/>
      <w:lang w:val="en-US" w:eastAsia="zh-CN" w:bidi="ar-SA"/>
    </w:rPr>
  </w:style>
  <w:style w:type="paragraph" w:customStyle="1" w:styleId="89">
    <w:name w:val="书正文"/>
    <w:basedOn w:val="1"/>
    <w:qFormat/>
    <w:uiPriority w:val="0"/>
    <w:pPr>
      <w:ind w:firstLine="480"/>
      <w:jc w:val="both"/>
    </w:pPr>
    <w:rPr>
      <w:rFonts w:ascii="Times New Roman" w:hAnsi="Times New Roman" w:eastAsia="宋体"/>
      <w:color w:val="000000"/>
      <w:sz w:val="24"/>
      <w:szCs w:val="22"/>
      <w:shd w:val="clear" w:color="auto" w:fill="FFFFFF"/>
    </w:rPr>
  </w:style>
  <w:style w:type="character" w:customStyle="1" w:styleId="90">
    <w:name w:val="font61"/>
    <w:basedOn w:val="44"/>
    <w:qFormat/>
    <w:uiPriority w:val="0"/>
    <w:rPr>
      <w:rFonts w:hint="eastAsia" w:ascii="宋体" w:hAnsi="宋体" w:eastAsia="宋体" w:cs="宋体"/>
      <w:color w:val="000000"/>
      <w:sz w:val="20"/>
      <w:szCs w:val="20"/>
      <w:u w:val="none"/>
    </w:rPr>
  </w:style>
  <w:style w:type="paragraph" w:customStyle="1" w:styleId="91">
    <w:name w:val="表头"/>
    <w:basedOn w:val="92"/>
    <w:next w:val="92"/>
    <w:qFormat/>
    <w:uiPriority w:val="0"/>
    <w:pPr>
      <w:widowControl/>
      <w:ind w:firstLine="0" w:firstLineChars="0"/>
      <w:jc w:val="center"/>
    </w:pPr>
    <w:rPr>
      <w:b/>
      <w:kern w:val="0"/>
      <w:sz w:val="20"/>
      <w:szCs w:val="20"/>
    </w:rPr>
  </w:style>
  <w:style w:type="paragraph" w:customStyle="1" w:styleId="92">
    <w:name w:val="表格"/>
    <w:basedOn w:val="93"/>
    <w:next w:val="1"/>
    <w:qFormat/>
    <w:uiPriority w:val="0"/>
    <w:pPr>
      <w:autoSpaceDE w:val="0"/>
      <w:autoSpaceDN w:val="0"/>
      <w:adjustRightInd w:val="0"/>
      <w:snapToGrid w:val="0"/>
      <w:spacing w:line="280" w:lineRule="exact"/>
      <w:jc w:val="center"/>
    </w:pPr>
    <w:rPr>
      <w:rFonts w:ascii="仿宋_GB2312" w:eastAsia="仿宋_GB2312"/>
      <w:kern w:val="0"/>
      <w:szCs w:val="20"/>
    </w:rPr>
  </w:style>
  <w:style w:type="paragraph" w:customStyle="1" w:styleId="93">
    <w:name w:val="表格式"/>
    <w:basedOn w:val="94"/>
    <w:qFormat/>
    <w:uiPriority w:val="0"/>
    <w:pPr>
      <w:spacing w:before="156" w:beforeLines="50" w:after="156" w:afterLines="50" w:line="240" w:lineRule="exact"/>
      <w:jc w:val="center"/>
    </w:pPr>
    <w:rPr>
      <w:rFonts w:ascii="Times New Roman" w:hAnsi="Times New Roman" w:eastAsia="宋体" w:cs="Times New Roman"/>
      <w:lang w:val="en-US" w:eastAsia="zh-CN" w:bidi="ar-SA"/>
    </w:rPr>
  </w:style>
  <w:style w:type="paragraph" w:customStyle="1" w:styleId="94">
    <w:name w:val="列表1"/>
    <w:basedOn w:val="1"/>
    <w:qFormat/>
    <w:uiPriority w:val="0"/>
    <w:pPr>
      <w:ind w:left="200" w:hanging="200" w:hangingChars="200"/>
    </w:pPr>
  </w:style>
  <w:style w:type="paragraph" w:customStyle="1" w:styleId="95">
    <w:name w:val="正文d"/>
    <w:basedOn w:val="1"/>
    <w:qFormat/>
    <w:uiPriority w:val="0"/>
    <w:pPr>
      <w:autoSpaceDE w:val="0"/>
      <w:autoSpaceDN w:val="0"/>
      <w:adjustRightInd w:val="0"/>
      <w:snapToGrid w:val="0"/>
      <w:spacing w:line="360" w:lineRule="auto"/>
      <w:ind w:firstLine="200" w:firstLineChars="200"/>
    </w:pPr>
    <w:rPr>
      <w:rFonts w:cs="宋体"/>
      <w:kern w:val="0"/>
      <w:szCs w:val="21"/>
    </w:rPr>
  </w:style>
  <w:style w:type="paragraph" w:customStyle="1" w:styleId="96">
    <w:name w:val="0表格"/>
    <w:basedOn w:val="1"/>
    <w:qFormat/>
    <w:uiPriority w:val="0"/>
    <w:pPr>
      <w:widowControl/>
      <w:jc w:val="center"/>
    </w:pPr>
    <w:rPr>
      <w:kern w:val="0"/>
      <w:szCs w:val="21"/>
    </w:rPr>
  </w:style>
  <w:style w:type="character" w:customStyle="1" w:styleId="97">
    <w:name w:val="标题 5 Char"/>
    <w:link w:val="7"/>
    <w:qFormat/>
    <w:uiPriority w:val="0"/>
    <w:rPr>
      <w:b/>
      <w:bCs/>
      <w:sz w:val="21"/>
      <w:szCs w:val="28"/>
    </w:rPr>
  </w:style>
  <w:style w:type="paragraph" w:customStyle="1" w:styleId="98">
    <w:name w:val="【表头】"/>
    <w:basedOn w:val="1"/>
    <w:qFormat/>
    <w:uiPriority w:val="0"/>
    <w:pPr>
      <w:snapToGrid w:val="0"/>
      <w:jc w:val="center"/>
    </w:pPr>
    <w:rPr>
      <w:rFonts w:ascii="Times New Roman" w:hAnsi="Times New Roman" w:eastAsia="黑体"/>
      <w:b/>
      <w:spacing w:val="4"/>
      <w:kern w:val="0"/>
      <w:sz w:val="24"/>
      <w:szCs w:val="24"/>
      <w:lang w:val="zh-CN"/>
    </w:rPr>
  </w:style>
  <w:style w:type="paragraph" w:customStyle="1" w:styleId="99">
    <w:name w:val="【表中文字】"/>
    <w:basedOn w:val="1"/>
    <w:qFormat/>
    <w:uiPriority w:val="0"/>
    <w:pPr>
      <w:adjustRightInd w:val="0"/>
      <w:snapToGrid w:val="0"/>
      <w:jc w:val="center"/>
    </w:pPr>
    <w:rPr>
      <w:kern w:val="0"/>
      <w:sz w:val="20"/>
      <w:szCs w:val="20"/>
    </w:rPr>
  </w:style>
  <w:style w:type="paragraph" w:customStyle="1" w:styleId="100">
    <w:name w:val="报告表正文"/>
    <w:basedOn w:val="1"/>
    <w:qFormat/>
    <w:uiPriority w:val="0"/>
    <w:pPr>
      <w:adjustRightInd w:val="0"/>
      <w:spacing w:line="312" w:lineRule="auto"/>
      <w:ind w:left="113" w:right="113" w:firstLine="482"/>
      <w:jc w:val="left"/>
      <w:textAlignment w:val="baseline"/>
    </w:pPr>
    <w:rPr>
      <w:kern w:val="0"/>
      <w:szCs w:val="20"/>
    </w:rPr>
  </w:style>
  <w:style w:type="paragraph" w:customStyle="1" w:styleId="101">
    <w:name w:val="p0"/>
    <w:basedOn w:val="1"/>
    <w:qFormat/>
    <w:uiPriority w:val="0"/>
    <w:pPr>
      <w:widowControl/>
      <w:spacing w:before="100" w:beforeAutospacing="1" w:after="100" w:afterAutospacing="1"/>
      <w:jc w:val="left"/>
    </w:pPr>
    <w:rPr>
      <w:rFonts w:ascii="宋体" w:hAnsi="宋体" w:cs="宋体"/>
      <w:kern w:val="0"/>
    </w:rPr>
  </w:style>
  <w:style w:type="paragraph" w:customStyle="1" w:styleId="102">
    <w:name w:val="表头样式"/>
    <w:basedOn w:val="1"/>
    <w:qFormat/>
    <w:uiPriority w:val="0"/>
    <w:pPr>
      <w:spacing w:beforeLines="50" w:afterLines="50"/>
      <w:jc w:val="center"/>
    </w:pPr>
    <w:rPr>
      <w:b/>
      <w:szCs w:val="21"/>
    </w:rPr>
  </w:style>
  <w:style w:type="paragraph" w:customStyle="1" w:styleId="103">
    <w:name w:val="正文01"/>
    <w:basedOn w:val="1"/>
    <w:link w:val="127"/>
    <w:qFormat/>
    <w:uiPriority w:val="0"/>
    <w:pPr>
      <w:ind w:firstLine="482"/>
    </w:pPr>
    <w:rPr>
      <w:szCs w:val="20"/>
    </w:rPr>
  </w:style>
  <w:style w:type="paragraph" w:customStyle="1" w:styleId="104">
    <w:name w:val="【正文】"/>
    <w:basedOn w:val="1"/>
    <w:qFormat/>
    <w:uiPriority w:val="0"/>
    <w:pPr>
      <w:spacing w:line="440" w:lineRule="exact"/>
      <w:ind w:firstLine="544" w:firstLineChars="200"/>
    </w:pPr>
    <w:rPr>
      <w:sz w:val="24"/>
      <w:szCs w:val="20"/>
    </w:rPr>
  </w:style>
  <w:style w:type="paragraph" w:customStyle="1" w:styleId="105">
    <w:name w:val="fcc正文"/>
    <w:basedOn w:val="1"/>
    <w:qFormat/>
    <w:uiPriority w:val="0"/>
    <w:pPr>
      <w:ind w:firstLine="200" w:firstLineChars="200"/>
    </w:pPr>
    <w:rPr>
      <w:rFonts w:ascii="Calibri" w:hAnsi="Calibri" w:cs="Times New Roman"/>
      <w:szCs w:val="20"/>
      <w:lang w:val="zh-CN"/>
    </w:rPr>
  </w:style>
  <w:style w:type="character" w:customStyle="1" w:styleId="106">
    <w:name w:val="页码1"/>
    <w:basedOn w:val="44"/>
    <w:qFormat/>
    <w:uiPriority w:val="0"/>
  </w:style>
  <w:style w:type="paragraph" w:customStyle="1" w:styleId="107">
    <w:name w:val="样式 样式 (西文) 宋体 (中文) 仿宋_GB2312 小四 + 首行缩进:  2 字符 行距: 最小值 12 磅"/>
    <w:basedOn w:val="1"/>
    <w:qFormat/>
    <w:uiPriority w:val="0"/>
    <w:pPr>
      <w:spacing w:line="240" w:lineRule="atLeast"/>
      <w:ind w:firstLine="640" w:firstLineChars="200"/>
      <w:jc w:val="left"/>
    </w:pPr>
    <w:rPr>
      <w:rFonts w:ascii="仿宋_GB2312" w:eastAsia="仿宋_GB2312"/>
      <w:b/>
      <w:color w:val="000000"/>
      <w:sz w:val="30"/>
      <w:szCs w:val="28"/>
    </w:rPr>
  </w:style>
  <w:style w:type="paragraph" w:customStyle="1" w:styleId="108">
    <w:name w:val="Normal (Web)"/>
    <w:basedOn w:val="1"/>
    <w:qFormat/>
    <w:uiPriority w:val="0"/>
    <w:pPr>
      <w:spacing w:before="100" w:beforeAutospacing="1" w:after="100" w:afterAutospacing="1"/>
    </w:pPr>
    <w:rPr>
      <w:rFonts w:ascii="宋体" w:hAnsi="宋体" w:cs="宋体"/>
      <w:sz w:val="24"/>
    </w:rPr>
  </w:style>
  <w:style w:type="paragraph" w:customStyle="1" w:styleId="109">
    <w:name w:val="List Paragraph"/>
    <w:basedOn w:val="1"/>
    <w:next w:val="1"/>
    <w:qFormat/>
    <w:uiPriority w:val="0"/>
    <w:pPr>
      <w:autoSpaceDE w:val="0"/>
      <w:autoSpaceDN w:val="0"/>
      <w:jc w:val="center"/>
    </w:pPr>
    <w:rPr>
      <w:szCs w:val="20"/>
    </w:rPr>
  </w:style>
  <w:style w:type="paragraph" w:customStyle="1" w:styleId="110">
    <w:name w:val="样式3"/>
    <w:basedOn w:val="8"/>
    <w:qFormat/>
    <w:uiPriority w:val="0"/>
    <w:pPr>
      <w:snapToGrid/>
      <w:spacing w:line="520" w:lineRule="atLeast"/>
      <w:ind w:firstLine="560"/>
      <w:jc w:val="left"/>
    </w:pPr>
    <w:rPr>
      <w:kern w:val="0"/>
      <w:sz w:val="28"/>
    </w:rPr>
  </w:style>
  <w:style w:type="paragraph" w:customStyle="1" w:styleId="111">
    <w:name w:val="正文-1"/>
    <w:link w:val="181"/>
    <w:qFormat/>
    <w:uiPriority w:val="0"/>
    <w:pPr>
      <w:spacing w:line="480" w:lineRule="exact"/>
      <w:ind w:firstLine="200" w:firstLineChars="200"/>
      <w:jc w:val="both"/>
    </w:pPr>
    <w:rPr>
      <w:rFonts w:ascii="Times New Roman" w:hAnsi="Times New Roman" w:eastAsia="宋体" w:cs="宋体"/>
      <w:kern w:val="2"/>
      <w:sz w:val="24"/>
      <w:lang w:val="en-US" w:eastAsia="zh-CN" w:bidi="ar-SA"/>
    </w:rPr>
  </w:style>
  <w:style w:type="paragraph" w:customStyle="1" w:styleId="112">
    <w:name w:val="表题"/>
    <w:basedOn w:val="17"/>
    <w:next w:val="113"/>
    <w:link w:val="178"/>
    <w:qFormat/>
    <w:uiPriority w:val="0"/>
    <w:pPr>
      <w:spacing w:line="480" w:lineRule="exact"/>
      <w:jc w:val="center"/>
    </w:pPr>
    <w:rPr>
      <w:rFonts w:ascii="Times New Roman" w:hAnsi="宋体" w:eastAsia="宋体" w:cs="Times New Roman"/>
      <w:b/>
      <w:kern w:val="2"/>
      <w:sz w:val="21"/>
      <w:szCs w:val="24"/>
      <w:lang w:val="en-US" w:eastAsia="zh-CN" w:bidi="ar-SA"/>
    </w:rPr>
  </w:style>
  <w:style w:type="paragraph" w:customStyle="1" w:styleId="113">
    <w:name w:val="-正文"/>
    <w:basedOn w:val="1"/>
    <w:link w:val="179"/>
    <w:qFormat/>
    <w:uiPriority w:val="0"/>
    <w:pPr>
      <w:widowControl w:val="0"/>
      <w:spacing w:line="480" w:lineRule="exact"/>
      <w:ind w:firstLine="200" w:firstLineChars="200"/>
      <w:jc w:val="both"/>
    </w:pPr>
    <w:rPr>
      <w:rFonts w:cs="宋体"/>
      <w:kern w:val="2"/>
      <w:sz w:val="24"/>
    </w:rPr>
  </w:style>
  <w:style w:type="paragraph" w:customStyle="1" w:styleId="114">
    <w:name w:val="-表格"/>
    <w:basedOn w:val="92"/>
    <w:next w:val="1"/>
    <w:qFormat/>
    <w:uiPriority w:val="0"/>
    <w:pPr>
      <w:widowControl/>
      <w:tabs>
        <w:tab w:val="left" w:pos="3696"/>
      </w:tabs>
      <w:jc w:val="center"/>
    </w:pPr>
    <w:rPr>
      <w:rFonts w:ascii="宋体" w:hAnsi="宋体" w:cs="宋体"/>
      <w:snapToGrid w:val="0"/>
      <w:szCs w:val="20"/>
    </w:rPr>
  </w:style>
  <w:style w:type="paragraph" w:customStyle="1" w:styleId="115">
    <w:name w:val="GTR报告书表头"/>
    <w:basedOn w:val="1"/>
    <w:qFormat/>
    <w:uiPriority w:val="0"/>
    <w:pPr>
      <w:spacing w:line="500" w:lineRule="exact"/>
      <w:jc w:val="center"/>
    </w:pPr>
    <w:rPr>
      <w:rFonts w:eastAsia="黑体"/>
    </w:rPr>
  </w:style>
  <w:style w:type="paragraph" w:customStyle="1" w:styleId="116">
    <w:name w:val="GTR表格内容"/>
    <w:basedOn w:val="115"/>
    <w:qFormat/>
    <w:uiPriority w:val="0"/>
    <w:pPr>
      <w:spacing w:line="240" w:lineRule="auto"/>
    </w:pPr>
    <w:rPr>
      <w:rFonts w:eastAsia="宋体"/>
    </w:rPr>
  </w:style>
  <w:style w:type="paragraph" w:customStyle="1" w:styleId="117">
    <w:name w:val="小四正文格式"/>
    <w:basedOn w:val="1"/>
    <w:qFormat/>
    <w:uiPriority w:val="0"/>
    <w:pPr>
      <w:spacing w:line="360" w:lineRule="auto"/>
      <w:ind w:firstLine="200" w:firstLineChars="200"/>
    </w:pPr>
    <w:rPr>
      <w:rFonts w:ascii="宋体" w:hAnsi="宋体"/>
      <w:sz w:val="24"/>
    </w:rPr>
  </w:style>
  <w:style w:type="paragraph" w:customStyle="1" w:styleId="118">
    <w:name w:val="表中正文居中"/>
    <w:semiHidden/>
    <w:qFormat/>
    <w:uiPriority w:val="0"/>
    <w:pPr>
      <w:spacing w:before="120" w:after="156" w:line="240" w:lineRule="exact"/>
      <w:jc w:val="center"/>
    </w:pPr>
    <w:rPr>
      <w:rFonts w:ascii="宋体" w:hAnsi="Times New Roman" w:eastAsia="宋体" w:cs="Times New Roman"/>
      <w:kern w:val="2"/>
      <w:sz w:val="21"/>
      <w:lang w:val="en-US" w:eastAsia="zh-CN" w:bidi="ar-SA"/>
    </w:rPr>
  </w:style>
  <w:style w:type="paragraph" w:customStyle="1" w:styleId="119">
    <w:name w:val="表标题"/>
    <w:basedOn w:val="1"/>
    <w:next w:val="1"/>
    <w:semiHidden/>
    <w:qFormat/>
    <w:uiPriority w:val="0"/>
    <w:pPr>
      <w:adjustRightInd w:val="0"/>
      <w:jc w:val="center"/>
      <w:textAlignment w:val="baseline"/>
    </w:pPr>
    <w:rPr>
      <w:b/>
      <w:bCs/>
      <w:sz w:val="24"/>
      <w:szCs w:val="20"/>
    </w:rPr>
  </w:style>
  <w:style w:type="paragraph" w:customStyle="1" w:styleId="120">
    <w:name w:val=" Char Char Char Char Char Char Char Char Char1 Char Char Char Char"/>
    <w:basedOn w:val="1"/>
    <w:qFormat/>
    <w:uiPriority w:val="0"/>
    <w:rPr>
      <w:sz w:val="24"/>
    </w:rPr>
  </w:style>
  <w:style w:type="paragraph" w:customStyle="1" w:styleId="121">
    <w:name w:val="报告正文"/>
    <w:basedOn w:val="1"/>
    <w:link w:val="136"/>
    <w:semiHidden/>
    <w:qFormat/>
    <w:uiPriority w:val="0"/>
    <w:pPr>
      <w:adjustRightInd w:val="0"/>
      <w:snapToGrid w:val="0"/>
      <w:spacing w:line="480" w:lineRule="exact"/>
      <w:ind w:firstLine="560" w:firstLineChars="200"/>
    </w:pPr>
    <w:rPr>
      <w:sz w:val="28"/>
    </w:rPr>
  </w:style>
  <w:style w:type="paragraph" w:customStyle="1" w:styleId="122">
    <w:name w:val="常用正文样式"/>
    <w:basedOn w:val="1"/>
    <w:qFormat/>
    <w:uiPriority w:val="0"/>
    <w:pPr>
      <w:spacing w:line="360" w:lineRule="auto"/>
      <w:ind w:firstLine="480" w:firstLineChars="200"/>
    </w:pPr>
    <w:rPr>
      <w:rFonts w:ascii="宋体" w:hAnsi="宋体" w:eastAsia="仿宋_GB2312" w:cs="宋体"/>
      <w:bCs/>
      <w:kern w:val="28"/>
      <w:sz w:val="24"/>
    </w:rPr>
  </w:style>
  <w:style w:type="paragraph" w:customStyle="1" w:styleId="123">
    <w:name w:val="样式4"/>
    <w:basedOn w:val="1"/>
    <w:next w:val="1"/>
    <w:qFormat/>
    <w:uiPriority w:val="0"/>
    <w:pPr>
      <w:spacing w:line="440" w:lineRule="exact"/>
    </w:pPr>
    <w:rPr>
      <w:sz w:val="24"/>
      <w:szCs w:val="20"/>
    </w:rPr>
  </w:style>
  <w:style w:type="paragraph" w:customStyle="1" w:styleId="124">
    <w:name w:val="表格头"/>
    <w:basedOn w:val="1"/>
    <w:qFormat/>
    <w:uiPriority w:val="0"/>
    <w:pPr>
      <w:widowControl w:val="0"/>
      <w:jc w:val="center"/>
    </w:pPr>
    <w:rPr>
      <w:rFonts w:ascii="黑体" w:hAnsi="黑体"/>
      <w:b/>
      <w:sz w:val="21"/>
      <w:szCs w:val="24"/>
    </w:rPr>
  </w:style>
  <w:style w:type="paragraph" w:customStyle="1" w:styleId="125">
    <w:name w:val="-表题"/>
    <w:next w:val="113"/>
    <w:qFormat/>
    <w:uiPriority w:val="0"/>
    <w:pPr>
      <w:spacing w:line="480" w:lineRule="exact"/>
      <w:jc w:val="center"/>
    </w:pPr>
    <w:rPr>
      <w:rFonts w:ascii="Times New Roman" w:hAnsi="Times New Roman" w:eastAsia="宋体" w:cs="Times New Roman"/>
      <w:b/>
      <w:kern w:val="2"/>
      <w:sz w:val="21"/>
      <w:szCs w:val="24"/>
      <w:lang w:val="en-US" w:eastAsia="zh-CN" w:bidi="ar-SA"/>
    </w:rPr>
  </w:style>
  <w:style w:type="paragraph" w:customStyle="1" w:styleId="126">
    <w:name w:val="表中文字"/>
    <w:basedOn w:val="1"/>
    <w:qFormat/>
    <w:uiPriority w:val="0"/>
    <w:pPr>
      <w:widowControl w:val="0"/>
      <w:spacing w:line="300" w:lineRule="exact"/>
      <w:jc w:val="center"/>
    </w:pPr>
    <w:rPr>
      <w:color w:val="000000"/>
      <w:kern w:val="2"/>
      <w:sz w:val="21"/>
      <w:szCs w:val="24"/>
    </w:rPr>
  </w:style>
  <w:style w:type="character" w:customStyle="1" w:styleId="127">
    <w:name w:val="正文01 Char"/>
    <w:link w:val="103"/>
    <w:qFormat/>
    <w:uiPriority w:val="0"/>
    <w:rPr>
      <w:szCs w:val="20"/>
    </w:rPr>
  </w:style>
  <w:style w:type="paragraph" w:customStyle="1" w:styleId="128">
    <w:name w:val="表内容"/>
    <w:basedOn w:val="1"/>
    <w:next w:val="1"/>
    <w:qFormat/>
    <w:uiPriority w:val="0"/>
    <w:pPr>
      <w:jc w:val="center"/>
    </w:pPr>
    <w:rPr>
      <w:sz w:val="21"/>
      <w:szCs w:val="21"/>
    </w:rPr>
  </w:style>
  <w:style w:type="paragraph" w:customStyle="1" w:styleId="129">
    <w:name w:val="表格文字内容"/>
    <w:basedOn w:val="1"/>
    <w:qFormat/>
    <w:uiPriority w:val="0"/>
    <w:pPr>
      <w:spacing w:line="240" w:lineRule="exact"/>
      <w:jc w:val="center"/>
    </w:pPr>
    <w:rPr>
      <w:rFonts w:hAnsi="宋体"/>
      <w:sz w:val="18"/>
    </w:rPr>
  </w:style>
  <w:style w:type="paragraph" w:customStyle="1" w:styleId="130">
    <w:name w:val="报告正文scu"/>
    <w:qFormat/>
    <w:uiPriority w:val="0"/>
    <w:pPr>
      <w:widowControl w:val="0"/>
      <w:adjustRightInd w:val="0"/>
      <w:snapToGrid w:val="0"/>
      <w:spacing w:line="500" w:lineRule="exact"/>
      <w:ind w:firstLine="200" w:firstLineChars="200"/>
      <w:jc w:val="both"/>
    </w:pPr>
    <w:rPr>
      <w:rFonts w:ascii="Times New Roman" w:hAnsi="Times New Roman" w:eastAsia="宋体" w:cs="Times New Roman"/>
      <w:sz w:val="24"/>
      <w:szCs w:val="24"/>
      <w:lang w:val="en-US" w:eastAsia="zh-CN" w:bidi="ar-SA"/>
    </w:rPr>
  </w:style>
  <w:style w:type="paragraph" w:customStyle="1" w:styleId="131">
    <w:name w:val="_Style 1"/>
    <w:qFormat/>
    <w:uiPriority w:val="99"/>
    <w:pPr>
      <w:widowControl w:val="0"/>
      <w:jc w:val="both"/>
    </w:pPr>
    <w:rPr>
      <w:rFonts w:ascii="Times New Roman" w:hAnsi="Times New Roman" w:eastAsia="宋体" w:cs="Times New Roman"/>
      <w:bCs/>
      <w:sz w:val="24"/>
      <w:szCs w:val="24"/>
      <w:lang w:val="en-US" w:eastAsia="zh-CN" w:bidi="ar-SA"/>
    </w:rPr>
  </w:style>
  <w:style w:type="paragraph" w:customStyle="1" w:styleId="132">
    <w:name w:val="CM13"/>
    <w:basedOn w:val="52"/>
    <w:qFormat/>
    <w:uiPriority w:val="0"/>
    <w:rPr>
      <w:color w:val="auto"/>
    </w:rPr>
  </w:style>
  <w:style w:type="paragraph" w:customStyle="1" w:styleId="133">
    <w:name w:val="表格字体"/>
    <w:qFormat/>
    <w:uiPriority w:val="0"/>
    <w:pPr>
      <w:keepNext/>
      <w:keepLines/>
      <w:jc w:val="center"/>
    </w:pPr>
    <w:rPr>
      <w:rFonts w:ascii="Times New Roman" w:hAnsi="Times New Roman" w:eastAsia="宋体" w:cs="Times New Roman"/>
      <w:kern w:val="2"/>
      <w:sz w:val="21"/>
      <w:szCs w:val="24"/>
      <w:lang w:val="en-US" w:eastAsia="zh-CN" w:bidi="ar-SA"/>
    </w:rPr>
  </w:style>
  <w:style w:type="paragraph" w:customStyle="1" w:styleId="134">
    <w:name w:val="4"/>
    <w:basedOn w:val="1"/>
    <w:next w:val="16"/>
    <w:qFormat/>
    <w:uiPriority w:val="0"/>
    <w:pPr>
      <w:ind w:firstLine="540"/>
    </w:pPr>
    <w:rPr>
      <w:rFonts w:ascii="宋体"/>
      <w:sz w:val="28"/>
      <w:szCs w:val="20"/>
    </w:rPr>
  </w:style>
  <w:style w:type="paragraph" w:customStyle="1" w:styleId="135">
    <w:name w:val="CM3"/>
    <w:qFormat/>
    <w:uiPriority w:val="0"/>
    <w:pPr>
      <w:widowControl w:val="0"/>
      <w:autoSpaceDE w:val="0"/>
      <w:autoSpaceDN w:val="0"/>
      <w:adjustRightInd w:val="0"/>
      <w:spacing w:line="500" w:lineRule="atLeast"/>
    </w:pPr>
    <w:rPr>
      <w:rFonts w:hint="eastAsia" w:ascii="宋体" w:hAnsi="Calibri" w:eastAsia="宋体" w:cs="Times New Roman"/>
      <w:sz w:val="24"/>
      <w:szCs w:val="24"/>
      <w:lang w:val="en-US" w:eastAsia="zh-CN" w:bidi="ar-SA"/>
    </w:rPr>
  </w:style>
  <w:style w:type="character" w:customStyle="1" w:styleId="136">
    <w:name w:val="报告正文 Char"/>
    <w:link w:val="121"/>
    <w:qFormat/>
    <w:uiPriority w:val="0"/>
    <w:rPr>
      <w:sz w:val="28"/>
    </w:rPr>
  </w:style>
  <w:style w:type="paragraph" w:customStyle="1" w:styleId="137">
    <w:name w:val="正文文本报告（报告）"/>
    <w:basedOn w:val="1"/>
    <w:qFormat/>
    <w:uiPriority w:val="0"/>
    <w:pPr>
      <w:spacing w:line="440" w:lineRule="exact"/>
      <w:ind w:firstLine="200" w:firstLineChars="200"/>
    </w:pPr>
    <w:rPr>
      <w:sz w:val="24"/>
    </w:rPr>
  </w:style>
  <w:style w:type="character" w:customStyle="1" w:styleId="138">
    <w:name w:val="font21"/>
    <w:basedOn w:val="44"/>
    <w:qFormat/>
    <w:uiPriority w:val="0"/>
    <w:rPr>
      <w:rFonts w:hint="eastAsia" w:ascii="宋体" w:hAnsi="宋体" w:eastAsia="宋体" w:cs="宋体"/>
      <w:color w:val="000000"/>
      <w:sz w:val="22"/>
      <w:szCs w:val="22"/>
      <w:u w:val="none"/>
    </w:rPr>
  </w:style>
  <w:style w:type="paragraph" w:customStyle="1" w:styleId="139">
    <w:name w:val="章节目录"/>
    <w:basedOn w:val="1"/>
    <w:qFormat/>
    <w:uiPriority w:val="0"/>
    <w:pPr>
      <w:spacing w:line="360" w:lineRule="auto"/>
      <w:outlineLvl w:val="0"/>
    </w:pPr>
    <w:rPr>
      <w:b/>
      <w:sz w:val="28"/>
      <w:szCs w:val="28"/>
    </w:rPr>
  </w:style>
  <w:style w:type="paragraph" w:customStyle="1" w:styleId="140">
    <w:name w:val="报告表"/>
    <w:basedOn w:val="1"/>
    <w:qFormat/>
    <w:uiPriority w:val="0"/>
    <w:pPr>
      <w:autoSpaceDE w:val="0"/>
      <w:autoSpaceDN w:val="0"/>
      <w:spacing w:line="360" w:lineRule="auto"/>
      <w:ind w:firstLine="480" w:firstLineChars="200"/>
    </w:pPr>
    <w:rPr>
      <w:kern w:val="0"/>
      <w:sz w:val="24"/>
      <w:lang w:bidi="zh-CN"/>
    </w:rPr>
  </w:style>
  <w:style w:type="paragraph" w:customStyle="1" w:styleId="141">
    <w:name w:val="01表格"/>
    <w:basedOn w:val="1"/>
    <w:next w:val="1"/>
    <w:qFormat/>
    <w:uiPriority w:val="0"/>
    <w:pPr>
      <w:overflowPunct w:val="0"/>
      <w:topLinePunct/>
      <w:adjustRightInd w:val="0"/>
      <w:snapToGrid w:val="0"/>
      <w:spacing w:line="240" w:lineRule="auto"/>
      <w:jc w:val="center"/>
    </w:pPr>
    <w:rPr>
      <w:snapToGrid w:val="0"/>
      <w:kern w:val="0"/>
      <w:sz w:val="21"/>
      <w:szCs w:val="21"/>
    </w:rPr>
  </w:style>
  <w:style w:type="paragraph" w:customStyle="1" w:styleId="142">
    <w:name w:val="表字"/>
    <w:basedOn w:val="1"/>
    <w:qFormat/>
    <w:uiPriority w:val="0"/>
    <w:pPr>
      <w:spacing w:line="240" w:lineRule="auto"/>
      <w:jc w:val="center"/>
    </w:pPr>
    <w:rPr>
      <w:sz w:val="21"/>
      <w:szCs w:val="20"/>
    </w:rPr>
  </w:style>
  <w:style w:type="paragraph" w:customStyle="1" w:styleId="143">
    <w:name w:val="正文格式"/>
    <w:next w:val="1"/>
    <w:qFormat/>
    <w:uiPriority w:val="0"/>
    <w:pPr>
      <w:spacing w:before="156" w:beforeLines="50" w:line="440" w:lineRule="exact"/>
      <w:ind w:firstLine="560" w:firstLineChars="200"/>
    </w:pPr>
    <w:rPr>
      <w:rFonts w:ascii="Times New Roman" w:hAnsi="Times New Roman" w:eastAsia="仿宋_GB2312" w:cs="Times New Roman"/>
      <w:kern w:val="2"/>
      <w:sz w:val="28"/>
      <w:szCs w:val="28"/>
      <w:lang w:val="en-US" w:eastAsia="zh-CN" w:bidi="ar-SA"/>
    </w:rPr>
  </w:style>
  <w:style w:type="paragraph" w:customStyle="1" w:styleId="144">
    <w:name w:val="样式 小四 首行缩进:  0.85 厘米 行距: 1.5 倍行距"/>
    <w:basedOn w:val="1"/>
    <w:qFormat/>
    <w:uiPriority w:val="0"/>
    <w:pPr>
      <w:adjustRightInd w:val="0"/>
      <w:spacing w:line="360" w:lineRule="auto"/>
      <w:ind w:firstLine="480"/>
      <w:textAlignment w:val="baseline"/>
    </w:pPr>
    <w:rPr>
      <w:sz w:val="24"/>
    </w:rPr>
  </w:style>
  <w:style w:type="paragraph" w:customStyle="1" w:styleId="145">
    <w:name w:val="3"/>
    <w:basedOn w:val="146"/>
    <w:qFormat/>
    <w:uiPriority w:val="0"/>
    <w:pPr>
      <w:keepNext w:val="0"/>
      <w:keepLines w:val="0"/>
      <w:widowControl w:val="0"/>
      <w:suppressLineNumbers w:val="0"/>
      <w:spacing w:before="0" w:beforeAutospacing="0" w:after="0" w:afterAutospacing="0" w:line="312" w:lineRule="auto"/>
      <w:ind w:left="0" w:right="0" w:firstLine="200" w:firstLineChars="200"/>
      <w:jc w:val="both"/>
    </w:pPr>
    <w:rPr>
      <w:rFonts w:hint="default" w:ascii="Times New Roman" w:hAnsi="Times New Roman" w:eastAsia="黑体" w:cs="Times New Roman"/>
      <w:kern w:val="2"/>
      <w:sz w:val="24"/>
      <w:szCs w:val="24"/>
      <w:lang w:val="en-US" w:eastAsia="zh-CN" w:bidi="ar"/>
    </w:rPr>
  </w:style>
  <w:style w:type="paragraph" w:customStyle="1" w:styleId="146">
    <w:name w:val="正正"/>
    <w:basedOn w:val="1"/>
    <w:qFormat/>
    <w:uiPriority w:val="0"/>
    <w:pPr>
      <w:keepNext w:val="0"/>
      <w:keepLines w:val="0"/>
      <w:widowControl w:val="0"/>
      <w:suppressLineNumbers w:val="0"/>
      <w:spacing w:before="0" w:beforeAutospacing="0" w:after="0" w:afterAutospacing="0" w:line="312" w:lineRule="auto"/>
      <w:ind w:left="0" w:right="0" w:firstLine="200" w:firstLineChars="200"/>
      <w:jc w:val="both"/>
    </w:pPr>
    <w:rPr>
      <w:rFonts w:hint="default" w:ascii="Times New Roman" w:hAnsi="Times New Roman" w:eastAsia="宋体" w:cs="Times New Roman"/>
      <w:kern w:val="2"/>
      <w:sz w:val="24"/>
      <w:szCs w:val="24"/>
      <w:lang w:val="en-US" w:eastAsia="zh-CN" w:bidi="ar"/>
    </w:rPr>
  </w:style>
  <w:style w:type="paragraph" w:customStyle="1" w:styleId="147">
    <w:name w:val="样式 样式 样式 表头 + 段前: 0.5 行 段后: 0.5 行 + 段后: 0.5 行 + 段前: 0.5 行"/>
    <w:basedOn w:val="1"/>
    <w:qFormat/>
    <w:uiPriority w:val="0"/>
    <w:pPr>
      <w:keepNext w:val="0"/>
      <w:keepLines w:val="0"/>
      <w:widowControl w:val="0"/>
      <w:suppressLineNumbers w:val="0"/>
      <w:adjustRightInd w:val="0"/>
      <w:snapToGrid w:val="0"/>
      <w:spacing w:before="120" w:beforeAutospacing="0" w:after="0" w:afterAutospacing="0" w:line="312" w:lineRule="auto"/>
      <w:ind w:left="0" w:right="0" w:firstLine="200" w:firstLineChars="200"/>
      <w:jc w:val="center"/>
    </w:pPr>
    <w:rPr>
      <w:rFonts w:hint="default" w:ascii="Times New Roman" w:hAnsi="Times New Roman" w:eastAsia="宋体" w:cs="宋体"/>
      <w:b/>
      <w:kern w:val="2"/>
      <w:sz w:val="24"/>
      <w:szCs w:val="20"/>
      <w:lang w:val="en-US" w:eastAsia="zh-CN" w:bidi="ar"/>
    </w:rPr>
  </w:style>
  <w:style w:type="paragraph" w:customStyle="1" w:styleId="148">
    <w:name w:val="单晶硅项目正文"/>
    <w:basedOn w:val="1"/>
    <w:qFormat/>
    <w:uiPriority w:val="0"/>
    <w:pPr>
      <w:keepNext w:val="0"/>
      <w:keepLines w:val="0"/>
      <w:widowControl w:val="0"/>
      <w:suppressLineNumbers w:val="0"/>
      <w:spacing w:before="0" w:beforeAutospacing="0" w:after="0" w:afterAutospacing="0" w:line="560" w:lineRule="exact"/>
      <w:ind w:left="0" w:right="0" w:firstLine="480" w:firstLineChars="200"/>
      <w:jc w:val="both"/>
    </w:pPr>
    <w:rPr>
      <w:rFonts w:hint="eastAsia" w:ascii="宋体" w:hAnsi="宋体" w:eastAsia="宋体" w:cs="Times New Roman"/>
      <w:color w:val="000000"/>
      <w:kern w:val="0"/>
      <w:sz w:val="24"/>
      <w:szCs w:val="24"/>
      <w:lang w:val="en-US" w:eastAsia="zh-CN" w:bidi="ar"/>
    </w:rPr>
  </w:style>
  <w:style w:type="paragraph" w:customStyle="1" w:styleId="149">
    <w:name w:val="p"/>
    <w:basedOn w:val="150"/>
    <w:link w:val="225"/>
    <w:qFormat/>
    <w:uiPriority w:val="0"/>
    <w:pPr>
      <w:adjustRightInd w:val="0"/>
      <w:snapToGrid w:val="0"/>
      <w:spacing w:line="360" w:lineRule="auto"/>
      <w:ind w:firstLine="1446" w:firstLineChars="200"/>
      <w:jc w:val="left"/>
    </w:pPr>
    <w:rPr>
      <w:kern w:val="0"/>
      <w:sz w:val="20"/>
      <w:szCs w:val="20"/>
    </w:rPr>
  </w:style>
  <w:style w:type="paragraph" w:customStyle="1" w:styleId="150">
    <w:name w:val="样式1"/>
    <w:basedOn w:val="1"/>
    <w:next w:val="18"/>
    <w:qFormat/>
    <w:uiPriority w:val="0"/>
    <w:pPr>
      <w:ind w:left="90" w:leftChars="32"/>
    </w:pPr>
    <w:rPr>
      <w:rFonts w:ascii="宋体" w:hAnsi="宋体"/>
      <w:sz w:val="23"/>
      <w:szCs w:val="20"/>
    </w:rPr>
  </w:style>
  <w:style w:type="paragraph" w:customStyle="1" w:styleId="151">
    <w:name w:val="样式 行距: 固定值 24 磅 首行缩进:  2 字符"/>
    <w:basedOn w:val="1"/>
    <w:qFormat/>
    <w:uiPriority w:val="0"/>
    <w:pPr>
      <w:spacing w:line="480" w:lineRule="exact"/>
      <w:ind w:firstLine="480" w:firstLineChars="200"/>
    </w:pPr>
    <w:rPr>
      <w:sz w:val="24"/>
      <w:szCs w:val="20"/>
    </w:rPr>
  </w:style>
  <w:style w:type="paragraph" w:customStyle="1" w:styleId="152">
    <w:name w:val="正文样式"/>
    <w:basedOn w:val="1"/>
    <w:qFormat/>
    <w:uiPriority w:val="0"/>
    <w:pPr>
      <w:adjustRightInd w:val="0"/>
      <w:snapToGrid w:val="0"/>
      <w:spacing w:line="360" w:lineRule="auto"/>
      <w:ind w:firstLine="200" w:firstLineChars="200"/>
      <w:jc w:val="left"/>
    </w:pPr>
    <w:rPr>
      <w:rFonts w:cs="宋体"/>
      <w:sz w:val="24"/>
    </w:rPr>
  </w:style>
  <w:style w:type="table" w:customStyle="1" w:styleId="153">
    <w:name w:val="网格型1"/>
    <w:basedOn w:val="42"/>
    <w:unhideWhenUsed/>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54">
    <w:name w:val="p17"/>
    <w:basedOn w:val="1"/>
    <w:qFormat/>
    <w:uiPriority w:val="0"/>
    <w:pPr>
      <w:widowControl/>
      <w:spacing w:line="360" w:lineRule="auto"/>
      <w:ind w:firstLine="420"/>
    </w:pPr>
    <w:rPr>
      <w:rFonts w:ascii="宋体" w:hAnsi="宋体" w:cs="宋体"/>
      <w:color w:val="FF0000"/>
      <w:kern w:val="0"/>
      <w:sz w:val="24"/>
    </w:rPr>
  </w:style>
  <w:style w:type="paragraph" w:customStyle="1" w:styleId="155">
    <w:name w:val="p16"/>
    <w:basedOn w:val="1"/>
    <w:qFormat/>
    <w:uiPriority w:val="0"/>
    <w:pPr>
      <w:widowControl/>
      <w:snapToGrid w:val="0"/>
      <w:spacing w:line="360" w:lineRule="auto"/>
      <w:ind w:firstLine="420"/>
    </w:pPr>
    <w:rPr>
      <w:kern w:val="0"/>
      <w:sz w:val="24"/>
    </w:rPr>
  </w:style>
  <w:style w:type="paragraph" w:customStyle="1" w:styleId="156">
    <w:name w:val="正本文字"/>
    <w:basedOn w:val="1"/>
    <w:qFormat/>
    <w:uiPriority w:val="0"/>
    <w:pPr>
      <w:widowControl/>
      <w:adjustRightInd w:val="0"/>
      <w:snapToGrid w:val="0"/>
      <w:spacing w:line="360" w:lineRule="auto"/>
      <w:ind w:firstLine="480" w:firstLineChars="200"/>
      <w:jc w:val="left"/>
    </w:pPr>
    <w:rPr>
      <w:rFonts w:ascii="Calibri" w:hAnsi="Courier" w:eastAsia="PMingLiU" w:cs="宋体"/>
      <w:kern w:val="18"/>
      <w:sz w:val="24"/>
      <w:szCs w:val="20"/>
      <w:lang w:eastAsia="zh-TW"/>
    </w:rPr>
  </w:style>
  <w:style w:type="paragraph" w:customStyle="1" w:styleId="157">
    <w:name w:val="Table Paragraph"/>
    <w:basedOn w:val="1"/>
    <w:qFormat/>
    <w:uiPriority w:val="1"/>
    <w:pPr>
      <w:widowControl/>
      <w:jc w:val="left"/>
    </w:pPr>
    <w:rPr>
      <w:rFonts w:ascii="Calibri" w:hAnsi="Calibri" w:cs="宋体"/>
      <w:kern w:val="0"/>
      <w:sz w:val="22"/>
      <w:szCs w:val="22"/>
    </w:rPr>
  </w:style>
  <w:style w:type="paragraph" w:customStyle="1" w:styleId="158">
    <w:name w:val="1表格"/>
    <w:basedOn w:val="1"/>
    <w:qFormat/>
    <w:uiPriority w:val="0"/>
    <w:pPr>
      <w:snapToGrid w:val="0"/>
      <w:spacing w:line="160" w:lineRule="atLeast"/>
      <w:jc w:val="center"/>
    </w:pPr>
    <w:rPr>
      <w:rFonts w:eastAsia="仿宋_GB2312"/>
      <w:szCs w:val="20"/>
    </w:rPr>
  </w:style>
  <w:style w:type="paragraph" w:customStyle="1" w:styleId="159">
    <w:name w:val="标题 41"/>
    <w:basedOn w:val="1"/>
    <w:qFormat/>
    <w:uiPriority w:val="99"/>
    <w:pPr>
      <w:autoSpaceDE w:val="0"/>
      <w:autoSpaceDN w:val="0"/>
      <w:spacing w:before="2"/>
      <w:ind w:left="920"/>
      <w:jc w:val="left"/>
      <w:outlineLvl w:val="4"/>
    </w:pPr>
    <w:rPr>
      <w:rFonts w:ascii="宋体" w:hAnsi="宋体" w:cs="宋体"/>
      <w:b/>
      <w:bCs/>
      <w:kern w:val="0"/>
      <w:sz w:val="24"/>
      <w:lang w:val="zh-CN"/>
    </w:rPr>
  </w:style>
  <w:style w:type="paragraph" w:customStyle="1" w:styleId="160">
    <w:name w:val="标题 11"/>
    <w:basedOn w:val="1"/>
    <w:qFormat/>
    <w:uiPriority w:val="99"/>
    <w:pPr>
      <w:autoSpaceDE w:val="0"/>
      <w:autoSpaceDN w:val="0"/>
      <w:spacing w:before="49"/>
      <w:ind w:left="455"/>
      <w:jc w:val="center"/>
      <w:outlineLvl w:val="1"/>
    </w:pPr>
    <w:rPr>
      <w:rFonts w:ascii="宋体" w:hAnsi="宋体" w:cs="宋体"/>
      <w:b/>
      <w:bCs/>
      <w:kern w:val="0"/>
      <w:sz w:val="36"/>
      <w:szCs w:val="36"/>
      <w:lang w:val="zh-CN"/>
    </w:rPr>
  </w:style>
  <w:style w:type="paragraph" w:customStyle="1" w:styleId="161">
    <w:name w:val="正文粗"/>
    <w:basedOn w:val="1"/>
    <w:next w:val="89"/>
    <w:qFormat/>
    <w:uiPriority w:val="0"/>
    <w:pPr>
      <w:ind w:firstLine="482"/>
      <w:jc w:val="both"/>
    </w:pPr>
    <w:rPr>
      <w:rFonts w:ascii="Times New Roman" w:hAnsi="Times New Roman" w:eastAsia="宋体"/>
      <w:b/>
      <w:color w:val="000000"/>
      <w:sz w:val="24"/>
      <w:szCs w:val="20"/>
    </w:rPr>
  </w:style>
  <w:style w:type="paragraph" w:customStyle="1" w:styleId="162">
    <w:name w:val="表格粗"/>
    <w:basedOn w:val="89"/>
    <w:qFormat/>
    <w:uiPriority w:val="0"/>
    <w:pPr>
      <w:adjustRightInd w:val="0"/>
      <w:snapToGrid w:val="0"/>
      <w:spacing w:line="240" w:lineRule="auto"/>
      <w:ind w:firstLine="0" w:firstLineChars="0"/>
      <w:jc w:val="center"/>
    </w:pPr>
    <w:rPr>
      <w:b/>
      <w:sz w:val="21"/>
      <w:shd w:val="clear" w:color="auto" w:fill="auto"/>
    </w:rPr>
  </w:style>
  <w:style w:type="paragraph" w:customStyle="1" w:styleId="163">
    <w:name w:val="_Style 10"/>
    <w:basedOn w:val="1"/>
    <w:qFormat/>
    <w:uiPriority w:val="0"/>
    <w:rPr>
      <w:szCs w:val="20"/>
    </w:rPr>
  </w:style>
  <w:style w:type="paragraph" w:customStyle="1" w:styleId="164">
    <w:name w:val="表格1"/>
    <w:basedOn w:val="1"/>
    <w:qFormat/>
    <w:uiPriority w:val="99"/>
    <w:pPr>
      <w:spacing w:line="360" w:lineRule="exact"/>
    </w:pPr>
    <w:rPr>
      <w:rFonts w:hAnsi="宋?"/>
    </w:rPr>
  </w:style>
  <w:style w:type="paragraph" w:customStyle="1" w:styleId="165">
    <w:name w:val="zly-图表"/>
    <w:basedOn w:val="8"/>
    <w:qFormat/>
    <w:uiPriority w:val="0"/>
    <w:pPr>
      <w:jc w:val="center"/>
    </w:pPr>
    <w:rPr>
      <w:rFonts w:ascii="Calibri" w:hAnsi="Calibri"/>
    </w:rPr>
  </w:style>
  <w:style w:type="paragraph" w:customStyle="1" w:styleId="166">
    <w:name w:val="zly-正文"/>
    <w:basedOn w:val="1"/>
    <w:qFormat/>
    <w:uiPriority w:val="99"/>
    <w:pPr>
      <w:spacing w:line="360" w:lineRule="auto"/>
      <w:ind w:firstLine="200" w:firstLineChars="200"/>
    </w:pPr>
    <w:rPr>
      <w:rFonts w:ascii="Calibri" w:hAnsi="Calibri"/>
      <w:kern w:val="0"/>
      <w:sz w:val="24"/>
    </w:rPr>
  </w:style>
  <w:style w:type="paragraph" w:customStyle="1" w:styleId="167">
    <w:name w:val="正文文本 (2)"/>
    <w:basedOn w:val="1"/>
    <w:qFormat/>
    <w:uiPriority w:val="0"/>
    <w:pPr>
      <w:shd w:val="clear" w:color="auto" w:fill="FFFFFF"/>
      <w:spacing w:line="466" w:lineRule="exact"/>
      <w:ind w:hanging="520"/>
      <w:jc w:val="distribute"/>
    </w:pPr>
    <w:rPr>
      <w:rFonts w:ascii="MingLiU" w:hAnsi="MingLiU" w:eastAsia="MingLiU"/>
      <w:kern w:val="0"/>
      <w:sz w:val="22"/>
      <w:szCs w:val="22"/>
    </w:rPr>
  </w:style>
  <w:style w:type="paragraph" w:customStyle="1" w:styleId="168">
    <w:name w:val="妇幼正文"/>
    <w:basedOn w:val="1"/>
    <w:qFormat/>
    <w:uiPriority w:val="0"/>
    <w:pPr>
      <w:adjustRightInd w:val="0"/>
      <w:spacing w:line="360" w:lineRule="auto"/>
      <w:ind w:firstLine="480" w:firstLineChars="200"/>
    </w:pPr>
    <w:rPr>
      <w:color w:val="000000"/>
      <w:sz w:val="24"/>
    </w:rPr>
  </w:style>
  <w:style w:type="paragraph" w:customStyle="1" w:styleId="169">
    <w:name w:val="样式 小四 首行缩进:  0.95 厘米 行距: 多倍行距 1.25 字行"/>
    <w:basedOn w:val="1"/>
    <w:qFormat/>
    <w:uiPriority w:val="0"/>
    <w:pPr>
      <w:spacing w:line="360" w:lineRule="auto"/>
      <w:ind w:firstLine="539"/>
    </w:pPr>
    <w:rPr>
      <w:rFonts w:ascii="Times New Roman" w:hAnsi="Times New Roman" w:cs="宋体"/>
      <w:sz w:val="24"/>
      <w:szCs w:val="20"/>
      <w:lang w:bidi="ar-SA"/>
    </w:rPr>
  </w:style>
  <w:style w:type="paragraph" w:customStyle="1" w:styleId="170">
    <w:name w:val="文本正文3"/>
    <w:qFormat/>
    <w:uiPriority w:val="0"/>
    <w:pPr>
      <w:spacing w:line="360" w:lineRule="auto"/>
      <w:ind w:firstLine="177" w:firstLineChars="177"/>
    </w:pPr>
    <w:rPr>
      <w:rFonts w:ascii="Calibri" w:hAnsi="Calibri" w:eastAsia="宋体" w:cs="Times New Roman"/>
      <w:kern w:val="2"/>
      <w:sz w:val="24"/>
      <w:szCs w:val="21"/>
      <w:lang w:val="en-US" w:eastAsia="zh-CN" w:bidi="ar-SA"/>
    </w:rPr>
  </w:style>
  <w:style w:type="paragraph" w:customStyle="1" w:styleId="171">
    <w:name w:val="样式7"/>
    <w:basedOn w:val="123"/>
    <w:qFormat/>
    <w:uiPriority w:val="0"/>
    <w:pPr>
      <w:spacing w:before="0" w:beforeLines="0" w:after="0" w:afterLines="0"/>
      <w:ind w:firstLine="420" w:firstLineChars="200"/>
    </w:pPr>
    <w:rPr>
      <w:rFonts w:ascii="Times New Roman" w:eastAsia="华文中宋"/>
      <w:sz w:val="21"/>
      <w:szCs w:val="21"/>
    </w:rPr>
  </w:style>
  <w:style w:type="character" w:customStyle="1" w:styleId="172">
    <w:name w:val="font31"/>
    <w:basedOn w:val="44"/>
    <w:qFormat/>
    <w:uiPriority w:val="0"/>
    <w:rPr>
      <w:rFonts w:hint="default" w:ascii="Times New Roman" w:hAnsi="Times New Roman" w:cs="Times New Roman"/>
      <w:color w:val="000000"/>
      <w:sz w:val="21"/>
      <w:szCs w:val="21"/>
      <w:u w:val="none"/>
    </w:rPr>
  </w:style>
  <w:style w:type="character" w:customStyle="1" w:styleId="173">
    <w:name w:val="font11"/>
    <w:basedOn w:val="44"/>
    <w:qFormat/>
    <w:uiPriority w:val="0"/>
    <w:rPr>
      <w:rFonts w:hint="default" w:ascii="Calibri" w:hAnsi="Calibri" w:cs="Calibri"/>
      <w:color w:val="000000"/>
      <w:sz w:val="21"/>
      <w:szCs w:val="21"/>
      <w:u w:val="none"/>
    </w:rPr>
  </w:style>
  <w:style w:type="paragraph" w:customStyle="1" w:styleId="174">
    <w:name w:val="正文文本1"/>
    <w:basedOn w:val="1"/>
    <w:qFormat/>
    <w:uiPriority w:val="0"/>
    <w:pPr>
      <w:spacing w:line="480" w:lineRule="exact"/>
      <w:ind w:firstLine="200" w:firstLineChars="200"/>
    </w:pPr>
    <w:rPr>
      <w:color w:val="000000"/>
      <w:sz w:val="24"/>
    </w:rPr>
  </w:style>
  <w:style w:type="paragraph" w:customStyle="1" w:styleId="175">
    <w:name w:val="Char4 Char Char Char"/>
    <w:basedOn w:val="1"/>
    <w:qFormat/>
    <w:uiPriority w:val="0"/>
    <w:pPr>
      <w:adjustRightInd w:val="0"/>
      <w:snapToGrid w:val="0"/>
      <w:spacing w:line="360" w:lineRule="auto"/>
      <w:ind w:firstLine="200" w:firstLineChars="200"/>
    </w:pPr>
    <w:rPr>
      <w:sz w:val="24"/>
      <w:szCs w:val="20"/>
    </w:rPr>
  </w:style>
  <w:style w:type="paragraph" w:customStyle="1" w:styleId="176">
    <w:name w:val="大标题"/>
    <w:basedOn w:val="1"/>
    <w:qFormat/>
    <w:uiPriority w:val="0"/>
    <w:pPr>
      <w:spacing w:line="360" w:lineRule="auto"/>
    </w:pPr>
    <w:rPr>
      <w:rFonts w:ascii="宋体" w:hAnsi="宋体"/>
      <w:b/>
      <w:sz w:val="30"/>
      <w:szCs w:val="24"/>
    </w:rPr>
  </w:style>
  <w:style w:type="paragraph" w:customStyle="1" w:styleId="177">
    <w:name w:val="表格01"/>
    <w:qFormat/>
    <w:uiPriority w:val="0"/>
    <w:pPr>
      <w:jc w:val="center"/>
    </w:pPr>
    <w:rPr>
      <w:rFonts w:ascii="Times New Roman" w:hAnsi="Times New Roman" w:eastAsia="宋体" w:cs="宋体"/>
      <w:kern w:val="2"/>
      <w:sz w:val="21"/>
      <w:szCs w:val="21"/>
      <w:lang w:val="en-US" w:eastAsia="zh-CN" w:bidi="ar-SA"/>
    </w:rPr>
  </w:style>
  <w:style w:type="character" w:customStyle="1" w:styleId="178">
    <w:name w:val="表题 Char"/>
    <w:link w:val="112"/>
    <w:qFormat/>
    <w:uiPriority w:val="0"/>
    <w:rPr>
      <w:rFonts w:ascii="Times New Roman" w:hAnsi="宋体" w:eastAsia="宋体" w:cs="Times New Roman"/>
      <w:b/>
      <w:kern w:val="2"/>
      <w:sz w:val="21"/>
      <w:szCs w:val="24"/>
      <w:lang w:val="en-US" w:eastAsia="zh-CN" w:bidi="ar-SA"/>
    </w:rPr>
  </w:style>
  <w:style w:type="character" w:customStyle="1" w:styleId="179">
    <w:name w:val="-正文 Char"/>
    <w:link w:val="113"/>
    <w:qFormat/>
    <w:uiPriority w:val="0"/>
    <w:rPr>
      <w:rFonts w:cs="宋体"/>
      <w:kern w:val="2"/>
      <w:sz w:val="24"/>
    </w:rPr>
  </w:style>
  <w:style w:type="paragraph" w:customStyle="1" w:styleId="180">
    <w:name w:val="标题-3"/>
    <w:basedOn w:val="1"/>
    <w:qFormat/>
    <w:uiPriority w:val="0"/>
    <w:pPr>
      <w:spacing w:line="480" w:lineRule="exact"/>
      <w:ind w:firstLine="482" w:firstLineChars="200"/>
    </w:pPr>
    <w:rPr>
      <w:rFonts w:cs="宋体"/>
      <w:b/>
      <w:bCs/>
      <w:sz w:val="24"/>
      <w:szCs w:val="20"/>
    </w:rPr>
  </w:style>
  <w:style w:type="character" w:customStyle="1" w:styleId="181">
    <w:name w:val="正文-1 Char"/>
    <w:link w:val="111"/>
    <w:qFormat/>
    <w:uiPriority w:val="0"/>
    <w:rPr>
      <w:rFonts w:ascii="Times New Roman" w:hAnsi="Times New Roman" w:eastAsia="宋体" w:cs="宋体"/>
      <w:kern w:val="2"/>
      <w:sz w:val="24"/>
      <w:lang w:val="en-US" w:eastAsia="zh-CN" w:bidi="ar-SA"/>
    </w:rPr>
  </w:style>
  <w:style w:type="character" w:customStyle="1" w:styleId="182">
    <w:name w:val="标题 2 Char"/>
    <w:link w:val="4"/>
    <w:qFormat/>
    <w:uiPriority w:val="0"/>
    <w:rPr>
      <w:rFonts w:ascii="黑体" w:hAnsi="宋体" w:eastAsia="Times New Roman"/>
      <w:b/>
      <w:bCs/>
      <w:snapToGrid w:val="0"/>
      <w:kern w:val="0"/>
      <w:szCs w:val="20"/>
    </w:rPr>
  </w:style>
  <w:style w:type="paragraph" w:customStyle="1" w:styleId="183">
    <w:name w:val="13"/>
    <w:basedOn w:val="1"/>
    <w:qFormat/>
    <w:uiPriority w:val="0"/>
    <w:pPr>
      <w:wordWrap w:val="0"/>
      <w:autoSpaceDE w:val="0"/>
      <w:autoSpaceDN w:val="0"/>
      <w:adjustRightInd w:val="0"/>
      <w:jc w:val="center"/>
    </w:pPr>
    <w:rPr>
      <w:rFonts w:ascii="Calibri" w:hAnsi="Calibri" w:eastAsia="宋体" w:cs="Times New Roman"/>
      <w:kern w:val="0"/>
      <w:szCs w:val="21"/>
    </w:rPr>
  </w:style>
  <w:style w:type="paragraph" w:customStyle="1" w:styleId="184">
    <w:name w:val="12"/>
    <w:basedOn w:val="1"/>
    <w:link w:val="187"/>
    <w:qFormat/>
    <w:uiPriority w:val="0"/>
    <w:pPr>
      <w:wordWrap w:val="0"/>
      <w:topLinePunct/>
      <w:adjustRightInd w:val="0"/>
      <w:snapToGrid w:val="0"/>
      <w:spacing w:line="360" w:lineRule="auto"/>
      <w:ind w:firstLine="200" w:firstLineChars="200"/>
      <w:jc w:val="left"/>
    </w:pPr>
    <w:rPr>
      <w:sz w:val="24"/>
    </w:rPr>
  </w:style>
  <w:style w:type="paragraph" w:customStyle="1" w:styleId="185">
    <w:name w:val="14"/>
    <w:basedOn w:val="1"/>
    <w:qFormat/>
    <w:uiPriority w:val="0"/>
    <w:pPr>
      <w:tabs>
        <w:tab w:val="right" w:pos="8306"/>
      </w:tabs>
      <w:spacing w:line="360" w:lineRule="auto"/>
      <w:jc w:val="center"/>
    </w:pPr>
    <w:rPr>
      <w:b/>
      <w:bCs/>
      <w:color w:val="000000"/>
      <w:szCs w:val="21"/>
    </w:rPr>
  </w:style>
  <w:style w:type="paragraph" w:customStyle="1" w:styleId="186">
    <w:name w:val="表格内容-龙池"/>
    <w:basedOn w:val="1"/>
    <w:qFormat/>
    <w:uiPriority w:val="0"/>
    <w:pPr>
      <w:autoSpaceDE w:val="0"/>
      <w:autoSpaceDN w:val="0"/>
      <w:adjustRightInd w:val="0"/>
      <w:contextualSpacing/>
      <w:jc w:val="center"/>
    </w:pPr>
    <w:rPr>
      <w:kern w:val="0"/>
      <w:szCs w:val="21"/>
    </w:rPr>
  </w:style>
  <w:style w:type="character" w:customStyle="1" w:styleId="187">
    <w:name w:val="12 Char"/>
    <w:basedOn w:val="44"/>
    <w:link w:val="184"/>
    <w:qFormat/>
    <w:uiPriority w:val="0"/>
    <w:rPr>
      <w:sz w:val="24"/>
    </w:rPr>
  </w:style>
  <w:style w:type="paragraph" w:customStyle="1" w:styleId="188">
    <w:name w:val="正文-龙池"/>
    <w:basedOn w:val="1"/>
    <w:qFormat/>
    <w:uiPriority w:val="0"/>
    <w:pPr>
      <w:autoSpaceDE w:val="0"/>
      <w:autoSpaceDN w:val="0"/>
      <w:adjustRightInd w:val="0"/>
      <w:spacing w:line="360" w:lineRule="auto"/>
      <w:ind w:firstLine="480" w:firstLineChars="200"/>
      <w:contextualSpacing/>
    </w:pPr>
    <w:rPr>
      <w:kern w:val="0"/>
      <w:sz w:val="24"/>
    </w:rPr>
  </w:style>
  <w:style w:type="paragraph" w:customStyle="1" w:styleId="189">
    <w:name w:val="标题-龙池"/>
    <w:basedOn w:val="1"/>
    <w:qFormat/>
    <w:uiPriority w:val="0"/>
    <w:pPr>
      <w:tabs>
        <w:tab w:val="left" w:pos="841"/>
      </w:tabs>
      <w:kinsoku w:val="0"/>
      <w:overflowPunct w:val="0"/>
      <w:autoSpaceDE w:val="0"/>
      <w:autoSpaceDN w:val="0"/>
      <w:adjustRightInd w:val="0"/>
      <w:spacing w:line="360" w:lineRule="auto"/>
      <w:contextualSpacing/>
      <w:jc w:val="center"/>
    </w:pPr>
    <w:rPr>
      <w:b/>
      <w:kern w:val="0"/>
      <w:szCs w:val="21"/>
    </w:rPr>
  </w:style>
  <w:style w:type="paragraph" w:customStyle="1" w:styleId="190">
    <w:name w:val="Body Text Indent"/>
    <w:basedOn w:val="1"/>
    <w:qFormat/>
    <w:uiPriority w:val="0"/>
    <w:pPr>
      <w:spacing w:line="360" w:lineRule="auto"/>
      <w:ind w:firstLine="480"/>
    </w:pPr>
    <w:rPr>
      <w:rFonts w:ascii="宋体"/>
      <w:sz w:val="24"/>
    </w:rPr>
  </w:style>
  <w:style w:type="paragraph" w:customStyle="1" w:styleId="191">
    <w:name w:val="Normal_0"/>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character" w:customStyle="1" w:styleId="192">
    <w:name w:val="font01"/>
    <w:basedOn w:val="44"/>
    <w:qFormat/>
    <w:uiPriority w:val="0"/>
    <w:rPr>
      <w:rFonts w:hint="eastAsia" w:ascii="宋体" w:hAnsi="宋体" w:eastAsia="宋体" w:cs="宋体"/>
      <w:color w:val="000000"/>
      <w:sz w:val="24"/>
      <w:szCs w:val="24"/>
      <w:u w:val="none"/>
      <w:vertAlign w:val="superscript"/>
    </w:rPr>
  </w:style>
  <w:style w:type="paragraph" w:customStyle="1" w:styleId="193">
    <w:name w:val="表格题目"/>
    <w:basedOn w:val="9"/>
    <w:next w:val="194"/>
    <w:qFormat/>
    <w:uiPriority w:val="0"/>
    <w:pPr>
      <w:keepNext/>
    </w:pPr>
    <w:rPr>
      <w:rFonts w:ascii="黑体" w:hAnsi="黑体" w:eastAsia="黑体"/>
      <w:szCs w:val="24"/>
    </w:rPr>
  </w:style>
  <w:style w:type="paragraph" w:customStyle="1" w:styleId="194">
    <w:name w:val="表名、图名"/>
    <w:basedOn w:val="1"/>
    <w:next w:val="1"/>
    <w:qFormat/>
    <w:uiPriority w:val="0"/>
    <w:pPr>
      <w:ind w:firstLine="0" w:firstLineChars="0"/>
      <w:jc w:val="center"/>
    </w:pPr>
    <w:rPr>
      <w:rFonts w:eastAsia="黑体"/>
    </w:rPr>
  </w:style>
  <w:style w:type="character" w:customStyle="1" w:styleId="195">
    <w:name w:val="font51"/>
    <w:basedOn w:val="44"/>
    <w:qFormat/>
    <w:uiPriority w:val="0"/>
    <w:rPr>
      <w:rFonts w:hint="default" w:ascii="Times New Roman" w:hAnsi="Times New Roman" w:cs="Times New Roman"/>
      <w:color w:val="000000"/>
      <w:sz w:val="21"/>
      <w:szCs w:val="21"/>
      <w:u w:val="none"/>
      <w:vertAlign w:val="superscript"/>
    </w:rPr>
  </w:style>
  <w:style w:type="character" w:customStyle="1" w:styleId="196">
    <w:name w:val="font71"/>
    <w:qFormat/>
    <w:uiPriority w:val="0"/>
    <w:rPr>
      <w:rFonts w:hint="eastAsia" w:ascii="宋体" w:hAnsi="宋体" w:eastAsia="宋体" w:cs="宋体"/>
      <w:b/>
      <w:color w:val="000000"/>
      <w:sz w:val="21"/>
      <w:szCs w:val="21"/>
      <w:u w:val="none"/>
    </w:rPr>
  </w:style>
  <w:style w:type="character" w:customStyle="1" w:styleId="197">
    <w:name w:val="font41"/>
    <w:qFormat/>
    <w:uiPriority w:val="0"/>
    <w:rPr>
      <w:rFonts w:hint="eastAsia" w:ascii="宋体" w:hAnsi="宋体" w:eastAsia="宋体" w:cs="宋体"/>
      <w:color w:val="000000"/>
      <w:sz w:val="21"/>
      <w:szCs w:val="21"/>
      <w:u w:val="none"/>
    </w:rPr>
  </w:style>
  <w:style w:type="character" w:customStyle="1" w:styleId="198">
    <w:name w:val="font81"/>
    <w:basedOn w:val="44"/>
    <w:qFormat/>
    <w:uiPriority w:val="0"/>
    <w:rPr>
      <w:rFonts w:hint="eastAsia" w:ascii="宋体" w:hAnsi="宋体" w:eastAsia="宋体" w:cs="宋体"/>
      <w:color w:val="000000"/>
      <w:sz w:val="24"/>
      <w:szCs w:val="24"/>
      <w:u w:val="none"/>
    </w:rPr>
  </w:style>
  <w:style w:type="character" w:customStyle="1" w:styleId="199">
    <w:name w:val="font101"/>
    <w:basedOn w:val="44"/>
    <w:qFormat/>
    <w:uiPriority w:val="0"/>
    <w:rPr>
      <w:rFonts w:hint="default" w:ascii="Times New Roman" w:hAnsi="Times New Roman" w:cs="Times New Roman"/>
      <w:color w:val="000000"/>
      <w:sz w:val="21"/>
      <w:szCs w:val="21"/>
      <w:u w:val="none"/>
      <w:vertAlign w:val="superscript"/>
    </w:rPr>
  </w:style>
  <w:style w:type="paragraph" w:customStyle="1" w:styleId="200">
    <w:name w:val="Normal_0_0"/>
    <w:qFormat/>
    <w:uiPriority w:val="0"/>
    <w:pPr>
      <w:widowControl w:val="0"/>
      <w:spacing w:line="360" w:lineRule="auto"/>
      <w:ind w:firstLine="200" w:firstLineChars="200"/>
      <w:jc w:val="both"/>
    </w:pPr>
    <w:rPr>
      <w:rFonts w:ascii="Times New Roman" w:hAnsi="Times New Roman" w:eastAsia="仿宋" w:cs="Times New Roman"/>
      <w:kern w:val="2"/>
      <w:sz w:val="28"/>
      <w:szCs w:val="21"/>
      <w:lang w:bidi="ar-SA"/>
    </w:rPr>
  </w:style>
  <w:style w:type="table" w:customStyle="1" w:styleId="201">
    <w:name w:val="Table Grid_0"/>
    <w:basedOn w:val="42"/>
    <w:qFormat/>
    <w:uiPriority w:val="0"/>
    <w:rPr>
      <w:rFonts w:ascii="Times New Roman" w:hAnsi="Times New Roman" w:eastAsia="仿宋"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02">
    <w:name w:val="正文(首行缩进)宋旭峰"/>
    <w:basedOn w:val="8"/>
    <w:qFormat/>
    <w:uiPriority w:val="0"/>
    <w:pPr>
      <w:spacing w:line="360" w:lineRule="auto"/>
      <w:ind w:firstLine="480" w:firstLineChars="200"/>
    </w:pPr>
    <w:rPr>
      <w:snapToGrid w:val="0"/>
      <w:color w:val="0000FF"/>
      <w:kern w:val="0"/>
      <w:sz w:val="24"/>
      <w:szCs w:val="24"/>
    </w:rPr>
  </w:style>
  <w:style w:type="paragraph" w:customStyle="1" w:styleId="203">
    <w:name w:val="content"/>
    <w:basedOn w:val="1"/>
    <w:qFormat/>
    <w:uiPriority w:val="0"/>
    <w:pPr>
      <w:widowControl/>
      <w:spacing w:before="100" w:beforeAutospacing="1" w:after="100" w:afterAutospacing="1" w:line="360" w:lineRule="auto"/>
    </w:pPr>
    <w:rPr>
      <w:rFonts w:ascii="宋体" w:hAnsi="宋体"/>
      <w:kern w:val="0"/>
      <w:sz w:val="18"/>
      <w:szCs w:val="18"/>
    </w:rPr>
  </w:style>
  <w:style w:type="paragraph" w:customStyle="1" w:styleId="204">
    <w:name w:val="a正文"/>
    <w:basedOn w:val="1"/>
    <w:qFormat/>
    <w:uiPriority w:val="0"/>
    <w:pPr>
      <w:spacing w:line="360" w:lineRule="auto"/>
      <w:ind w:firstLine="200" w:firstLineChars="200"/>
    </w:pPr>
    <w:rPr>
      <w:rFonts w:ascii="Times New Roman" w:hAnsi="Times New Roman"/>
      <w:sz w:val="24"/>
      <w:szCs w:val="28"/>
    </w:rPr>
  </w:style>
  <w:style w:type="character" w:customStyle="1" w:styleId="205">
    <w:name w:val="nr1"/>
    <w:qFormat/>
    <w:uiPriority w:val="0"/>
    <w:rPr>
      <w:rFonts w:hint="default" w:ascii="ˎ̥" w:hAnsi="ˎ̥"/>
      <w:color w:val="000000"/>
      <w:sz w:val="21"/>
      <w:szCs w:val="21"/>
      <w:u w:val="none"/>
    </w:rPr>
  </w:style>
  <w:style w:type="paragraph" w:customStyle="1" w:styleId="206">
    <w:name w:val="1表内字"/>
    <w:next w:val="1"/>
    <w:qFormat/>
    <w:uiPriority w:val="0"/>
    <w:pPr>
      <w:shd w:val="clear" w:color="auto" w:fill="FFFFFF"/>
      <w:jc w:val="center"/>
    </w:pPr>
    <w:rPr>
      <w:rFonts w:ascii="Times New Roman" w:hAnsi="Times New Roman" w:eastAsia="宋体" w:cs="Times New Roman"/>
      <w:bCs/>
      <w:color w:val="000000"/>
      <w:kern w:val="2"/>
      <w:sz w:val="21"/>
      <w:szCs w:val="21"/>
      <w:lang w:val="en-US" w:eastAsia="zh-CN" w:bidi="ar-SA"/>
    </w:rPr>
  </w:style>
  <w:style w:type="paragraph" w:customStyle="1" w:styleId="207">
    <w:name w:val="TOC Heading"/>
    <w:basedOn w:val="3"/>
    <w:next w:val="1"/>
    <w:semiHidden/>
    <w:unhideWhenUsed/>
    <w:qFormat/>
    <w:uiPriority w:val="39"/>
    <w:pPr>
      <w:keepLines/>
      <w:widowControl/>
      <w:overflowPunct/>
      <w:snapToGrid/>
      <w:spacing w:before="480" w:after="0" w:line="276" w:lineRule="auto"/>
      <w:ind w:left="0" w:firstLine="0"/>
      <w:jc w:val="left"/>
      <w:outlineLvl w:val="9"/>
    </w:pPr>
    <w:rPr>
      <w:rFonts w:ascii="Cambria" w:hAnsi="Cambria" w:eastAsia="宋体"/>
      <w:color w:val="365F91"/>
      <w:kern w:val="0"/>
      <w:sz w:val="28"/>
      <w:szCs w:val="28"/>
    </w:rPr>
  </w:style>
  <w:style w:type="paragraph" w:customStyle="1" w:styleId="208">
    <w:name w:val="真·正文"/>
    <w:basedOn w:val="1"/>
    <w:next w:val="1"/>
    <w:qFormat/>
    <w:uiPriority w:val="0"/>
    <w:pPr>
      <w:ind w:firstLine="200"/>
    </w:pPr>
    <w:rPr>
      <w:rFonts w:ascii="Calibri"/>
      <w:sz w:val="24"/>
    </w:rPr>
  </w:style>
  <w:style w:type="paragraph" w:customStyle="1" w:styleId="209">
    <w:name w:val="正文A"/>
    <w:basedOn w:val="1"/>
    <w:qFormat/>
    <w:uiPriority w:val="0"/>
    <w:pPr>
      <w:spacing w:line="500" w:lineRule="exact"/>
      <w:ind w:firstLine="480" w:firstLineChars="200"/>
    </w:pPr>
    <w:rPr>
      <w:rFonts w:eastAsia="华文仿宋" w:cs="华文仿宋"/>
      <w:kern w:val="0"/>
      <w:sz w:val="24"/>
    </w:rPr>
  </w:style>
  <w:style w:type="paragraph" w:customStyle="1" w:styleId="210">
    <w:name w:val="表格正文(康健城)"/>
    <w:basedOn w:val="1"/>
    <w:qFormat/>
    <w:uiPriority w:val="0"/>
    <w:pPr>
      <w:adjustRightInd w:val="0"/>
      <w:snapToGrid w:val="0"/>
      <w:jc w:val="center"/>
    </w:pPr>
    <w:rPr>
      <w:szCs w:val="21"/>
    </w:rPr>
  </w:style>
  <w:style w:type="paragraph" w:customStyle="1" w:styleId="211">
    <w:name w:val="图件标题"/>
    <w:basedOn w:val="1"/>
    <w:qFormat/>
    <w:uiPriority w:val="0"/>
    <w:pPr>
      <w:ind w:firstLine="0" w:firstLineChars="0"/>
      <w:jc w:val="center"/>
    </w:pPr>
    <w:rPr>
      <w:rFonts w:ascii="Times New Roman" w:hAnsi="Times New Roman" w:eastAsia="宋体"/>
      <w:b/>
    </w:rPr>
  </w:style>
  <w:style w:type="character" w:customStyle="1" w:styleId="212">
    <w:name w:val="Default 字符"/>
    <w:link w:val="52"/>
    <w:qFormat/>
    <w:uiPriority w:val="0"/>
    <w:rPr>
      <w:rFonts w:ascii="宋体" w:hAnsi="Times New Roman" w:eastAsia="宋体" w:cs="宋体"/>
      <w:color w:val="000000"/>
      <w:sz w:val="24"/>
      <w:szCs w:val="24"/>
      <w:lang w:val="en-US" w:eastAsia="zh-CN" w:bidi="ar-SA"/>
    </w:rPr>
  </w:style>
  <w:style w:type="paragraph" w:customStyle="1" w:styleId="213">
    <w:name w:val="图表标题"/>
    <w:basedOn w:val="57"/>
    <w:next w:val="1"/>
    <w:qFormat/>
    <w:uiPriority w:val="0"/>
    <w:pPr>
      <w:jc w:val="center"/>
    </w:pPr>
    <w:rPr>
      <w:b/>
      <w:color w:val="000000"/>
      <w:szCs w:val="21"/>
    </w:rPr>
  </w:style>
  <w:style w:type="paragraph" w:customStyle="1" w:styleId="214">
    <w:name w:val="W正文"/>
    <w:basedOn w:val="1"/>
    <w:qFormat/>
    <w:uiPriority w:val="0"/>
    <w:pPr>
      <w:adjustRightInd w:val="0"/>
      <w:snapToGrid w:val="0"/>
      <w:spacing w:line="360" w:lineRule="auto"/>
      <w:ind w:firstLine="200" w:firstLineChars="200"/>
    </w:pPr>
    <w:rPr>
      <w:kern w:val="0"/>
      <w:sz w:val="24"/>
      <w:szCs w:val="20"/>
    </w:rPr>
  </w:style>
  <w:style w:type="paragraph" w:customStyle="1" w:styleId="215">
    <w:name w:val="标题3"/>
    <w:basedOn w:val="5"/>
    <w:qFormat/>
    <w:uiPriority w:val="0"/>
    <w:pPr>
      <w:keepLines w:val="0"/>
      <w:widowControl/>
      <w:ind w:firstLine="200" w:firstLineChars="200"/>
      <w:jc w:val="center"/>
    </w:pPr>
    <w:rPr>
      <w:bCs w:val="0"/>
      <w:color w:val="000000"/>
      <w:szCs w:val="28"/>
    </w:rPr>
  </w:style>
  <w:style w:type="paragraph" w:customStyle="1" w:styleId="216">
    <w:name w:val="！表格中"/>
    <w:basedOn w:val="1"/>
    <w:next w:val="1"/>
    <w:qFormat/>
    <w:uiPriority w:val="0"/>
    <w:pPr>
      <w:spacing w:line="240" w:lineRule="auto"/>
      <w:ind w:firstLine="0" w:firstLineChars="0"/>
      <w:jc w:val="center"/>
    </w:pPr>
    <w:rPr>
      <w:sz w:val="18"/>
    </w:rPr>
  </w:style>
  <w:style w:type="character" w:customStyle="1" w:styleId="217">
    <w:name w:val="font91"/>
    <w:qFormat/>
    <w:uiPriority w:val="0"/>
    <w:rPr>
      <w:rFonts w:hint="eastAsia" w:ascii="宋体" w:hAnsi="宋体" w:eastAsia="宋体" w:cs="宋体"/>
      <w:b/>
      <w:color w:val="000000"/>
      <w:sz w:val="21"/>
      <w:szCs w:val="21"/>
      <w:u w:val="none"/>
    </w:rPr>
  </w:style>
  <w:style w:type="character" w:customStyle="1" w:styleId="218">
    <w:name w:val="font12"/>
    <w:qFormat/>
    <w:uiPriority w:val="0"/>
    <w:rPr>
      <w:rFonts w:hint="default" w:ascii="Times New Roman" w:hAnsi="Times New Roman" w:cs="Times New Roman"/>
      <w:b/>
      <w:color w:val="000000"/>
      <w:sz w:val="21"/>
      <w:szCs w:val="21"/>
      <w:u w:val="none"/>
    </w:rPr>
  </w:style>
  <w:style w:type="character" w:customStyle="1" w:styleId="219">
    <w:name w:val="font111"/>
    <w:qFormat/>
    <w:uiPriority w:val="0"/>
    <w:rPr>
      <w:rFonts w:hint="default" w:ascii="Times New Roman" w:hAnsi="Times New Roman" w:cs="Times New Roman"/>
      <w:color w:val="000000"/>
      <w:sz w:val="21"/>
      <w:szCs w:val="21"/>
      <w:u w:val="none"/>
    </w:rPr>
  </w:style>
  <w:style w:type="paragraph" w:customStyle="1" w:styleId="220">
    <w:name w:val="样式 正文"/>
    <w:basedOn w:val="1"/>
    <w:next w:val="1"/>
    <w:qFormat/>
    <w:uiPriority w:val="0"/>
    <w:pPr>
      <w:spacing w:line="360" w:lineRule="auto"/>
      <w:ind w:firstLine="200" w:firstLineChars="200"/>
    </w:pPr>
    <w:rPr>
      <w:rFonts w:eastAsia="宋体"/>
      <w:kern w:val="2"/>
      <w:sz w:val="24"/>
      <w:szCs w:val="32"/>
      <w:lang w:val="en-US" w:eastAsia="zh-CN" w:bidi="ar-SA"/>
    </w:rPr>
  </w:style>
  <w:style w:type="paragraph" w:customStyle="1" w:styleId="221">
    <w:name w:val="正文样式-yu"/>
    <w:basedOn w:val="1"/>
    <w:qFormat/>
    <w:uiPriority w:val="0"/>
    <w:pPr>
      <w:spacing w:line="360" w:lineRule="auto"/>
    </w:pPr>
    <w:rPr>
      <w:rFonts w:ascii="宋体" w:hAnsi="宋体"/>
      <w:kern w:val="0"/>
      <w:sz w:val="28"/>
      <w:szCs w:val="20"/>
      <w:lang w:val="zh-CN"/>
    </w:rPr>
  </w:style>
  <w:style w:type="paragraph" w:customStyle="1" w:styleId="222">
    <w:name w:val="缩进"/>
    <w:basedOn w:val="1"/>
    <w:qFormat/>
    <w:uiPriority w:val="99"/>
    <w:pPr>
      <w:widowControl/>
      <w:autoSpaceDE w:val="0"/>
      <w:autoSpaceDN w:val="0"/>
      <w:adjustRightInd w:val="0"/>
      <w:spacing w:line="400" w:lineRule="atLeast"/>
      <w:ind w:firstLine="425"/>
      <w:jc w:val="left"/>
    </w:pPr>
    <w:rPr>
      <w:kern w:val="0"/>
      <w:sz w:val="24"/>
      <w:szCs w:val="20"/>
    </w:rPr>
  </w:style>
  <w:style w:type="paragraph" w:customStyle="1" w:styleId="223">
    <w:name w:val="xz标题4"/>
    <w:basedOn w:val="6"/>
    <w:qFormat/>
    <w:uiPriority w:val="0"/>
    <w:pPr>
      <w:numPr>
        <w:ilvl w:val="0"/>
        <w:numId w:val="0"/>
      </w:numPr>
      <w:tabs>
        <w:tab w:val="left" w:pos="360"/>
      </w:tabs>
      <w:adjustRightInd/>
      <w:spacing w:before="0" w:after="0" w:line="360" w:lineRule="auto"/>
      <w:textAlignment w:val="auto"/>
    </w:pPr>
    <w:rPr>
      <w:rFonts w:eastAsia="宋体"/>
      <w:bCs/>
      <w:kern w:val="2"/>
      <w:sz w:val="28"/>
      <w:szCs w:val="28"/>
    </w:rPr>
  </w:style>
  <w:style w:type="paragraph" w:customStyle="1" w:styleId="224">
    <w:name w:val="样式5"/>
    <w:basedOn w:val="1"/>
    <w:link w:val="269"/>
    <w:qFormat/>
    <w:uiPriority w:val="0"/>
    <w:pPr>
      <w:spacing w:line="360" w:lineRule="auto"/>
      <w:ind w:firstLine="1446" w:firstLineChars="200"/>
      <w:jc w:val="both"/>
    </w:pPr>
    <w:rPr>
      <w:sz w:val="24"/>
    </w:rPr>
  </w:style>
  <w:style w:type="character" w:customStyle="1" w:styleId="225">
    <w:name w:val="p Char"/>
    <w:link w:val="149"/>
    <w:qFormat/>
    <w:uiPriority w:val="0"/>
    <w:rPr>
      <w:kern w:val="0"/>
      <w:sz w:val="20"/>
      <w:szCs w:val="20"/>
    </w:rPr>
  </w:style>
  <w:style w:type="paragraph" w:customStyle="1" w:styleId="226">
    <w:name w:val="大表格正文"/>
    <w:basedOn w:val="1"/>
    <w:qFormat/>
    <w:uiPriority w:val="0"/>
    <w:pPr>
      <w:spacing w:line="240" w:lineRule="auto"/>
      <w:ind w:firstLine="0" w:firstLineChars="0"/>
      <w:jc w:val="center"/>
    </w:pPr>
  </w:style>
  <w:style w:type="paragraph" w:customStyle="1" w:styleId="227">
    <w:name w:val="标准正文"/>
    <w:basedOn w:val="1"/>
    <w:qFormat/>
    <w:uiPriority w:val="0"/>
    <w:pPr>
      <w:spacing w:line="360" w:lineRule="auto"/>
      <w:ind w:firstLine="200" w:firstLineChars="200"/>
      <w:jc w:val="both"/>
    </w:pPr>
    <w:rPr>
      <w:sz w:val="24"/>
      <w:szCs w:val="22"/>
    </w:rPr>
  </w:style>
  <w:style w:type="paragraph" w:customStyle="1" w:styleId="228">
    <w:name w:val="样式 正文缩进 + 宋体 行距: 固定值 22 磅"/>
    <w:basedOn w:val="8"/>
    <w:qFormat/>
    <w:uiPriority w:val="0"/>
    <w:pPr>
      <w:ind w:firstLine="0" w:firstLineChars="0"/>
    </w:pPr>
    <w:rPr>
      <w:rFonts w:ascii="Arial Unicode MS" w:hAnsi="Arial Unicode MS" w:cs="宋体"/>
      <w:szCs w:val="20"/>
    </w:rPr>
  </w:style>
  <w:style w:type="paragraph" w:customStyle="1" w:styleId="229">
    <w:name w:val="样式 样式 样式 样式 小四 左 首行缩进:  2 字符 + 首行缩进:  2 字符 Char + 右  0 字符1 + 首行缩...3"/>
    <w:basedOn w:val="1"/>
    <w:qFormat/>
    <w:uiPriority w:val="0"/>
    <w:pPr>
      <w:adjustRightInd w:val="0"/>
      <w:spacing w:line="360" w:lineRule="auto"/>
      <w:ind w:firstLine="480" w:firstLineChars="200"/>
      <w:jc w:val="left"/>
      <w:textAlignment w:val="baseline"/>
    </w:pPr>
    <w:rPr>
      <w:rFonts w:cs="宋体"/>
      <w:sz w:val="24"/>
      <w:szCs w:val="20"/>
    </w:rPr>
  </w:style>
  <w:style w:type="paragraph" w:customStyle="1" w:styleId="230">
    <w:name w:val="正文-环评"/>
    <w:basedOn w:val="8"/>
    <w:qFormat/>
    <w:uiPriority w:val="0"/>
    <w:pPr>
      <w:spacing w:line="480" w:lineRule="exact"/>
      <w:ind w:firstLineChars="0"/>
    </w:pPr>
    <w:rPr>
      <w:rFonts w:eastAsia="仿宋"/>
      <w:bCs/>
      <w:sz w:val="28"/>
      <w:szCs w:val="28"/>
    </w:rPr>
  </w:style>
  <w:style w:type="paragraph" w:customStyle="1" w:styleId="231">
    <w:name w:val="环评正文"/>
    <w:basedOn w:val="1"/>
    <w:qFormat/>
    <w:uiPriority w:val="0"/>
    <w:pPr>
      <w:spacing w:line="500" w:lineRule="exact"/>
      <w:ind w:firstLine="200" w:firstLineChars="200"/>
      <w:jc w:val="left"/>
    </w:pPr>
    <w:rPr>
      <w:kern w:val="0"/>
      <w:sz w:val="24"/>
      <w:szCs w:val="20"/>
    </w:rPr>
  </w:style>
  <w:style w:type="paragraph" w:customStyle="1" w:styleId="232">
    <w:name w:val="_正文格式"/>
    <w:basedOn w:val="1"/>
    <w:qFormat/>
    <w:uiPriority w:val="0"/>
    <w:pPr>
      <w:spacing w:line="500" w:lineRule="exact"/>
      <w:ind w:firstLine="567"/>
      <w:jc w:val="left"/>
    </w:pPr>
    <w:rPr>
      <w:sz w:val="24"/>
    </w:rPr>
  </w:style>
  <w:style w:type="paragraph" w:customStyle="1" w:styleId="233">
    <w:name w:val="表格内"/>
    <w:basedOn w:val="1"/>
    <w:qFormat/>
    <w:uiPriority w:val="0"/>
    <w:pPr>
      <w:spacing w:line="360" w:lineRule="exact"/>
      <w:jc w:val="center"/>
    </w:pPr>
    <w:rPr>
      <w:rFonts w:ascii="Times New Roman" w:hAnsi="Times New Roman" w:cs="Times New Roman"/>
      <w:snapToGrid w:val="0"/>
      <w:szCs w:val="21"/>
    </w:rPr>
  </w:style>
  <w:style w:type="paragraph" w:customStyle="1" w:styleId="234">
    <w:name w:val="报告书正文"/>
    <w:basedOn w:val="1"/>
    <w:qFormat/>
    <w:uiPriority w:val="0"/>
    <w:pPr>
      <w:spacing w:line="360" w:lineRule="auto"/>
      <w:ind w:firstLine="480" w:firstLineChars="200"/>
    </w:pPr>
    <w:rPr>
      <w:rFonts w:ascii="Calibri" w:hAnsi="Calibri"/>
      <w:sz w:val="24"/>
    </w:rPr>
  </w:style>
  <w:style w:type="paragraph" w:customStyle="1" w:styleId="235">
    <w:name w:val="小标题"/>
    <w:basedOn w:val="95"/>
    <w:qFormat/>
    <w:uiPriority w:val="0"/>
    <w:pPr>
      <w:numPr>
        <w:ilvl w:val="0"/>
        <w:numId w:val="3"/>
      </w:numPr>
      <w:ind w:left="0" w:firstLine="200"/>
    </w:pPr>
    <w:rPr>
      <w:rFonts w:cs="Times New Roman"/>
      <w:b/>
    </w:rPr>
  </w:style>
  <w:style w:type="paragraph" w:customStyle="1" w:styleId="236">
    <w:name w:val="文本"/>
    <w:basedOn w:val="1"/>
    <w:qFormat/>
    <w:uiPriority w:val="0"/>
    <w:pPr>
      <w:adjustRightInd w:val="0"/>
      <w:snapToGrid w:val="0"/>
      <w:spacing w:line="360" w:lineRule="auto"/>
      <w:ind w:firstLine="480" w:firstLineChars="200"/>
      <w:jc w:val="left"/>
    </w:pPr>
    <w:rPr>
      <w:sz w:val="24"/>
      <w:szCs w:val="24"/>
    </w:rPr>
  </w:style>
  <w:style w:type="paragraph" w:customStyle="1" w:styleId="237">
    <w:name w:val="正文(首行缩进)"/>
    <w:basedOn w:val="1"/>
    <w:next w:val="1"/>
    <w:qFormat/>
    <w:uiPriority w:val="0"/>
    <w:pPr>
      <w:adjustRightInd w:val="0"/>
      <w:spacing w:line="360" w:lineRule="auto"/>
      <w:ind w:firstLine="540" w:firstLineChars="225"/>
      <w:textAlignment w:val="baseline"/>
    </w:pPr>
    <w:rPr>
      <w:color w:val="000000"/>
      <w:sz w:val="24"/>
    </w:rPr>
  </w:style>
  <w:style w:type="paragraph" w:customStyle="1" w:styleId="238">
    <w:name w:val="我"/>
    <w:basedOn w:val="1"/>
    <w:qFormat/>
    <w:uiPriority w:val="0"/>
    <w:pPr>
      <w:spacing w:line="360" w:lineRule="auto"/>
      <w:ind w:firstLine="640" w:firstLineChars="200"/>
    </w:pPr>
    <w:rPr>
      <w:kern w:val="0"/>
      <w:sz w:val="24"/>
      <w:szCs w:val="20"/>
    </w:rPr>
  </w:style>
  <w:style w:type="paragraph" w:customStyle="1" w:styleId="239">
    <w:name w:val="！正文"/>
    <w:basedOn w:val="1"/>
    <w:qFormat/>
    <w:uiPriority w:val="0"/>
    <w:pPr>
      <w:spacing w:line="460" w:lineRule="exact"/>
      <w:ind w:firstLine="200" w:firstLineChars="200"/>
    </w:pPr>
    <w:rPr>
      <w:spacing w:val="-2"/>
      <w:kern w:val="0"/>
      <w:sz w:val="24"/>
      <w:szCs w:val="20"/>
    </w:rPr>
  </w:style>
  <w:style w:type="paragraph" w:customStyle="1" w:styleId="240">
    <w:name w:val="rpt_表项"/>
    <w:basedOn w:val="1"/>
    <w:qFormat/>
    <w:uiPriority w:val="0"/>
    <w:pPr>
      <w:spacing w:before="60" w:after="60"/>
      <w:jc w:val="center"/>
    </w:pPr>
    <w:rPr>
      <w:rFonts w:cs="宋体"/>
      <w:sz w:val="22"/>
      <w:szCs w:val="20"/>
    </w:rPr>
  </w:style>
  <w:style w:type="paragraph" w:customStyle="1" w:styleId="241">
    <w:name w:val="表题注"/>
    <w:basedOn w:val="9"/>
    <w:qFormat/>
    <w:uiPriority w:val="0"/>
    <w:pPr>
      <w:jc w:val="center"/>
    </w:pPr>
    <w:rPr>
      <w:rFonts w:ascii="宋体" w:hAnsi="宋体" w:eastAsia="宋体" w:cs="宋体"/>
      <w:bCs/>
      <w:sz w:val="24"/>
    </w:rPr>
  </w:style>
  <w:style w:type="paragraph" w:customStyle="1" w:styleId="242">
    <w:name w:val="样式 样式 表格内文字 + 宋体 + Times New Roman"/>
    <w:basedOn w:val="1"/>
    <w:qFormat/>
    <w:uiPriority w:val="0"/>
    <w:pPr>
      <w:adjustRightInd w:val="0"/>
      <w:snapToGrid w:val="0"/>
      <w:spacing w:line="320" w:lineRule="exact"/>
      <w:jc w:val="center"/>
    </w:pPr>
    <w:rPr>
      <w:b/>
    </w:rPr>
  </w:style>
  <w:style w:type="paragraph" w:customStyle="1" w:styleId="243">
    <w:name w:val="表头标题格式"/>
    <w:basedOn w:val="1"/>
    <w:qFormat/>
    <w:uiPriority w:val="0"/>
    <w:pPr>
      <w:tabs>
        <w:tab w:val="left" w:pos="360"/>
        <w:tab w:val="left" w:pos="1620"/>
      </w:tabs>
      <w:ind w:firstLine="0" w:firstLineChars="0"/>
      <w:jc w:val="center"/>
    </w:pPr>
    <w:rPr>
      <w:rFonts w:ascii="黑体" w:hAnsi="黑体" w:eastAsia="黑体"/>
      <w:b/>
      <w:bCs/>
      <w:sz w:val="21"/>
      <w:szCs w:val="24"/>
    </w:rPr>
  </w:style>
  <w:style w:type="paragraph" w:customStyle="1" w:styleId="244">
    <w:name w:val="无间隔1"/>
    <w:next w:val="1"/>
    <w:qFormat/>
    <w:uiPriority w:val="1"/>
    <w:pPr>
      <w:widowControl w:val="0"/>
      <w:spacing w:line="240" w:lineRule="exact"/>
      <w:jc w:val="center"/>
    </w:pPr>
    <w:rPr>
      <w:rFonts w:ascii="Arial Unicode MS" w:hAnsi="Arial Unicode MS" w:eastAsia="宋体" w:cs="Times New Roman"/>
      <w:kern w:val="2"/>
      <w:sz w:val="21"/>
      <w:szCs w:val="24"/>
      <w:lang w:val="en-US" w:eastAsia="zh-CN" w:bidi="ar-SA"/>
    </w:rPr>
  </w:style>
  <w:style w:type="paragraph" w:customStyle="1" w:styleId="245">
    <w:name w:val="样式 正文 行距: 固定值 25 磅"/>
    <w:qFormat/>
    <w:uiPriority w:val="0"/>
    <w:pPr>
      <w:widowControl w:val="0"/>
      <w:adjustRightInd w:val="0"/>
      <w:spacing w:line="500" w:lineRule="exact"/>
      <w:ind w:firstLine="200" w:firstLineChars="200"/>
      <w:jc w:val="both"/>
    </w:pPr>
    <w:rPr>
      <w:rFonts w:ascii="Times New Roman" w:hAnsi="Times New Roman" w:eastAsia="宋体" w:cs="宋体"/>
      <w:kern w:val="2"/>
      <w:sz w:val="24"/>
      <w:szCs w:val="24"/>
      <w:lang w:val="en-US" w:eastAsia="zh-CN" w:bidi="ar-SA"/>
    </w:rPr>
  </w:style>
  <w:style w:type="paragraph" w:customStyle="1" w:styleId="246">
    <w:name w:val="三级"/>
    <w:basedOn w:val="1"/>
    <w:qFormat/>
    <w:uiPriority w:val="0"/>
    <w:pPr>
      <w:adjustRightInd w:val="0"/>
      <w:snapToGrid w:val="0"/>
      <w:spacing w:line="360" w:lineRule="auto"/>
      <w:jc w:val="left"/>
      <w:outlineLvl w:val="2"/>
    </w:pPr>
    <w:rPr>
      <w:b/>
      <w:kern w:val="0"/>
      <w:szCs w:val="24"/>
    </w:rPr>
  </w:style>
  <w:style w:type="paragraph" w:customStyle="1" w:styleId="247">
    <w:name w:val="王 表格文字"/>
    <w:basedOn w:val="1"/>
    <w:qFormat/>
    <w:uiPriority w:val="0"/>
    <w:pPr>
      <w:jc w:val="center"/>
    </w:pPr>
    <w:rPr>
      <w:rFonts w:eastAsia="仿宋_GB2312"/>
      <w:snapToGrid w:val="0"/>
    </w:rPr>
  </w:style>
  <w:style w:type="paragraph" w:customStyle="1" w:styleId="248">
    <w:name w:val="Char Char Char Char Char Char Char Char Char Char Char Char Char Char Char Char Char Char1 Char Char Char Char Char Char Char"/>
    <w:basedOn w:val="1"/>
    <w:qFormat/>
    <w:uiPriority w:val="0"/>
  </w:style>
  <w:style w:type="paragraph" w:customStyle="1" w:styleId="249">
    <w:name w:val="表格5号字"/>
    <w:qFormat/>
    <w:uiPriority w:val="0"/>
    <w:pPr>
      <w:widowControl w:val="0"/>
      <w:jc w:val="center"/>
    </w:pPr>
    <w:rPr>
      <w:rFonts w:ascii="Times New Roman" w:hAnsi="Times New Roman" w:eastAsia="宋体" w:cs="Times New Roman"/>
      <w:kern w:val="2"/>
      <w:sz w:val="21"/>
      <w:szCs w:val="21"/>
      <w:lang w:val="en-US" w:eastAsia="zh-CN" w:bidi="ar-SA"/>
    </w:rPr>
  </w:style>
  <w:style w:type="paragraph" w:customStyle="1" w:styleId="250">
    <w:name w:val="表"/>
    <w:basedOn w:val="1"/>
    <w:qFormat/>
    <w:uiPriority w:val="0"/>
    <w:pPr>
      <w:widowControl/>
      <w:jc w:val="center"/>
    </w:pPr>
    <w:rPr>
      <w:bCs/>
      <w:kern w:val="0"/>
      <w:sz w:val="21"/>
      <w:szCs w:val="21"/>
    </w:rPr>
  </w:style>
  <w:style w:type="paragraph" w:customStyle="1" w:styleId="251">
    <w:name w:val="x正文"/>
    <w:basedOn w:val="1"/>
    <w:qFormat/>
    <w:uiPriority w:val="0"/>
    <w:pPr>
      <w:adjustRightInd/>
      <w:spacing w:line="360" w:lineRule="auto"/>
      <w:ind w:firstLine="480" w:firstLineChars="200"/>
      <w:jc w:val="both"/>
      <w:textAlignment w:val="auto"/>
    </w:pPr>
    <w:rPr>
      <w:kern w:val="2"/>
      <w:sz w:val="24"/>
      <w:szCs w:val="24"/>
    </w:rPr>
  </w:style>
  <w:style w:type="table" w:customStyle="1" w:styleId="252">
    <w:name w:val="Table Normal"/>
    <w:basedOn w:val="42"/>
    <w:unhideWhenUsed/>
    <w:qFormat/>
    <w:uiPriority w:val="0"/>
    <w:tblPr>
      <w:tblCellMar>
        <w:top w:w="0" w:type="dxa"/>
        <w:left w:w="0" w:type="dxa"/>
        <w:bottom w:w="0" w:type="dxa"/>
        <w:right w:w="0" w:type="dxa"/>
      </w:tblCellMar>
    </w:tblPr>
  </w:style>
  <w:style w:type="character" w:customStyle="1" w:styleId="253">
    <w:name w:val="10"/>
    <w:basedOn w:val="44"/>
    <w:qFormat/>
    <w:uiPriority w:val="0"/>
    <w:rPr>
      <w:rFonts w:hint="default" w:ascii="Calibri" w:hAnsi="Calibri" w:cs="Calibri"/>
    </w:rPr>
  </w:style>
  <w:style w:type="character" w:customStyle="1" w:styleId="254">
    <w:name w:val="15"/>
    <w:basedOn w:val="44"/>
    <w:qFormat/>
    <w:uiPriority w:val="0"/>
    <w:rPr>
      <w:rFonts w:hint="default" w:ascii="Calibri" w:hAnsi="Calibri" w:cs="Calibri"/>
    </w:rPr>
  </w:style>
  <w:style w:type="character" w:customStyle="1" w:styleId="255">
    <w:name w:val=" Char Char26"/>
    <w:link w:val="6"/>
    <w:qFormat/>
    <w:uiPriority w:val="0"/>
    <w:rPr>
      <w:b/>
      <w:szCs w:val="20"/>
    </w:rPr>
  </w:style>
  <w:style w:type="paragraph" w:customStyle="1" w:styleId="256">
    <w:name w:val="表名2"/>
    <w:basedOn w:val="8"/>
    <w:qFormat/>
    <w:uiPriority w:val="0"/>
    <w:pPr>
      <w:tabs>
        <w:tab w:val="left" w:pos="4144"/>
      </w:tabs>
      <w:autoSpaceDE/>
      <w:autoSpaceDN/>
      <w:snapToGrid w:val="0"/>
      <w:ind w:firstLine="0" w:firstLineChars="0"/>
      <w:jc w:val="center"/>
      <w:textAlignment w:val="auto"/>
    </w:pPr>
    <w:rPr>
      <w:rFonts w:eastAsia="黑体"/>
      <w:kern w:val="10"/>
      <w:sz w:val="21"/>
      <w:szCs w:val="24"/>
    </w:rPr>
  </w:style>
  <w:style w:type="paragraph" w:customStyle="1" w:styleId="257">
    <w:name w:val="小表文居中"/>
    <w:basedOn w:val="258"/>
    <w:qFormat/>
    <w:uiPriority w:val="0"/>
    <w:pPr>
      <w:jc w:val="center"/>
    </w:pPr>
  </w:style>
  <w:style w:type="paragraph" w:customStyle="1" w:styleId="258">
    <w:name w:val="小表文"/>
    <w:basedOn w:val="1"/>
    <w:qFormat/>
    <w:uiPriority w:val="0"/>
    <w:pPr>
      <w:spacing w:before="20" w:line="240" w:lineRule="auto"/>
      <w:ind w:firstLine="0"/>
    </w:pPr>
    <w:rPr>
      <w:sz w:val="18"/>
    </w:rPr>
  </w:style>
  <w:style w:type="paragraph" w:customStyle="1" w:styleId="259">
    <w:name w:val="表格文字（内）"/>
    <w:basedOn w:val="1"/>
    <w:qFormat/>
    <w:uiPriority w:val="0"/>
    <w:pPr>
      <w:adjustRightInd w:val="0"/>
      <w:snapToGrid w:val="0"/>
      <w:jc w:val="center"/>
    </w:pPr>
    <w:rPr>
      <w:snapToGrid w:val="0"/>
      <w:szCs w:val="21"/>
    </w:rPr>
  </w:style>
  <w:style w:type="paragraph" w:customStyle="1" w:styleId="260">
    <w:name w:val="文本111"/>
    <w:basedOn w:val="1"/>
    <w:qFormat/>
    <w:uiPriority w:val="0"/>
    <w:pPr>
      <w:wordWrap w:val="0"/>
      <w:adjustRightInd w:val="0"/>
      <w:snapToGrid w:val="0"/>
      <w:spacing w:line="360" w:lineRule="auto"/>
      <w:ind w:firstLine="480" w:firstLineChars="200"/>
      <w:jc w:val="left"/>
    </w:pPr>
    <w:rPr>
      <w:color w:val="000000"/>
      <w:sz w:val="24"/>
    </w:rPr>
  </w:style>
  <w:style w:type="paragraph" w:customStyle="1" w:styleId="261">
    <w:name w:val="图标标题"/>
    <w:basedOn w:val="1"/>
    <w:qFormat/>
    <w:uiPriority w:val="0"/>
    <w:pPr>
      <w:jc w:val="center"/>
    </w:pPr>
    <w:rPr>
      <w:b/>
      <w:szCs w:val="21"/>
    </w:rPr>
  </w:style>
  <w:style w:type="paragraph" w:customStyle="1" w:styleId="262">
    <w:name w:val="表头-s"/>
    <w:basedOn w:val="1"/>
    <w:qFormat/>
    <w:uiPriority w:val="0"/>
    <w:pPr>
      <w:spacing w:beforeLines="50"/>
      <w:jc w:val="center"/>
    </w:pPr>
    <w:rPr>
      <w:rFonts w:ascii="宋体" w:hAnsi="宋体"/>
      <w:b/>
      <w:sz w:val="24"/>
    </w:rPr>
  </w:style>
  <w:style w:type="paragraph" w:customStyle="1" w:styleId="263">
    <w:name w:val="6表格内容"/>
    <w:basedOn w:val="1"/>
    <w:next w:val="1"/>
    <w:qFormat/>
    <w:uiPriority w:val="0"/>
    <w:pPr>
      <w:jc w:val="center"/>
    </w:pPr>
    <w:rPr>
      <w:rFonts w:eastAsia="宋体"/>
      <w:szCs w:val="24"/>
    </w:rPr>
  </w:style>
  <w:style w:type="character" w:customStyle="1" w:styleId="264">
    <w:name w:val="表格内容 字符"/>
    <w:link w:val="74"/>
    <w:qFormat/>
    <w:uiPriority w:val="0"/>
    <w:rPr>
      <w:color w:val="000000"/>
    </w:rPr>
  </w:style>
  <w:style w:type="paragraph" w:customStyle="1" w:styleId="265">
    <w:name w:val="0报告正文"/>
    <w:basedOn w:val="1"/>
    <w:qFormat/>
    <w:uiPriority w:val="0"/>
    <w:pPr>
      <w:spacing w:line="360" w:lineRule="auto"/>
      <w:ind w:firstLine="200" w:firstLineChars="200"/>
    </w:pPr>
    <w:rPr>
      <w:rFonts w:ascii="Times New Roman" w:hAnsi="Times New Roman"/>
      <w:sz w:val="24"/>
      <w:szCs w:val="22"/>
    </w:rPr>
  </w:style>
  <w:style w:type="paragraph" w:customStyle="1" w:styleId="266">
    <w:name w:val="表2.3-1"/>
    <w:basedOn w:val="1"/>
    <w:qFormat/>
    <w:uiPriority w:val="0"/>
    <w:pPr>
      <w:numPr>
        <w:ilvl w:val="0"/>
        <w:numId w:val="4"/>
      </w:numPr>
      <w:adjustRightInd w:val="0"/>
      <w:snapToGrid w:val="0"/>
      <w:spacing w:line="320" w:lineRule="exact"/>
      <w:ind w:firstLine="420" w:firstLineChars="200"/>
      <w:jc w:val="center"/>
      <w:outlineLvl w:val="4"/>
    </w:pPr>
    <w:rPr>
      <w:rFonts w:ascii="Arial" w:hAnsi="Arial"/>
      <w:sz w:val="24"/>
      <w:szCs w:val="21"/>
    </w:rPr>
  </w:style>
  <w:style w:type="paragraph" w:customStyle="1" w:styleId="267">
    <w:name w:val="表名"/>
    <w:basedOn w:val="268"/>
    <w:next w:val="1"/>
    <w:qFormat/>
    <w:uiPriority w:val="0"/>
    <w:pPr>
      <w:numPr>
        <w:ilvl w:val="0"/>
        <w:numId w:val="0"/>
      </w:numPr>
      <w:tabs>
        <w:tab w:val="left" w:pos="0"/>
        <w:tab w:val="left" w:pos="420"/>
      </w:tabs>
      <w:spacing w:before="20" w:beforeLines="20"/>
      <w:ind w:firstLine="567"/>
      <w:jc w:val="left"/>
      <w:outlineLvl w:val="6"/>
    </w:pPr>
    <w:rPr>
      <w:rFonts w:ascii="Times New Roman" w:hAnsi="Times New Roman"/>
    </w:rPr>
  </w:style>
  <w:style w:type="paragraph" w:customStyle="1" w:styleId="268">
    <w:name w:val="图名"/>
    <w:basedOn w:val="1"/>
    <w:next w:val="1"/>
    <w:qFormat/>
    <w:uiPriority w:val="0"/>
    <w:pPr>
      <w:tabs>
        <w:tab w:val="left" w:pos="0"/>
      </w:tabs>
      <w:adjustRightInd w:val="0"/>
      <w:snapToGrid w:val="0"/>
      <w:spacing w:after="20" w:afterLines="20"/>
      <w:jc w:val="center"/>
      <w:outlineLvl w:val="7"/>
    </w:pPr>
    <w:rPr>
      <w:rFonts w:ascii="黑体" w:hAnsi="黑体"/>
      <w:b/>
      <w:sz w:val="24"/>
    </w:rPr>
  </w:style>
  <w:style w:type="character" w:customStyle="1" w:styleId="269">
    <w:name w:val="样式5 Char"/>
    <w:link w:val="224"/>
    <w:qFormat/>
    <w:uiPriority w:val="0"/>
    <w:rPr>
      <w:sz w:val="24"/>
    </w:rPr>
  </w:style>
  <w:style w:type="paragraph" w:customStyle="1" w:styleId="270">
    <w:name w:val="表格内容1"/>
    <w:basedOn w:val="1"/>
    <w:qFormat/>
    <w:uiPriority w:val="0"/>
    <w:pPr>
      <w:jc w:val="center"/>
    </w:pPr>
    <w:rPr>
      <w:rFonts w:ascii="Times New Roman" w:hAnsi="Times New Roman" w:eastAsia="宋体"/>
      <w:color w:val="000000"/>
      <w:kern w:val="0"/>
      <w:szCs w:val="21"/>
    </w:rPr>
  </w:style>
  <w:style w:type="paragraph" w:customStyle="1" w:styleId="271">
    <w:name w:val="表格标题1"/>
    <w:basedOn w:val="1"/>
    <w:qFormat/>
    <w:uiPriority w:val="0"/>
    <w:pPr>
      <w:autoSpaceDE w:val="0"/>
      <w:autoSpaceDN w:val="0"/>
      <w:adjustRightInd w:val="0"/>
      <w:jc w:val="center"/>
    </w:pPr>
    <w:rPr>
      <w:rFonts w:cs="宋体"/>
      <w:b/>
      <w:color w:val="000000"/>
    </w:rPr>
  </w:style>
  <w:style w:type="paragraph" w:customStyle="1" w:styleId="272">
    <w:name w:val="样式6"/>
    <w:next w:val="224"/>
    <w:qFormat/>
    <w:uiPriority w:val="0"/>
    <w:pPr>
      <w:adjustRightInd w:val="0"/>
      <w:snapToGrid w:val="0"/>
      <w:spacing w:line="240" w:lineRule="auto"/>
      <w:ind w:left="0" w:leftChars="0" w:firstLine="0" w:firstLineChars="0"/>
      <w:jc w:val="center"/>
    </w:pPr>
    <w:rPr>
      <w:rFonts w:ascii="宋体" w:hAnsi="宋体" w:eastAsia="宋体" w:cs="Times New Roman"/>
      <w:kern w:val="0"/>
      <w:sz w:val="21"/>
      <w:szCs w:val="20"/>
    </w:rPr>
  </w:style>
  <w:style w:type="paragraph" w:customStyle="1" w:styleId="273">
    <w:name w:val="表格样式"/>
    <w:basedOn w:val="1"/>
    <w:qFormat/>
    <w:uiPriority w:val="0"/>
    <w:pPr>
      <w:adjustRightInd w:val="0"/>
      <w:snapToGrid w:val="0"/>
      <w:jc w:val="center"/>
      <w:textAlignment w:val="center"/>
    </w:pPr>
    <w:rPr>
      <w:sz w:val="28"/>
    </w:rPr>
  </w:style>
  <w:style w:type="paragraph" w:customStyle="1" w:styleId="274">
    <w:name w:val="正文文字1"/>
    <w:basedOn w:val="1"/>
    <w:qFormat/>
    <w:uiPriority w:val="0"/>
    <w:pPr>
      <w:adjustRightInd w:val="0"/>
      <w:snapToGrid w:val="0"/>
      <w:spacing w:line="360" w:lineRule="auto"/>
      <w:ind w:firstLine="472" w:firstLineChars="200"/>
      <w:jc w:val="left"/>
    </w:pPr>
    <w:rPr>
      <w:spacing w:val="-2"/>
      <w:szCs w:val="20"/>
    </w:rPr>
  </w:style>
  <w:style w:type="character" w:customStyle="1" w:styleId="275">
    <w:name w:val="标题 3 Char"/>
    <w:link w:val="5"/>
    <w:qFormat/>
    <w:uiPriority w:val="0"/>
    <w:rPr>
      <w:rFonts w:ascii="黑体" w:hAnsi="宋体" w:eastAsia="Times New Roman"/>
      <w:bCs/>
      <w:snapToGrid w:val="0"/>
      <w:kern w:val="0"/>
      <w:szCs w:val="20"/>
    </w:rPr>
  </w:style>
  <w:style w:type="paragraph" w:customStyle="1" w:styleId="276">
    <w:name w:val="+正文"/>
    <w:basedOn w:val="1"/>
    <w:qFormat/>
    <w:uiPriority w:val="0"/>
    <w:pPr>
      <w:spacing w:line="360" w:lineRule="auto"/>
      <w:ind w:firstLine="200" w:firstLineChars="200"/>
    </w:pPr>
    <w:rPr>
      <w:sz w:val="24"/>
      <w:szCs w:val="28"/>
    </w:rPr>
  </w:style>
  <w:style w:type="paragraph" w:customStyle="1" w:styleId="277">
    <w:name w:val="列出段落1"/>
    <w:basedOn w:val="1"/>
    <w:qFormat/>
    <w:uiPriority w:val="99"/>
    <w:pPr>
      <w:ind w:firstLine="420" w:firstLineChars="200"/>
    </w:pPr>
  </w:style>
  <w:style w:type="paragraph" w:customStyle="1" w:styleId="278">
    <w:name w:val="+++ 表头"/>
    <w:basedOn w:val="1"/>
    <w:qFormat/>
    <w:uiPriority w:val="0"/>
    <w:pPr>
      <w:spacing w:line="360" w:lineRule="auto"/>
      <w:jc w:val="center"/>
    </w:pPr>
    <w:rPr>
      <w:rFonts w:cs="宋体"/>
      <w:b/>
      <w:bCs/>
      <w:color w:val="99CC00"/>
      <w:sz w:val="24"/>
    </w:rPr>
  </w:style>
  <w:style w:type="paragraph" w:customStyle="1" w:styleId="279">
    <w:name w:val="列出段落11"/>
    <w:basedOn w:val="1"/>
    <w:qFormat/>
    <w:uiPriority w:val="0"/>
    <w:pPr>
      <w:ind w:firstLine="420" w:firstLineChars="200"/>
    </w:pPr>
  </w:style>
  <w:style w:type="paragraph" w:customStyle="1" w:styleId="280">
    <w:name w:val="_Style 2"/>
    <w:basedOn w:val="13"/>
    <w:next w:val="20"/>
    <w:qFormat/>
    <w:uiPriority w:val="34"/>
    <w:pPr>
      <w:ind w:firstLine="420" w:firstLineChars="200"/>
    </w:pPr>
  </w:style>
  <w:style w:type="paragraph" w:customStyle="1" w:styleId="281">
    <w:name w:val="其他 (2)"/>
    <w:basedOn w:val="1"/>
    <w:qFormat/>
    <w:uiPriority w:val="0"/>
    <w:pPr>
      <w:shd w:val="clear" w:color="auto" w:fill="FFFFFF"/>
      <w:spacing w:line="228" w:lineRule="exact"/>
    </w:pPr>
    <w:rPr>
      <w:rFonts w:ascii="宋体" w:hAnsi="宋体" w:eastAsia="宋体" w:cs="宋体"/>
      <w:sz w:val="20"/>
      <w:szCs w:val="20"/>
      <w:lang w:val="zh-CN" w:bidi="zh-CN"/>
    </w:rPr>
  </w:style>
  <w:style w:type="paragraph" w:customStyle="1" w:styleId="282">
    <w:name w:val="其他"/>
    <w:basedOn w:val="1"/>
    <w:qFormat/>
    <w:uiPriority w:val="0"/>
    <w:pPr>
      <w:shd w:val="clear" w:color="auto" w:fill="FFFFFF"/>
      <w:spacing w:line="271" w:lineRule="exact"/>
      <w:jc w:val="center"/>
    </w:pPr>
    <w:rPr>
      <w:rFonts w:ascii="宋体" w:hAnsi="宋体" w:eastAsia="宋体" w:cs="宋体"/>
      <w:sz w:val="20"/>
      <w:szCs w:val="20"/>
      <w:lang w:val="zh-CN" w:bidi="zh-CN"/>
    </w:rPr>
  </w:style>
  <w:style w:type="paragraph" w:customStyle="1" w:styleId="283">
    <w:name w:val="表头1111"/>
    <w:basedOn w:val="1"/>
    <w:qFormat/>
    <w:uiPriority w:val="0"/>
    <w:pPr>
      <w:jc w:val="center"/>
      <w:textAlignment w:val="baseline"/>
    </w:pPr>
    <w:rPr>
      <w:rFonts w:hAnsi="宋体"/>
      <w:b/>
      <w:bCs/>
      <w:szCs w:val="21"/>
    </w:rPr>
  </w:style>
  <w:style w:type="paragraph" w:customStyle="1" w:styleId="284">
    <w:name w:val="真·表头"/>
    <w:basedOn w:val="1"/>
    <w:qFormat/>
    <w:uiPriority w:val="0"/>
    <w:pPr>
      <w:spacing w:line="360" w:lineRule="auto"/>
      <w:jc w:val="center"/>
    </w:pPr>
    <w:rPr>
      <w:rFonts w:ascii="Times New Roman" w:hAnsi="Times New Roman" w:eastAsia="黑体" w:cs="Times New Roman"/>
      <w:sz w:val="24"/>
      <w:szCs w:val="30"/>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7" Type="http://schemas.openxmlformats.org/officeDocument/2006/relationships/fontTable" Target="fontTable.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27.jpeg"/><Relationship Id="rId43" Type="http://schemas.openxmlformats.org/officeDocument/2006/relationships/image" Target="media/image26.jpeg"/><Relationship Id="rId42" Type="http://schemas.openxmlformats.org/officeDocument/2006/relationships/image" Target="media/image25.jpeg"/><Relationship Id="rId41" Type="http://schemas.openxmlformats.org/officeDocument/2006/relationships/image" Target="media/image24.jpeg"/><Relationship Id="rId40" Type="http://schemas.openxmlformats.org/officeDocument/2006/relationships/image" Target="media/image23.jpeg"/><Relationship Id="rId4" Type="http://schemas.openxmlformats.org/officeDocument/2006/relationships/footer" Target="footer2.xml"/><Relationship Id="rId39" Type="http://schemas.openxmlformats.org/officeDocument/2006/relationships/image" Target="media/image22.png"/><Relationship Id="rId38" Type="http://schemas.openxmlformats.org/officeDocument/2006/relationships/image" Target="media/image21.wmf"/><Relationship Id="rId37" Type="http://schemas.openxmlformats.org/officeDocument/2006/relationships/image" Target="media/image20.wmf"/><Relationship Id="rId36" Type="http://schemas.openxmlformats.org/officeDocument/2006/relationships/image" Target="media/image19.wmf"/><Relationship Id="rId35" Type="http://schemas.openxmlformats.org/officeDocument/2006/relationships/image" Target="media/image18.wmf"/><Relationship Id="rId34" Type="http://schemas.openxmlformats.org/officeDocument/2006/relationships/oleObject" Target="embeddings/oleObject9.bin"/><Relationship Id="rId33" Type="http://schemas.openxmlformats.org/officeDocument/2006/relationships/image" Target="media/image17.png"/><Relationship Id="rId32" Type="http://schemas.openxmlformats.org/officeDocument/2006/relationships/image" Target="media/image16.jpeg"/><Relationship Id="rId31" Type="http://schemas.openxmlformats.org/officeDocument/2006/relationships/image" Target="media/image15.wmf"/><Relationship Id="rId30" Type="http://schemas.openxmlformats.org/officeDocument/2006/relationships/oleObject" Target="embeddings/oleObject8.bin"/><Relationship Id="rId3" Type="http://schemas.openxmlformats.org/officeDocument/2006/relationships/footer" Target="footer1.xml"/><Relationship Id="rId29" Type="http://schemas.openxmlformats.org/officeDocument/2006/relationships/image" Target="media/image14.wmf"/><Relationship Id="rId28" Type="http://schemas.openxmlformats.org/officeDocument/2006/relationships/oleObject" Target="embeddings/oleObject7.bin"/><Relationship Id="rId27" Type="http://schemas.openxmlformats.org/officeDocument/2006/relationships/image" Target="media/image13.wmf"/><Relationship Id="rId26" Type="http://schemas.openxmlformats.org/officeDocument/2006/relationships/oleObject" Target="embeddings/oleObject6.bin"/><Relationship Id="rId25" Type="http://schemas.openxmlformats.org/officeDocument/2006/relationships/image" Target="media/image12.wmf"/><Relationship Id="rId24" Type="http://schemas.openxmlformats.org/officeDocument/2006/relationships/oleObject" Target="embeddings/oleObject5.bin"/><Relationship Id="rId23" Type="http://schemas.openxmlformats.org/officeDocument/2006/relationships/image" Target="media/image11.wmf"/><Relationship Id="rId22" Type="http://schemas.openxmlformats.org/officeDocument/2006/relationships/oleObject" Target="embeddings/oleObject4.bin"/><Relationship Id="rId21" Type="http://schemas.openxmlformats.org/officeDocument/2006/relationships/image" Target="media/image10.wmf"/><Relationship Id="rId20" Type="http://schemas.openxmlformats.org/officeDocument/2006/relationships/oleObject" Target="embeddings/oleObject3.bin"/><Relationship Id="rId2" Type="http://schemas.openxmlformats.org/officeDocument/2006/relationships/settings" Target="settings.xml"/><Relationship Id="rId19" Type="http://schemas.openxmlformats.org/officeDocument/2006/relationships/image" Target="media/image9.wmf"/><Relationship Id="rId18" Type="http://schemas.openxmlformats.org/officeDocument/2006/relationships/oleObject" Target="embeddings/oleObject2.bin"/><Relationship Id="rId17" Type="http://schemas.openxmlformats.org/officeDocument/2006/relationships/image" Target="media/image8.wmf"/><Relationship Id="rId16" Type="http://schemas.openxmlformats.org/officeDocument/2006/relationships/oleObject" Target="embeddings/oleObject1.bin"/><Relationship Id="rId15" Type="http://schemas.openxmlformats.org/officeDocument/2006/relationships/image" Target="media/image7.png"/><Relationship Id="rId14" Type="http://schemas.openxmlformats.org/officeDocument/2006/relationships/image" Target="media/image6.jpe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102</Pages>
  <Words>52243</Words>
  <Characters>57921</Characters>
  <Lines>1009</Lines>
  <Paragraphs>284</Paragraphs>
  <TotalTime>1</TotalTime>
  <ScaleCrop>false</ScaleCrop>
  <LinksUpToDate>false</LinksUpToDate>
  <CharactersWithSpaces>58416</CharactersWithSpaces>
  <Application>WPS Office_11.8.2.10393_F1E327BC-269C-435d-A152-05C5408002CA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2011-01-01T03:18:00Z</dcterms:created>
  <dc:creator>黑桃A</dc:creator>
  <cp:lastModifiedBy>x</cp:lastModifiedBy>
  <dcterms:modified xsi:type="dcterms:W3CDTF">2023-04-10T08:24:31Z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2052-11.8.2.10393</vt:lpwstr>
  </property>
  <property fmtid="{D5CDD505-2E9C-101B-9397-08002B2CF9AE}" pid="3" name="ICV">
    <vt:lpwstr>B576C2D9AB664531991FDE20E0830230</vt:lpwstr>
  </property>
</Properties>
</file>