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40" w:lineRule="exact"/>
        <w:jc w:val="center"/>
        <w:rPr>
          <w:rFonts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 xml:space="preserve">乐山市市中区生态环境局关于建设项目环境影响评价文件受理情况的公示 </w:t>
      </w:r>
    </w:p>
    <w:p>
      <w:pPr>
        <w:widowControl/>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rPr>
        <w:t>20</w:t>
      </w:r>
      <w:r>
        <w:rPr>
          <w:rFonts w:hint="eastAsia" w:ascii="宋体" w:hAnsi="宋体" w:cs="宋体"/>
          <w:color w:val="000000"/>
          <w:kern w:val="0"/>
          <w:sz w:val="24"/>
          <w:lang w:val="en-US" w:eastAsia="zh-CN"/>
        </w:rPr>
        <w:t>23</w:t>
      </w:r>
      <w:r>
        <w:rPr>
          <w:rFonts w:hint="eastAsia" w:ascii="宋体" w:hAnsi="宋体" w:cs="宋体"/>
          <w:color w:val="000000"/>
          <w:kern w:val="0"/>
          <w:sz w:val="24"/>
        </w:rPr>
        <w:t>-</w:t>
      </w:r>
      <w:r>
        <w:rPr>
          <w:rFonts w:hint="eastAsia" w:ascii="宋体" w:hAnsi="宋体" w:cs="宋体"/>
          <w:color w:val="000000"/>
          <w:kern w:val="0"/>
          <w:sz w:val="24"/>
          <w:lang w:val="en-US" w:eastAsia="zh-CN"/>
        </w:rPr>
        <w:t>2</w:t>
      </w:r>
      <w:r>
        <w:rPr>
          <w:rFonts w:hint="eastAsia" w:ascii="宋体" w:hAnsi="宋体" w:cs="宋体"/>
          <w:color w:val="000000"/>
          <w:kern w:val="0"/>
          <w:sz w:val="24"/>
        </w:rPr>
        <w:t>-</w:t>
      </w:r>
      <w:r>
        <w:rPr>
          <w:rFonts w:hint="eastAsia" w:ascii="宋体" w:hAnsi="宋体" w:cs="宋体"/>
          <w:color w:val="000000"/>
          <w:kern w:val="0"/>
          <w:sz w:val="24"/>
          <w:lang w:val="en-US" w:eastAsia="zh-CN"/>
        </w:rPr>
        <w:t>17</w:t>
      </w:r>
    </w:p>
    <w:p>
      <w:pPr>
        <w:widowControl/>
        <w:ind w:firstLine="420"/>
        <w:jc w:val="left"/>
        <w:rPr>
          <w:rFonts w:ascii="宋体" w:hAnsi="宋体" w:cs="宋体"/>
          <w:color w:val="000000"/>
          <w:kern w:val="0"/>
          <w:sz w:val="24"/>
        </w:rPr>
      </w:pPr>
      <w:r>
        <w:rPr>
          <w:rFonts w:hint="eastAsia" w:ascii="宋体" w:hAnsi="宋体" w:cs="宋体"/>
          <w:color w:val="000000"/>
          <w:kern w:val="0"/>
          <w:sz w:val="24"/>
        </w:rPr>
        <w:t>根据建设项目环境影响评价审批程序的有关规定，20</w:t>
      </w:r>
      <w:r>
        <w:rPr>
          <w:rFonts w:hint="eastAsia" w:ascii="宋体" w:hAnsi="宋体" w:cs="宋体"/>
          <w:color w:val="000000"/>
          <w:kern w:val="0"/>
          <w:sz w:val="24"/>
          <w:lang w:val="en-US" w:eastAsia="zh-CN"/>
        </w:rPr>
        <w:t>23</w:t>
      </w:r>
      <w:r>
        <w:rPr>
          <w:rFonts w:hint="eastAsia" w:ascii="宋体" w:hAnsi="宋体" w:cs="宋体"/>
          <w:color w:val="000000"/>
          <w:kern w:val="0"/>
          <w:sz w:val="24"/>
        </w:rPr>
        <w:t>年</w:t>
      </w:r>
      <w:r>
        <w:rPr>
          <w:rFonts w:hint="eastAsia" w:ascii="宋体" w:hAnsi="宋体" w:cs="宋体"/>
          <w:color w:val="000000"/>
          <w:kern w:val="0"/>
          <w:sz w:val="24"/>
          <w:lang w:val="en-US" w:eastAsia="zh-CN"/>
        </w:rPr>
        <w:t>2</w:t>
      </w:r>
      <w:r>
        <w:rPr>
          <w:rFonts w:hint="eastAsia" w:ascii="宋体" w:hAnsi="宋体" w:cs="宋体"/>
          <w:color w:val="000000"/>
          <w:kern w:val="0"/>
          <w:sz w:val="24"/>
        </w:rPr>
        <w:t>月</w:t>
      </w:r>
      <w:r>
        <w:rPr>
          <w:rFonts w:hint="eastAsia" w:ascii="宋体" w:hAnsi="宋体" w:cs="宋体"/>
          <w:color w:val="000000"/>
          <w:kern w:val="0"/>
          <w:sz w:val="24"/>
          <w:lang w:val="en-US" w:eastAsia="zh-CN"/>
        </w:rPr>
        <w:t>17</w:t>
      </w:r>
      <w:r>
        <w:rPr>
          <w:rFonts w:hint="eastAsia" w:ascii="宋体" w:hAnsi="宋体" w:cs="宋体"/>
          <w:color w:val="000000"/>
          <w:kern w:val="0"/>
          <w:sz w:val="24"/>
        </w:rPr>
        <w:t>日我局受理</w:t>
      </w:r>
      <w:r>
        <w:rPr>
          <w:rFonts w:hint="eastAsia" w:ascii="宋体" w:hAnsi="宋体" w:cs="宋体"/>
          <w:color w:val="000000"/>
          <w:kern w:val="0"/>
          <w:sz w:val="24"/>
          <w:lang w:val="en-US" w:eastAsia="zh-CN"/>
        </w:rPr>
        <w:t>1</w:t>
      </w:r>
      <w:r>
        <w:rPr>
          <w:rFonts w:hint="eastAsia" w:ascii="宋体" w:hAnsi="宋体" w:cs="宋体"/>
          <w:color w:val="000000"/>
          <w:kern w:val="0"/>
          <w:sz w:val="24"/>
        </w:rPr>
        <w:t>个建设项目环境影响评价文件。现将受理情况予以公示，公示期为20</w:t>
      </w:r>
      <w:r>
        <w:rPr>
          <w:rFonts w:hint="eastAsia" w:ascii="宋体" w:hAnsi="宋体" w:cs="宋体"/>
          <w:color w:val="000000"/>
          <w:kern w:val="0"/>
          <w:sz w:val="24"/>
          <w:lang w:val="en-US" w:eastAsia="zh-CN"/>
        </w:rPr>
        <w:t>23</w:t>
      </w:r>
      <w:r>
        <w:rPr>
          <w:rFonts w:hint="eastAsia" w:ascii="宋体" w:hAnsi="宋体" w:cs="宋体"/>
          <w:color w:val="000000"/>
          <w:kern w:val="0"/>
          <w:sz w:val="24"/>
        </w:rPr>
        <w:t>年</w:t>
      </w:r>
      <w:r>
        <w:rPr>
          <w:rFonts w:hint="eastAsia" w:ascii="宋体" w:hAnsi="宋体" w:cs="宋体"/>
          <w:color w:val="000000"/>
          <w:kern w:val="0"/>
          <w:sz w:val="24"/>
          <w:lang w:val="en-US" w:eastAsia="zh-CN"/>
        </w:rPr>
        <w:t>2</w:t>
      </w:r>
      <w:r>
        <w:rPr>
          <w:rFonts w:hint="eastAsia" w:ascii="宋体" w:hAnsi="宋体" w:cs="宋体"/>
          <w:color w:val="000000"/>
          <w:kern w:val="0"/>
          <w:sz w:val="24"/>
        </w:rPr>
        <w:t>月</w:t>
      </w:r>
      <w:r>
        <w:rPr>
          <w:rFonts w:hint="eastAsia" w:ascii="宋体" w:hAnsi="宋体" w:cs="宋体"/>
          <w:color w:val="000000"/>
          <w:kern w:val="0"/>
          <w:sz w:val="24"/>
          <w:lang w:val="en-US" w:eastAsia="zh-CN"/>
        </w:rPr>
        <w:t>17</w:t>
      </w:r>
      <w:r>
        <w:rPr>
          <w:rFonts w:hint="eastAsia" w:ascii="宋体" w:hAnsi="宋体" w:cs="宋体"/>
          <w:color w:val="000000"/>
          <w:kern w:val="0"/>
          <w:sz w:val="24"/>
        </w:rPr>
        <w:t>日－20</w:t>
      </w:r>
      <w:r>
        <w:rPr>
          <w:rFonts w:hint="eastAsia" w:ascii="宋体" w:hAnsi="宋体" w:cs="宋体"/>
          <w:color w:val="000000"/>
          <w:kern w:val="0"/>
          <w:sz w:val="24"/>
          <w:lang w:val="en-US" w:eastAsia="zh-CN"/>
        </w:rPr>
        <w:t>23</w:t>
      </w:r>
      <w:r>
        <w:rPr>
          <w:rFonts w:hint="eastAsia" w:ascii="宋体" w:hAnsi="宋体" w:cs="宋体"/>
          <w:color w:val="000000"/>
          <w:kern w:val="0"/>
          <w:sz w:val="24"/>
        </w:rPr>
        <w:t>年</w:t>
      </w:r>
      <w:r>
        <w:rPr>
          <w:rFonts w:hint="eastAsia" w:ascii="宋体" w:hAnsi="宋体" w:cs="宋体"/>
          <w:color w:val="000000"/>
          <w:kern w:val="0"/>
          <w:sz w:val="24"/>
          <w:lang w:val="en-US" w:eastAsia="zh-CN"/>
        </w:rPr>
        <w:t>2</w:t>
      </w:r>
      <w:r>
        <w:rPr>
          <w:rFonts w:hint="eastAsia" w:ascii="宋体" w:hAnsi="宋体" w:cs="宋体"/>
          <w:color w:val="000000"/>
          <w:kern w:val="0"/>
          <w:sz w:val="24"/>
        </w:rPr>
        <w:t>月</w:t>
      </w:r>
      <w:r>
        <w:rPr>
          <w:rFonts w:hint="eastAsia" w:ascii="宋体" w:hAnsi="宋体" w:cs="宋体"/>
          <w:color w:val="000000"/>
          <w:kern w:val="0"/>
          <w:sz w:val="24"/>
          <w:lang w:val="en-US" w:eastAsia="zh-CN"/>
        </w:rPr>
        <w:t>23</w:t>
      </w:r>
      <w:r>
        <w:rPr>
          <w:rFonts w:hint="eastAsia" w:ascii="宋体" w:hAnsi="宋体" w:cs="宋体"/>
          <w:color w:val="000000"/>
          <w:kern w:val="0"/>
          <w:sz w:val="24"/>
        </w:rPr>
        <w:t>日（</w:t>
      </w:r>
      <w:r>
        <w:rPr>
          <w:rFonts w:hint="eastAsia" w:ascii="宋体" w:hAnsi="宋体" w:cs="宋体"/>
          <w:color w:val="000000"/>
          <w:kern w:val="0"/>
          <w:sz w:val="24"/>
          <w:lang w:val="en-US" w:eastAsia="zh-CN"/>
        </w:rPr>
        <w:t>5</w:t>
      </w:r>
      <w:r>
        <w:rPr>
          <w:rFonts w:hint="eastAsia" w:ascii="宋体" w:hAnsi="宋体" w:cs="宋体"/>
          <w:color w:val="000000"/>
          <w:kern w:val="0"/>
          <w:sz w:val="24"/>
        </w:rPr>
        <w:t>个工作日）。</w:t>
      </w:r>
    </w:p>
    <w:p>
      <w:pPr>
        <w:widowControl/>
        <w:ind w:firstLine="420"/>
        <w:jc w:val="left"/>
        <w:rPr>
          <w:rFonts w:ascii="宋体" w:hAnsi="宋体" w:cs="宋体"/>
          <w:color w:val="000000"/>
          <w:kern w:val="0"/>
          <w:sz w:val="24"/>
        </w:rPr>
      </w:pPr>
      <w:r>
        <w:rPr>
          <w:rFonts w:hint="eastAsia" w:ascii="宋体" w:hAnsi="宋体" w:cs="宋体"/>
          <w:color w:val="000000"/>
          <w:kern w:val="0"/>
          <w:sz w:val="24"/>
        </w:rPr>
        <w:t>　　联系电话：0833－2103779</w:t>
      </w:r>
    </w:p>
    <w:p>
      <w:pPr>
        <w:widowControl/>
        <w:ind w:firstLine="420"/>
        <w:jc w:val="left"/>
        <w:rPr>
          <w:rFonts w:ascii="宋体" w:hAnsi="宋体" w:cs="宋体"/>
          <w:color w:val="000000"/>
          <w:kern w:val="0"/>
          <w:sz w:val="24"/>
        </w:rPr>
      </w:pPr>
      <w:r>
        <w:rPr>
          <w:rFonts w:hint="eastAsia" w:ascii="宋体" w:hAnsi="宋体" w:cs="宋体"/>
          <w:color w:val="000000"/>
          <w:kern w:val="0"/>
          <w:sz w:val="24"/>
        </w:rPr>
        <w:t>　　传 　 真：0833-2133332</w:t>
      </w:r>
    </w:p>
    <w:p>
      <w:pPr>
        <w:widowControl/>
        <w:ind w:firstLine="420"/>
        <w:jc w:val="left"/>
        <w:rPr>
          <w:rFonts w:ascii="宋体" w:hAnsi="宋体" w:cs="宋体"/>
          <w:color w:val="000000"/>
          <w:kern w:val="0"/>
          <w:sz w:val="24"/>
        </w:rPr>
      </w:pPr>
      <w:r>
        <w:rPr>
          <w:rFonts w:hint="eastAsia" w:ascii="宋体" w:hAnsi="宋体" w:cs="宋体"/>
          <w:color w:val="000000"/>
          <w:kern w:val="0"/>
          <w:sz w:val="24"/>
        </w:rPr>
        <w:t>　　通讯地址：乐山市市中区白燕路830号</w:t>
      </w:r>
    </w:p>
    <w:p>
      <w:pPr>
        <w:widowControl/>
        <w:ind w:firstLine="900" w:firstLineChars="375"/>
        <w:jc w:val="left"/>
        <w:rPr>
          <w:rFonts w:ascii="宋体" w:hAnsi="宋体" w:cs="宋体"/>
          <w:color w:val="000000"/>
          <w:kern w:val="0"/>
          <w:sz w:val="24"/>
        </w:rPr>
      </w:pPr>
      <w:r>
        <w:rPr>
          <w:rFonts w:hint="eastAsia" w:ascii="宋体" w:hAnsi="宋体" w:cs="宋体"/>
          <w:color w:val="000000"/>
          <w:kern w:val="0"/>
          <w:sz w:val="24"/>
        </w:rPr>
        <w:t>邮政编码：614000</w:t>
      </w:r>
    </w:p>
    <w:tbl>
      <w:tblPr>
        <w:tblStyle w:val="39"/>
        <w:tblW w:w="15344" w:type="dxa"/>
        <w:jc w:val="center"/>
        <w:tblLayout w:type="fixed"/>
        <w:tblCellMar>
          <w:top w:w="0" w:type="dxa"/>
          <w:left w:w="0" w:type="dxa"/>
          <w:bottom w:w="0" w:type="dxa"/>
          <w:right w:w="0" w:type="dxa"/>
        </w:tblCellMar>
      </w:tblPr>
      <w:tblGrid>
        <w:gridCol w:w="722"/>
        <w:gridCol w:w="2806"/>
        <w:gridCol w:w="3245"/>
        <w:gridCol w:w="2976"/>
        <w:gridCol w:w="4218"/>
        <w:gridCol w:w="1377"/>
      </w:tblGrid>
      <w:tr>
        <w:tblPrEx>
          <w:tblCellMar>
            <w:top w:w="0" w:type="dxa"/>
            <w:left w:w="0" w:type="dxa"/>
            <w:bottom w:w="0" w:type="dxa"/>
            <w:right w:w="0" w:type="dxa"/>
          </w:tblCellMar>
        </w:tblPrEx>
        <w:trPr>
          <w:cantSplit/>
          <w:trHeight w:val="803" w:hRule="atLeast"/>
          <w:tblHeader/>
          <w:jc w:val="center"/>
        </w:trPr>
        <w:tc>
          <w:tcPr>
            <w:tcW w:w="722"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序号</w:t>
            </w:r>
          </w:p>
        </w:tc>
        <w:tc>
          <w:tcPr>
            <w:tcW w:w="280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项目名称</w:t>
            </w:r>
          </w:p>
        </w:tc>
        <w:tc>
          <w:tcPr>
            <w:tcW w:w="324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建设地点</w:t>
            </w:r>
          </w:p>
        </w:tc>
        <w:tc>
          <w:tcPr>
            <w:tcW w:w="297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建设单位</w:t>
            </w:r>
          </w:p>
        </w:tc>
        <w:tc>
          <w:tcPr>
            <w:tcW w:w="421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环境影响评价机构</w:t>
            </w:r>
          </w:p>
        </w:tc>
        <w:tc>
          <w:tcPr>
            <w:tcW w:w="1377"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受理日期</w:t>
            </w:r>
          </w:p>
        </w:tc>
      </w:tr>
      <w:tr>
        <w:tblPrEx>
          <w:tblCellMar>
            <w:top w:w="0" w:type="dxa"/>
            <w:left w:w="0" w:type="dxa"/>
            <w:bottom w:w="0" w:type="dxa"/>
            <w:right w:w="0" w:type="dxa"/>
          </w:tblCellMar>
        </w:tblPrEx>
        <w:trPr>
          <w:cantSplit/>
          <w:trHeight w:val="925" w:hRule="atLeast"/>
          <w:tblHeader/>
          <w:jc w:val="center"/>
        </w:trPr>
        <w:tc>
          <w:tcPr>
            <w:tcW w:w="722"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spacing w:line="360" w:lineRule="auto"/>
              <w:jc w:val="center"/>
              <w:rPr>
                <w:bCs/>
                <w:color w:val="000000"/>
                <w:sz w:val="18"/>
                <w:szCs w:val="18"/>
              </w:rPr>
            </w:pPr>
            <w:r>
              <w:rPr>
                <w:rFonts w:hint="eastAsia"/>
                <w:bCs/>
                <w:color w:val="000000"/>
                <w:sz w:val="18"/>
                <w:szCs w:val="18"/>
              </w:rPr>
              <w:t>1</w:t>
            </w:r>
          </w:p>
        </w:tc>
        <w:tc>
          <w:tcPr>
            <w:tcW w:w="280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default" w:ascii="Times New Roman" w:hAnsi="Times New Roman" w:cs="Times New Roman"/>
                <w:lang w:val="en-US"/>
              </w:rPr>
            </w:pPr>
            <w:r>
              <w:rPr>
                <w:rFonts w:hint="default" w:ascii="Times New Roman" w:hAnsi="Times New Roman" w:cs="Times New Roman"/>
                <w:lang w:val="en-US" w:eastAsia="zh-CN"/>
              </w:rPr>
              <w:t>乐山市市中区乐嘉宠物医院</w:t>
            </w:r>
          </w:p>
        </w:tc>
        <w:tc>
          <w:tcPr>
            <w:tcW w:w="324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Times New Roman" w:hAnsi="Times New Roman" w:eastAsia="宋体" w:cs="Times New Roman"/>
                <w:lang w:val="en-US" w:eastAsia="zh-CN"/>
              </w:rPr>
            </w:pPr>
            <w:r>
              <w:rPr>
                <w:rFonts w:hint="eastAsia"/>
                <w:color w:val="auto"/>
              </w:rPr>
              <w:t>四川省乐山市市中区</w:t>
            </w:r>
            <w:r>
              <w:rPr>
                <w:rFonts w:hint="eastAsia"/>
                <w:color w:val="auto"/>
                <w:lang w:eastAsia="zh-CN"/>
              </w:rPr>
              <w:t>凤洲路</w:t>
            </w:r>
            <w:r>
              <w:rPr>
                <w:rFonts w:hint="eastAsia"/>
                <w:color w:val="auto"/>
                <w:lang w:val="en-US" w:eastAsia="zh-CN"/>
              </w:rPr>
              <w:t>2028号2楼2号</w:t>
            </w:r>
          </w:p>
        </w:tc>
        <w:tc>
          <w:tcPr>
            <w:tcW w:w="297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Times New Roman" w:hAnsi="Times New Roman" w:cs="Times New Roman"/>
                <w:lang w:val="en-US" w:eastAsia="zh-CN"/>
              </w:rPr>
            </w:pPr>
            <w:r>
              <w:rPr>
                <w:rFonts w:hint="eastAsia"/>
                <w:color w:val="auto"/>
                <w:lang w:eastAsia="zh-CN"/>
              </w:rPr>
              <w:t>乐山市市中区乐嘉宠物医院</w:t>
            </w:r>
            <w:r>
              <w:rPr>
                <w:rFonts w:hint="eastAsia" w:ascii="Times New Roman" w:hAnsi="Times New Roman" w:cs="Times New Roman"/>
                <w:lang w:val="en-US" w:eastAsia="zh-CN"/>
              </w:rPr>
              <w:t xml:space="preserve"> </w:t>
            </w:r>
          </w:p>
          <w:p>
            <w:pPr>
              <w:rPr>
                <w:rFonts w:hint="eastAsia" w:ascii="Times New Roman" w:hAnsi="Times New Roman" w:cs="Times New Roman"/>
              </w:rPr>
            </w:pPr>
            <w:r>
              <w:rPr>
                <w:rFonts w:hint="eastAsia" w:ascii="Times New Roman" w:hAnsi="Times New Roman" w:cs="Times New Roman"/>
              </w:rPr>
              <w:t xml:space="preserve"> </w:t>
            </w:r>
          </w:p>
        </w:tc>
        <w:tc>
          <w:tcPr>
            <w:tcW w:w="421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default" w:ascii="Times New Roman" w:hAnsi="Times New Roman" w:cs="Times New Roman"/>
                <w:lang w:val="en-US"/>
              </w:rPr>
            </w:pPr>
            <w:r>
              <w:rPr>
                <w:rFonts w:hint="default" w:ascii="Times New Roman" w:hAnsi="Times New Roman" w:cs="Times New Roman"/>
                <w:lang w:val="en-US" w:eastAsia="zh-CN"/>
              </w:rPr>
              <w:t>成都晟辉顺捷环保科技有限公司</w:t>
            </w:r>
          </w:p>
        </w:tc>
        <w:tc>
          <w:tcPr>
            <w:tcW w:w="1377"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default" w:ascii="Times New Roman" w:hAnsi="Times New Roman" w:eastAsia="宋体" w:cs="Times New Roman"/>
                <w:lang w:val="en-US" w:eastAsia="zh-CN"/>
              </w:rPr>
            </w:pPr>
            <w:r>
              <w:rPr>
                <w:rFonts w:hint="eastAsia" w:ascii="Times New Roman" w:hAnsi="Times New Roman" w:cs="Times New Roman"/>
              </w:rPr>
              <w:t>20</w:t>
            </w:r>
            <w:r>
              <w:rPr>
                <w:rFonts w:hint="eastAsia" w:ascii="Times New Roman" w:hAnsi="Times New Roman" w:cs="Times New Roman"/>
                <w:lang w:val="en-US" w:eastAsia="zh-CN"/>
              </w:rPr>
              <w:t>2</w:t>
            </w:r>
            <w:r>
              <w:rPr>
                <w:rFonts w:hint="eastAsia" w:cs="Times New Roman"/>
                <w:lang w:val="en-US" w:eastAsia="zh-CN"/>
              </w:rPr>
              <w:t>3</w:t>
            </w:r>
            <w:r>
              <w:rPr>
                <w:rFonts w:hint="eastAsia" w:ascii="Times New Roman" w:hAnsi="Times New Roman" w:cs="Times New Roman"/>
              </w:rPr>
              <w:t>-</w:t>
            </w:r>
            <w:r>
              <w:rPr>
                <w:rFonts w:hint="eastAsia" w:cs="Times New Roman"/>
                <w:lang w:val="en-US" w:eastAsia="zh-CN"/>
              </w:rPr>
              <w:t>2</w:t>
            </w:r>
            <w:r>
              <w:rPr>
                <w:rFonts w:hint="eastAsia" w:ascii="Times New Roman" w:hAnsi="Times New Roman" w:cs="Times New Roman"/>
              </w:rPr>
              <w:t>-</w:t>
            </w:r>
            <w:r>
              <w:rPr>
                <w:rFonts w:hint="eastAsia" w:cs="Times New Roman"/>
                <w:lang w:val="en-US" w:eastAsia="zh-CN"/>
              </w:rPr>
              <w:t>17</w:t>
            </w:r>
          </w:p>
        </w:tc>
      </w:tr>
    </w:tbl>
    <w:p>
      <w:pPr>
        <w:spacing w:line="360" w:lineRule="auto"/>
        <w:rPr>
          <w:color w:val="000000"/>
          <w:sz w:val="72"/>
          <w:szCs w:val="72"/>
        </w:rPr>
        <w:sectPr>
          <w:endnotePr>
            <w:numFmt w:val="decimal"/>
          </w:endnotePr>
          <w:pgSz w:w="16838" w:h="11906" w:orient="landscape"/>
          <w:pgMar w:top="1800" w:right="1440" w:bottom="1800" w:left="1440" w:header="851" w:footer="992" w:gutter="0"/>
          <w:pgNumType w:fmt="numberInDash" w:start="1"/>
          <w:cols w:space="720" w:num="1"/>
          <w:docGrid w:type="lines" w:linePitch="312" w:charSpace="0"/>
        </w:sectPr>
      </w:pPr>
      <w:r>
        <w:rPr>
          <w:rFonts w:hint="eastAsia" w:ascii="宋体" w:hAnsi="宋体" w:cs="宋体"/>
          <w:color w:val="000000"/>
          <w:kern w:val="0"/>
          <w:szCs w:val="21"/>
        </w:rPr>
        <w:t>注：根据《建设项目环境影响评价政府信息公开指南（试行）》的有关规定，上述环境影响报告书、表不含涉及国家秘密、商业秘密、个人隐私以及涉及国家安全、公共安全、经济安全和社会稳定的内容。</w:t>
      </w:r>
    </w:p>
    <w:p>
      <w:pPr>
        <w:rPr>
          <w:rFonts w:hint="eastAsia" w:ascii="仿宋_GB2312" w:hAnsi="仿宋_GB2312" w:eastAsia="仿宋_GB2312" w:cs="仿宋_GB2312"/>
          <w:sz w:val="36"/>
          <w:szCs w:val="36"/>
        </w:rPr>
      </w:pPr>
    </w:p>
    <w:p>
      <w:pPr>
        <w:ind w:firstLine="0" w:firstLineChars="0"/>
        <w:rPr>
          <w:rFonts w:hint="eastAsia" w:ascii="仿宋_GB2312" w:hAnsi="仿宋_GB2312" w:eastAsia="仿宋_GB2312" w:cs="仿宋_GB2312"/>
          <w:color w:val="auto"/>
          <w:sz w:val="36"/>
          <w:szCs w:val="36"/>
        </w:rPr>
      </w:pPr>
    </w:p>
    <w:p>
      <w:pPr>
        <w:rPr>
          <w:rFonts w:hint="eastAsia" w:ascii="仿宋_GB2312" w:hAnsi="仿宋_GB2312" w:eastAsia="仿宋_GB2312" w:cs="仿宋_GB2312"/>
          <w:color w:val="auto"/>
          <w:sz w:val="36"/>
          <w:szCs w:val="36"/>
        </w:rPr>
      </w:pPr>
    </w:p>
    <w:p>
      <w:pPr>
        <w:adjustRightInd w:val="0"/>
        <w:snapToGrid w:val="0"/>
        <w:ind w:firstLine="0" w:firstLineChars="0"/>
        <w:jc w:val="center"/>
        <w:outlineLvl w:val="0"/>
        <w:rPr>
          <w:rFonts w:hint="eastAsia" w:ascii="方正小标宋_GBK" w:eastAsia="方正小标宋_GBK"/>
          <w:bCs/>
          <w:color w:val="auto"/>
          <w:sz w:val="72"/>
          <w:szCs w:val="72"/>
        </w:rPr>
      </w:pPr>
      <w:bookmarkStart w:id="0" w:name="_Toc17739"/>
      <w:r>
        <w:rPr>
          <w:rFonts w:hint="eastAsia" w:ascii="方正小标宋_GBK" w:eastAsia="方正小标宋_GBK"/>
          <w:bCs/>
          <w:color w:val="auto"/>
          <w:sz w:val="72"/>
          <w:szCs w:val="72"/>
        </w:rPr>
        <w:t>建设项目环境影响报告表</w:t>
      </w:r>
      <w:bookmarkEnd w:id="0"/>
    </w:p>
    <w:p>
      <w:pPr>
        <w:adjustRightInd w:val="0"/>
        <w:snapToGrid w:val="0"/>
        <w:spacing w:before="192" w:beforeLines="80"/>
        <w:ind w:firstLine="0" w:firstLineChars="0"/>
        <w:jc w:val="center"/>
        <w:rPr>
          <w:rStyle w:val="46"/>
          <w:color w:val="auto"/>
          <w:kern w:val="0"/>
          <w:szCs w:val="20"/>
        </w:rPr>
      </w:pPr>
      <w:r>
        <w:rPr>
          <w:rFonts w:hint="eastAsia" w:ascii="宋体" w:hAnsi="宋体" w:cs="宋体"/>
          <w:bCs/>
          <w:color w:val="auto"/>
          <w:sz w:val="48"/>
          <w:szCs w:val="48"/>
        </w:rPr>
        <w:t>（污染影响类）</w:t>
      </w:r>
    </w:p>
    <w:p>
      <w:pPr>
        <w:pStyle w:val="30"/>
        <w:ind w:left="0" w:leftChars="0" w:firstLine="0" w:firstLineChars="0"/>
        <w:jc w:val="center"/>
        <w:rPr>
          <w:rFonts w:hint="eastAsia" w:ascii="宋体" w:hAnsi="宋体" w:cs="宋体"/>
          <w:bCs/>
          <w:color w:val="auto"/>
          <w:sz w:val="48"/>
          <w:szCs w:val="48"/>
        </w:rPr>
      </w:pPr>
      <w:r>
        <w:rPr>
          <w:rFonts w:hint="eastAsia" w:ascii="宋体" w:hAnsi="宋体" w:eastAsia="宋体" w:cs="宋体"/>
          <w:bCs/>
          <w:color w:val="auto"/>
          <w:kern w:val="2"/>
          <w:sz w:val="48"/>
          <w:szCs w:val="48"/>
          <w:lang w:val="en-US" w:eastAsia="zh-CN" w:bidi="ar-SA"/>
        </w:rPr>
        <w:t>（送审本）</w:t>
      </w:r>
    </w:p>
    <w:p>
      <w:pPr>
        <w:adjustRightInd w:val="0"/>
        <w:snapToGrid w:val="0"/>
        <w:spacing w:line="288" w:lineRule="auto"/>
        <w:ind w:firstLine="880"/>
        <w:jc w:val="center"/>
        <w:rPr>
          <w:rFonts w:ascii="华文仿宋" w:hAnsi="华文仿宋" w:eastAsia="华文仿宋" w:cs="华文仿宋"/>
          <w:color w:val="auto"/>
          <w:kern w:val="44"/>
          <w:sz w:val="44"/>
          <w:szCs w:val="44"/>
        </w:rPr>
      </w:pPr>
    </w:p>
    <w:p>
      <w:pPr>
        <w:ind w:firstLine="1040"/>
        <w:jc w:val="center"/>
        <w:rPr>
          <w:rFonts w:eastAsia="仿宋"/>
          <w:color w:val="auto"/>
          <w:sz w:val="52"/>
          <w:szCs w:val="52"/>
        </w:rPr>
      </w:pPr>
    </w:p>
    <w:p>
      <w:pPr>
        <w:ind w:firstLine="880"/>
        <w:rPr>
          <w:rFonts w:eastAsia="仿宋"/>
          <w:color w:val="auto"/>
          <w:sz w:val="44"/>
          <w:szCs w:val="44"/>
        </w:rPr>
      </w:pPr>
    </w:p>
    <w:p>
      <w:pPr>
        <w:ind w:firstLine="880"/>
        <w:jc w:val="left"/>
        <w:rPr>
          <w:rFonts w:eastAsia="仿宋"/>
          <w:color w:val="auto"/>
          <w:sz w:val="44"/>
          <w:szCs w:val="44"/>
        </w:rPr>
      </w:pPr>
    </w:p>
    <w:p>
      <w:pPr>
        <w:ind w:firstLine="880"/>
        <w:rPr>
          <w:rFonts w:eastAsia="仿宋"/>
          <w:color w:val="auto"/>
          <w:sz w:val="44"/>
          <w:szCs w:val="44"/>
        </w:rPr>
      </w:pPr>
    </w:p>
    <w:p>
      <w:pPr>
        <w:adjustRightInd w:val="0"/>
        <w:snapToGrid w:val="0"/>
        <w:spacing w:line="288" w:lineRule="auto"/>
        <w:rPr>
          <w:rFonts w:hint="eastAsia" w:eastAsia="仿宋_GB2312"/>
          <w:color w:val="auto"/>
          <w:sz w:val="36"/>
          <w:szCs w:val="36"/>
        </w:rPr>
      </w:pPr>
    </w:p>
    <w:p>
      <w:pPr>
        <w:adjustRightInd w:val="0"/>
        <w:snapToGrid w:val="0"/>
        <w:spacing w:line="288" w:lineRule="auto"/>
        <w:ind w:firstLine="1134" w:firstLineChars="315"/>
        <w:rPr>
          <w:rFonts w:hint="eastAsia" w:ascii="宋体" w:hAnsi="宋体" w:cs="宋体"/>
          <w:color w:val="auto"/>
          <w:sz w:val="36"/>
          <w:szCs w:val="36"/>
        </w:rPr>
      </w:pPr>
      <w:r>
        <w:rPr>
          <w:rFonts w:hint="eastAsia" w:ascii="宋体" w:hAnsi="宋体" w:cs="宋体"/>
          <w:color w:val="auto"/>
          <w:sz w:val="36"/>
          <w:szCs w:val="36"/>
        </w:rPr>
        <w:t>项目名称：</w:t>
      </w:r>
      <w:r>
        <w:rPr>
          <w:rFonts w:hint="eastAsia" w:ascii="宋体" w:hAnsi="宋体" w:cs="宋体"/>
          <w:color w:val="auto"/>
          <w:sz w:val="36"/>
          <w:szCs w:val="36"/>
          <w:u w:val="single"/>
        </w:rPr>
        <w:t xml:space="preserve"> </w:t>
      </w:r>
      <w:r>
        <w:rPr>
          <w:rFonts w:hint="eastAsia" w:ascii="宋体" w:hAnsi="宋体" w:cs="宋体"/>
          <w:color w:val="auto"/>
          <w:sz w:val="36"/>
          <w:szCs w:val="36"/>
          <w:u w:val="single"/>
          <w:lang w:eastAsia="zh-CN"/>
        </w:rPr>
        <w:t>乐山市市中区乐嘉宠物医院</w:t>
      </w:r>
      <w:r>
        <w:rPr>
          <w:rFonts w:hint="eastAsia" w:ascii="宋体" w:hAnsi="宋体" w:cs="宋体"/>
          <w:color w:val="auto"/>
          <w:sz w:val="36"/>
          <w:szCs w:val="36"/>
          <w:u w:val="single"/>
          <w:lang w:val="en-US" w:eastAsia="zh-CN"/>
        </w:rPr>
        <w:t xml:space="preserve">   </w:t>
      </w:r>
      <w:r>
        <w:rPr>
          <w:rFonts w:hint="eastAsia" w:ascii="宋体" w:hAnsi="宋体" w:cs="宋体"/>
          <w:color w:val="auto"/>
          <w:sz w:val="36"/>
          <w:szCs w:val="36"/>
          <w:u w:val="single"/>
        </w:rPr>
        <w:t xml:space="preserve"> </w:t>
      </w:r>
    </w:p>
    <w:p>
      <w:pPr>
        <w:adjustRightInd w:val="0"/>
        <w:snapToGrid w:val="0"/>
        <w:spacing w:line="288" w:lineRule="auto"/>
        <w:ind w:firstLine="1134" w:firstLineChars="315"/>
        <w:rPr>
          <w:rFonts w:hint="eastAsia" w:ascii="宋体" w:hAnsi="宋体" w:cs="宋体"/>
          <w:color w:val="auto"/>
          <w:sz w:val="36"/>
          <w:szCs w:val="36"/>
          <w:u w:val="single"/>
        </w:rPr>
      </w:pPr>
      <w:r>
        <w:rPr>
          <w:rFonts w:hint="eastAsia" w:ascii="宋体" w:hAnsi="宋体" w:cs="宋体"/>
          <w:color w:val="auto"/>
          <w:sz w:val="36"/>
          <w:szCs w:val="36"/>
        </w:rPr>
        <w:t>建设单位(盖章)</w:t>
      </w:r>
      <w:r>
        <w:rPr>
          <w:rFonts w:hint="eastAsia" w:ascii="宋体" w:hAnsi="宋体" w:cs="宋体"/>
          <w:color w:val="auto"/>
          <w:sz w:val="36"/>
          <w:szCs w:val="36"/>
          <w:u w:val="none"/>
        </w:rPr>
        <w:t>：</w:t>
      </w:r>
      <w:r>
        <w:rPr>
          <w:rFonts w:hint="eastAsia" w:ascii="宋体" w:hAnsi="宋体" w:cs="宋体"/>
          <w:color w:val="auto"/>
          <w:sz w:val="36"/>
          <w:szCs w:val="36"/>
          <w:u w:val="single"/>
          <w:lang w:val="en-US" w:eastAsia="zh-CN"/>
        </w:rPr>
        <w:t xml:space="preserve"> </w:t>
      </w:r>
      <w:r>
        <w:rPr>
          <w:rFonts w:hint="eastAsia" w:ascii="宋体" w:hAnsi="宋体" w:cs="宋体"/>
          <w:color w:val="auto"/>
          <w:sz w:val="36"/>
          <w:szCs w:val="36"/>
          <w:u w:val="single"/>
        </w:rPr>
        <w:t>乐山市市中区</w:t>
      </w:r>
      <w:r>
        <w:rPr>
          <w:rFonts w:hint="eastAsia" w:ascii="宋体" w:hAnsi="宋体" w:cs="宋体"/>
          <w:color w:val="auto"/>
          <w:sz w:val="36"/>
          <w:szCs w:val="36"/>
          <w:u w:val="single"/>
          <w:lang w:eastAsia="zh-CN"/>
        </w:rPr>
        <w:t>乐嘉</w:t>
      </w:r>
      <w:r>
        <w:rPr>
          <w:rFonts w:hint="eastAsia" w:ascii="宋体" w:hAnsi="宋体" w:cs="宋体"/>
          <w:color w:val="auto"/>
          <w:sz w:val="36"/>
          <w:szCs w:val="36"/>
          <w:u w:val="single"/>
        </w:rPr>
        <w:t xml:space="preserve">宠物医院 </w:t>
      </w:r>
    </w:p>
    <w:p>
      <w:pPr>
        <w:adjustRightInd w:val="0"/>
        <w:snapToGrid w:val="0"/>
        <w:spacing w:line="288" w:lineRule="auto"/>
        <w:ind w:firstLine="1134" w:firstLineChars="315"/>
        <w:rPr>
          <w:rFonts w:hint="eastAsia" w:ascii="宋体" w:hAnsi="宋体" w:cs="宋体"/>
          <w:color w:val="auto"/>
          <w:sz w:val="36"/>
          <w:szCs w:val="36"/>
        </w:rPr>
      </w:pPr>
      <w:r>
        <w:rPr>
          <w:rFonts w:hint="eastAsia" w:ascii="宋体" w:hAnsi="宋体" w:cs="宋体"/>
          <w:color w:val="auto"/>
          <w:sz w:val="36"/>
          <w:szCs w:val="36"/>
        </w:rPr>
        <w:t>编制日期：</w:t>
      </w:r>
      <w:r>
        <w:rPr>
          <w:rFonts w:hint="eastAsia" w:ascii="宋体" w:hAnsi="宋体" w:cs="宋体"/>
          <w:color w:val="auto"/>
          <w:sz w:val="36"/>
          <w:szCs w:val="36"/>
          <w:u w:val="single"/>
        </w:rPr>
        <w:t>202</w:t>
      </w:r>
      <w:r>
        <w:rPr>
          <w:rFonts w:hint="eastAsia" w:ascii="宋体" w:hAnsi="宋体" w:cs="宋体"/>
          <w:color w:val="auto"/>
          <w:sz w:val="36"/>
          <w:szCs w:val="36"/>
          <w:u w:val="single"/>
          <w:lang w:val="en-US" w:eastAsia="zh-CN"/>
        </w:rPr>
        <w:t>3</w:t>
      </w:r>
      <w:r>
        <w:rPr>
          <w:rFonts w:hint="eastAsia" w:ascii="宋体" w:hAnsi="宋体" w:cs="宋体"/>
          <w:color w:val="auto"/>
          <w:sz w:val="36"/>
          <w:szCs w:val="36"/>
          <w:u w:val="single"/>
        </w:rPr>
        <w:t>年</w:t>
      </w:r>
      <w:r>
        <w:rPr>
          <w:rFonts w:hint="eastAsia" w:ascii="宋体" w:hAnsi="宋体" w:cs="宋体"/>
          <w:color w:val="auto"/>
          <w:sz w:val="36"/>
          <w:szCs w:val="36"/>
          <w:u w:val="single"/>
          <w:lang w:val="en-US" w:eastAsia="zh-CN"/>
        </w:rPr>
        <w:t>2</w:t>
      </w:r>
      <w:r>
        <w:rPr>
          <w:rFonts w:hint="eastAsia" w:ascii="宋体" w:hAnsi="宋体" w:cs="宋体"/>
          <w:color w:val="auto"/>
          <w:sz w:val="36"/>
          <w:szCs w:val="36"/>
          <w:u w:val="single"/>
        </w:rPr>
        <w:t xml:space="preserve">月 </w:t>
      </w:r>
    </w:p>
    <w:p>
      <w:pPr>
        <w:adjustRightInd w:val="0"/>
        <w:snapToGrid w:val="0"/>
        <w:spacing w:line="288" w:lineRule="auto"/>
        <w:rPr>
          <w:rFonts w:ascii="仿宋_GB2312" w:eastAsia="仿宋_GB2312"/>
          <w:color w:val="auto"/>
          <w:sz w:val="36"/>
          <w:szCs w:val="36"/>
          <w:u w:val="single"/>
        </w:rPr>
      </w:pPr>
      <w:bookmarkStart w:id="1" w:name="_Hlk57884087"/>
    </w:p>
    <w:p>
      <w:pPr>
        <w:adjustRightInd w:val="0"/>
        <w:snapToGrid w:val="0"/>
        <w:spacing w:line="288" w:lineRule="auto"/>
        <w:rPr>
          <w:rFonts w:ascii="仿宋_GB2312" w:eastAsia="仿宋_GB2312"/>
          <w:color w:val="auto"/>
          <w:sz w:val="36"/>
          <w:szCs w:val="36"/>
        </w:rPr>
      </w:pPr>
    </w:p>
    <w:p>
      <w:pPr>
        <w:adjustRightInd w:val="0"/>
        <w:snapToGrid w:val="0"/>
        <w:spacing w:line="288" w:lineRule="auto"/>
        <w:rPr>
          <w:rFonts w:ascii="仿宋_GB2312" w:eastAsia="仿宋_GB2312"/>
          <w:color w:val="auto"/>
          <w:sz w:val="36"/>
          <w:szCs w:val="36"/>
        </w:rPr>
      </w:pPr>
    </w:p>
    <w:p>
      <w:pPr>
        <w:adjustRightInd w:val="0"/>
        <w:snapToGrid w:val="0"/>
        <w:spacing w:line="288" w:lineRule="auto"/>
        <w:rPr>
          <w:rFonts w:hint="eastAsia" w:ascii="仿宋_GB2312" w:eastAsia="仿宋_GB2312"/>
          <w:color w:val="auto"/>
          <w:sz w:val="36"/>
          <w:szCs w:val="36"/>
        </w:rPr>
      </w:pPr>
    </w:p>
    <w:p>
      <w:pPr>
        <w:adjustRightInd w:val="0"/>
        <w:snapToGrid w:val="0"/>
        <w:spacing w:line="288" w:lineRule="auto"/>
        <w:rPr>
          <w:rFonts w:hint="eastAsia" w:ascii="宋体" w:hAnsi="宋体" w:cs="宋体"/>
          <w:color w:val="auto"/>
          <w:sz w:val="36"/>
          <w:szCs w:val="36"/>
        </w:rPr>
      </w:pPr>
    </w:p>
    <w:bookmarkEnd w:id="1"/>
    <w:p>
      <w:pPr>
        <w:adjustRightInd w:val="0"/>
        <w:snapToGrid w:val="0"/>
        <w:spacing w:line="288" w:lineRule="auto"/>
        <w:ind w:firstLine="0" w:firstLineChars="0"/>
        <w:jc w:val="center"/>
        <w:rPr>
          <w:rFonts w:hint="eastAsia" w:ascii="宋体" w:hAnsi="宋体" w:cs="宋体"/>
          <w:color w:val="auto"/>
          <w:sz w:val="36"/>
          <w:szCs w:val="36"/>
        </w:rPr>
      </w:pPr>
      <w:r>
        <w:rPr>
          <w:rFonts w:hint="eastAsia" w:ascii="宋体" w:hAnsi="宋体" w:cs="宋体"/>
          <w:color w:val="auto"/>
          <w:sz w:val="36"/>
          <w:szCs w:val="36"/>
        </w:rPr>
        <w:t>中华人民共和国生态环境部制</w:t>
      </w:r>
    </w:p>
    <w:p>
      <w:pPr>
        <w:adjustRightInd w:val="0"/>
        <w:snapToGrid w:val="0"/>
        <w:spacing w:line="288" w:lineRule="auto"/>
        <w:jc w:val="center"/>
        <w:rPr>
          <w:b/>
          <w:bCs/>
          <w:color w:val="auto"/>
          <w:sz w:val="36"/>
          <w:szCs w:val="44"/>
        </w:rPr>
      </w:pPr>
      <w:r>
        <w:rPr>
          <w:rFonts w:hint="eastAsia" w:ascii="宋体" w:hAnsi="宋体" w:cs="宋体"/>
          <w:color w:val="auto"/>
          <w:sz w:val="36"/>
          <w:szCs w:val="36"/>
        </w:rPr>
        <w:br w:type="page"/>
      </w:r>
      <w:r>
        <w:rPr>
          <w:rFonts w:ascii="宋体" w:hAnsi="宋体"/>
          <w:b/>
          <w:bCs/>
          <w:color w:val="auto"/>
          <w:sz w:val="36"/>
          <w:szCs w:val="44"/>
        </w:rPr>
        <w:t>目录</w:t>
      </w:r>
    </w:p>
    <w:p>
      <w:pPr>
        <w:pStyle w:val="26"/>
        <w:tabs>
          <w:tab w:val="right" w:leader="dot" w:pos="8844"/>
        </w:tabs>
        <w:spacing w:before="240" w:after="240"/>
        <w:ind w:firstLine="560"/>
        <w:rPr>
          <w:color w:val="auto"/>
          <w:sz w:val="30"/>
          <w:szCs w:val="30"/>
        </w:rPr>
      </w:pPr>
      <w:r>
        <w:rPr>
          <w:rFonts w:hint="eastAsia"/>
          <w:color w:val="auto"/>
          <w:sz w:val="28"/>
          <w:szCs w:val="28"/>
        </w:rPr>
        <w:fldChar w:fldCharType="begin"/>
      </w:r>
      <w:r>
        <w:rPr>
          <w:rFonts w:hint="eastAsia"/>
          <w:color w:val="auto"/>
          <w:sz w:val="28"/>
          <w:szCs w:val="28"/>
        </w:rPr>
        <w:instrText xml:space="preserve">TOC \o "1-1" \h \u </w:instrText>
      </w:r>
      <w:r>
        <w:rPr>
          <w:rFonts w:hint="eastAsia"/>
          <w:color w:val="auto"/>
          <w:sz w:val="28"/>
          <w:szCs w:val="28"/>
        </w:rPr>
        <w:fldChar w:fldCharType="separate"/>
      </w:r>
      <w:r>
        <w:rPr>
          <w:rFonts w:hint="eastAsia"/>
          <w:color w:val="auto"/>
          <w:sz w:val="30"/>
          <w:szCs w:val="30"/>
        </w:rPr>
        <w:fldChar w:fldCharType="begin"/>
      </w:r>
      <w:r>
        <w:rPr>
          <w:rFonts w:hint="eastAsia"/>
          <w:color w:val="auto"/>
          <w:sz w:val="30"/>
          <w:szCs w:val="30"/>
        </w:rPr>
        <w:instrText xml:space="preserve"> HYPERLINK \l _Toc32001 </w:instrText>
      </w:r>
      <w:r>
        <w:rPr>
          <w:rFonts w:hint="eastAsia"/>
          <w:color w:val="auto"/>
          <w:sz w:val="30"/>
          <w:szCs w:val="30"/>
        </w:rPr>
        <w:fldChar w:fldCharType="separate"/>
      </w:r>
      <w:r>
        <w:rPr>
          <w:rFonts w:hint="eastAsia"/>
          <w:color w:val="auto"/>
          <w:sz w:val="30"/>
          <w:szCs w:val="30"/>
        </w:rPr>
        <w:t>一、建设项目基本情况</w:t>
      </w:r>
      <w:r>
        <w:rPr>
          <w:color w:val="auto"/>
          <w:sz w:val="30"/>
          <w:szCs w:val="30"/>
        </w:rPr>
        <w:tab/>
      </w:r>
      <w:r>
        <w:rPr>
          <w:color w:val="auto"/>
          <w:sz w:val="30"/>
          <w:szCs w:val="30"/>
        </w:rPr>
        <w:fldChar w:fldCharType="begin"/>
      </w:r>
      <w:r>
        <w:rPr>
          <w:color w:val="auto"/>
          <w:sz w:val="30"/>
          <w:szCs w:val="30"/>
        </w:rPr>
        <w:instrText xml:space="preserve"> PAGEREF _Toc32001 \h </w:instrText>
      </w:r>
      <w:r>
        <w:rPr>
          <w:color w:val="auto"/>
          <w:sz w:val="30"/>
          <w:szCs w:val="30"/>
        </w:rPr>
        <w:fldChar w:fldCharType="separate"/>
      </w:r>
      <w:r>
        <w:rPr>
          <w:color w:val="auto"/>
          <w:sz w:val="30"/>
          <w:szCs w:val="30"/>
        </w:rPr>
        <w:t>1</w:t>
      </w:r>
      <w:r>
        <w:rPr>
          <w:color w:val="auto"/>
          <w:sz w:val="30"/>
          <w:szCs w:val="30"/>
        </w:rPr>
        <w:fldChar w:fldCharType="end"/>
      </w:r>
      <w:r>
        <w:rPr>
          <w:rFonts w:hint="eastAsia"/>
          <w:color w:val="auto"/>
          <w:sz w:val="30"/>
          <w:szCs w:val="30"/>
        </w:rPr>
        <w:fldChar w:fldCharType="end"/>
      </w:r>
    </w:p>
    <w:p>
      <w:pPr>
        <w:pStyle w:val="26"/>
        <w:tabs>
          <w:tab w:val="right" w:leader="dot" w:pos="8844"/>
        </w:tabs>
        <w:spacing w:before="240" w:after="240"/>
        <w:ind w:firstLine="600"/>
        <w:rPr>
          <w:color w:val="auto"/>
          <w:sz w:val="30"/>
          <w:szCs w:val="30"/>
        </w:rPr>
      </w:pPr>
      <w:r>
        <w:rPr>
          <w:rFonts w:hint="eastAsia"/>
          <w:color w:val="auto"/>
          <w:sz w:val="30"/>
          <w:szCs w:val="30"/>
        </w:rPr>
        <w:fldChar w:fldCharType="begin"/>
      </w:r>
      <w:r>
        <w:rPr>
          <w:rFonts w:hint="eastAsia"/>
          <w:color w:val="auto"/>
          <w:sz w:val="30"/>
          <w:szCs w:val="30"/>
        </w:rPr>
        <w:instrText xml:space="preserve"> HYPERLINK \l _Toc10655 </w:instrText>
      </w:r>
      <w:r>
        <w:rPr>
          <w:rFonts w:hint="eastAsia"/>
          <w:color w:val="auto"/>
          <w:sz w:val="30"/>
          <w:szCs w:val="30"/>
        </w:rPr>
        <w:fldChar w:fldCharType="separate"/>
      </w:r>
      <w:r>
        <w:rPr>
          <w:rFonts w:hint="eastAsia"/>
          <w:color w:val="auto"/>
          <w:sz w:val="30"/>
          <w:szCs w:val="30"/>
        </w:rPr>
        <w:t>二、建设项目工程分析</w:t>
      </w:r>
      <w:r>
        <w:rPr>
          <w:color w:val="auto"/>
          <w:sz w:val="30"/>
          <w:szCs w:val="30"/>
        </w:rPr>
        <w:tab/>
      </w:r>
      <w:r>
        <w:rPr>
          <w:color w:val="auto"/>
          <w:sz w:val="30"/>
          <w:szCs w:val="30"/>
        </w:rPr>
        <w:fldChar w:fldCharType="begin"/>
      </w:r>
      <w:r>
        <w:rPr>
          <w:color w:val="auto"/>
          <w:sz w:val="30"/>
          <w:szCs w:val="30"/>
        </w:rPr>
        <w:instrText xml:space="preserve"> PAGEREF _Toc10655 \h </w:instrText>
      </w:r>
      <w:r>
        <w:rPr>
          <w:color w:val="auto"/>
          <w:sz w:val="30"/>
          <w:szCs w:val="30"/>
        </w:rPr>
        <w:fldChar w:fldCharType="separate"/>
      </w:r>
      <w:r>
        <w:rPr>
          <w:color w:val="auto"/>
          <w:sz w:val="30"/>
          <w:szCs w:val="30"/>
        </w:rPr>
        <w:t>10</w:t>
      </w:r>
      <w:r>
        <w:rPr>
          <w:color w:val="auto"/>
          <w:sz w:val="30"/>
          <w:szCs w:val="30"/>
        </w:rPr>
        <w:fldChar w:fldCharType="end"/>
      </w:r>
      <w:r>
        <w:rPr>
          <w:rFonts w:hint="eastAsia"/>
          <w:color w:val="auto"/>
          <w:sz w:val="30"/>
          <w:szCs w:val="30"/>
        </w:rPr>
        <w:fldChar w:fldCharType="end"/>
      </w:r>
    </w:p>
    <w:p>
      <w:pPr>
        <w:pStyle w:val="26"/>
        <w:tabs>
          <w:tab w:val="right" w:leader="dot" w:pos="8844"/>
        </w:tabs>
        <w:spacing w:before="240" w:after="240"/>
        <w:ind w:firstLine="600"/>
        <w:rPr>
          <w:color w:val="auto"/>
          <w:sz w:val="30"/>
          <w:szCs w:val="30"/>
        </w:rPr>
      </w:pPr>
      <w:r>
        <w:rPr>
          <w:rFonts w:hint="eastAsia"/>
          <w:color w:val="auto"/>
          <w:sz w:val="30"/>
          <w:szCs w:val="30"/>
        </w:rPr>
        <w:fldChar w:fldCharType="begin"/>
      </w:r>
      <w:r>
        <w:rPr>
          <w:rFonts w:hint="eastAsia"/>
          <w:color w:val="auto"/>
          <w:sz w:val="30"/>
          <w:szCs w:val="30"/>
        </w:rPr>
        <w:instrText xml:space="preserve"> HYPERLINK \l _Toc29106 </w:instrText>
      </w:r>
      <w:r>
        <w:rPr>
          <w:rFonts w:hint="eastAsia"/>
          <w:color w:val="auto"/>
          <w:sz w:val="30"/>
          <w:szCs w:val="30"/>
        </w:rPr>
        <w:fldChar w:fldCharType="separate"/>
      </w:r>
      <w:r>
        <w:rPr>
          <w:rFonts w:hint="eastAsia"/>
          <w:color w:val="auto"/>
          <w:sz w:val="30"/>
          <w:szCs w:val="30"/>
        </w:rPr>
        <w:t>三、区域环境质量现状、环境保护目标及评价标准</w:t>
      </w:r>
      <w:r>
        <w:rPr>
          <w:color w:val="auto"/>
          <w:sz w:val="30"/>
          <w:szCs w:val="30"/>
        </w:rPr>
        <w:tab/>
      </w:r>
      <w:r>
        <w:rPr>
          <w:color w:val="auto"/>
          <w:sz w:val="30"/>
          <w:szCs w:val="30"/>
        </w:rPr>
        <w:fldChar w:fldCharType="begin"/>
      </w:r>
      <w:r>
        <w:rPr>
          <w:color w:val="auto"/>
          <w:sz w:val="30"/>
          <w:szCs w:val="30"/>
        </w:rPr>
        <w:instrText xml:space="preserve"> PAGEREF _Toc29106 \h </w:instrText>
      </w:r>
      <w:r>
        <w:rPr>
          <w:color w:val="auto"/>
          <w:sz w:val="30"/>
          <w:szCs w:val="30"/>
        </w:rPr>
        <w:fldChar w:fldCharType="separate"/>
      </w:r>
      <w:r>
        <w:rPr>
          <w:color w:val="auto"/>
          <w:sz w:val="30"/>
          <w:szCs w:val="30"/>
        </w:rPr>
        <w:t>20</w:t>
      </w:r>
      <w:r>
        <w:rPr>
          <w:color w:val="auto"/>
          <w:sz w:val="30"/>
          <w:szCs w:val="30"/>
        </w:rPr>
        <w:fldChar w:fldCharType="end"/>
      </w:r>
      <w:r>
        <w:rPr>
          <w:rFonts w:hint="eastAsia"/>
          <w:color w:val="auto"/>
          <w:sz w:val="30"/>
          <w:szCs w:val="30"/>
        </w:rPr>
        <w:fldChar w:fldCharType="end"/>
      </w:r>
    </w:p>
    <w:p>
      <w:pPr>
        <w:pStyle w:val="26"/>
        <w:tabs>
          <w:tab w:val="right" w:leader="dot" w:pos="8844"/>
        </w:tabs>
        <w:spacing w:before="240" w:after="240"/>
        <w:ind w:firstLine="600"/>
        <w:rPr>
          <w:color w:val="auto"/>
          <w:sz w:val="30"/>
          <w:szCs w:val="30"/>
        </w:rPr>
      </w:pPr>
      <w:r>
        <w:rPr>
          <w:rFonts w:hint="eastAsia"/>
          <w:color w:val="auto"/>
          <w:sz w:val="30"/>
          <w:szCs w:val="30"/>
        </w:rPr>
        <w:fldChar w:fldCharType="begin"/>
      </w:r>
      <w:r>
        <w:rPr>
          <w:rFonts w:hint="eastAsia"/>
          <w:color w:val="auto"/>
          <w:sz w:val="30"/>
          <w:szCs w:val="30"/>
        </w:rPr>
        <w:instrText xml:space="preserve"> HYPERLINK \l _Toc5151 </w:instrText>
      </w:r>
      <w:r>
        <w:rPr>
          <w:rFonts w:hint="eastAsia"/>
          <w:color w:val="auto"/>
          <w:sz w:val="30"/>
          <w:szCs w:val="30"/>
        </w:rPr>
        <w:fldChar w:fldCharType="separate"/>
      </w:r>
      <w:r>
        <w:rPr>
          <w:rFonts w:hint="eastAsia" w:ascii="宋体" w:hAnsi="宋体" w:cs="宋体"/>
          <w:snapToGrid w:val="0"/>
          <w:color w:val="auto"/>
          <w:sz w:val="30"/>
          <w:szCs w:val="30"/>
        </w:rPr>
        <w:t>四、主要环境影响和保护措施</w:t>
      </w:r>
      <w:r>
        <w:rPr>
          <w:color w:val="auto"/>
          <w:sz w:val="30"/>
          <w:szCs w:val="30"/>
        </w:rPr>
        <w:tab/>
      </w:r>
      <w:r>
        <w:rPr>
          <w:color w:val="auto"/>
          <w:sz w:val="30"/>
          <w:szCs w:val="30"/>
        </w:rPr>
        <w:fldChar w:fldCharType="begin"/>
      </w:r>
      <w:r>
        <w:rPr>
          <w:color w:val="auto"/>
          <w:sz w:val="30"/>
          <w:szCs w:val="30"/>
        </w:rPr>
        <w:instrText xml:space="preserve"> PAGEREF _Toc5151 \h </w:instrText>
      </w:r>
      <w:r>
        <w:rPr>
          <w:color w:val="auto"/>
          <w:sz w:val="30"/>
          <w:szCs w:val="30"/>
        </w:rPr>
        <w:fldChar w:fldCharType="separate"/>
      </w:r>
      <w:r>
        <w:rPr>
          <w:color w:val="auto"/>
          <w:sz w:val="30"/>
          <w:szCs w:val="30"/>
        </w:rPr>
        <w:t>25</w:t>
      </w:r>
      <w:r>
        <w:rPr>
          <w:color w:val="auto"/>
          <w:sz w:val="30"/>
          <w:szCs w:val="30"/>
        </w:rPr>
        <w:fldChar w:fldCharType="end"/>
      </w:r>
      <w:r>
        <w:rPr>
          <w:rFonts w:hint="eastAsia"/>
          <w:color w:val="auto"/>
          <w:sz w:val="30"/>
          <w:szCs w:val="30"/>
        </w:rPr>
        <w:fldChar w:fldCharType="end"/>
      </w:r>
    </w:p>
    <w:p>
      <w:pPr>
        <w:pStyle w:val="26"/>
        <w:tabs>
          <w:tab w:val="right" w:leader="dot" w:pos="8844"/>
        </w:tabs>
        <w:spacing w:before="240" w:after="240"/>
        <w:ind w:firstLine="600"/>
        <w:rPr>
          <w:color w:val="auto"/>
          <w:sz w:val="30"/>
          <w:szCs w:val="30"/>
        </w:rPr>
      </w:pPr>
      <w:r>
        <w:rPr>
          <w:rFonts w:hint="eastAsia"/>
          <w:color w:val="auto"/>
          <w:sz w:val="30"/>
          <w:szCs w:val="30"/>
        </w:rPr>
        <w:fldChar w:fldCharType="begin"/>
      </w:r>
      <w:r>
        <w:rPr>
          <w:rFonts w:hint="eastAsia"/>
          <w:color w:val="auto"/>
          <w:sz w:val="30"/>
          <w:szCs w:val="30"/>
        </w:rPr>
        <w:instrText xml:space="preserve"> HYPERLINK \l _Toc20378 </w:instrText>
      </w:r>
      <w:r>
        <w:rPr>
          <w:rFonts w:hint="eastAsia"/>
          <w:color w:val="auto"/>
          <w:sz w:val="30"/>
          <w:szCs w:val="30"/>
        </w:rPr>
        <w:fldChar w:fldCharType="separate"/>
      </w:r>
      <w:r>
        <w:rPr>
          <w:rFonts w:hint="eastAsia" w:ascii="宋体" w:hAnsi="宋体" w:cs="宋体"/>
          <w:bCs/>
          <w:snapToGrid w:val="0"/>
          <w:color w:val="auto"/>
          <w:sz w:val="30"/>
          <w:szCs w:val="30"/>
        </w:rPr>
        <w:t>五、环境保护措施监督检查清单</w:t>
      </w:r>
      <w:r>
        <w:rPr>
          <w:color w:val="auto"/>
          <w:sz w:val="30"/>
          <w:szCs w:val="30"/>
        </w:rPr>
        <w:tab/>
      </w:r>
      <w:r>
        <w:rPr>
          <w:color w:val="auto"/>
          <w:sz w:val="30"/>
          <w:szCs w:val="30"/>
        </w:rPr>
        <w:fldChar w:fldCharType="begin"/>
      </w:r>
      <w:r>
        <w:rPr>
          <w:color w:val="auto"/>
          <w:sz w:val="30"/>
          <w:szCs w:val="30"/>
        </w:rPr>
        <w:instrText xml:space="preserve"> PAGEREF _Toc20378 \h </w:instrText>
      </w:r>
      <w:r>
        <w:rPr>
          <w:color w:val="auto"/>
          <w:sz w:val="30"/>
          <w:szCs w:val="30"/>
        </w:rPr>
        <w:fldChar w:fldCharType="separate"/>
      </w:r>
      <w:r>
        <w:rPr>
          <w:color w:val="auto"/>
          <w:sz w:val="30"/>
          <w:szCs w:val="30"/>
        </w:rPr>
        <w:t>48</w:t>
      </w:r>
      <w:r>
        <w:rPr>
          <w:color w:val="auto"/>
          <w:sz w:val="30"/>
          <w:szCs w:val="30"/>
        </w:rPr>
        <w:fldChar w:fldCharType="end"/>
      </w:r>
      <w:r>
        <w:rPr>
          <w:rFonts w:hint="eastAsia"/>
          <w:color w:val="auto"/>
          <w:sz w:val="30"/>
          <w:szCs w:val="30"/>
        </w:rPr>
        <w:fldChar w:fldCharType="end"/>
      </w:r>
    </w:p>
    <w:p>
      <w:pPr>
        <w:pStyle w:val="26"/>
        <w:tabs>
          <w:tab w:val="right" w:leader="dot" w:pos="8844"/>
        </w:tabs>
        <w:spacing w:before="240" w:after="240"/>
        <w:ind w:firstLine="600"/>
        <w:rPr>
          <w:color w:val="auto"/>
          <w:sz w:val="30"/>
          <w:szCs w:val="30"/>
        </w:rPr>
      </w:pPr>
      <w:r>
        <w:rPr>
          <w:rFonts w:hint="eastAsia"/>
          <w:color w:val="auto"/>
          <w:sz w:val="30"/>
          <w:szCs w:val="30"/>
        </w:rPr>
        <w:fldChar w:fldCharType="begin"/>
      </w:r>
      <w:r>
        <w:rPr>
          <w:rFonts w:hint="eastAsia"/>
          <w:color w:val="auto"/>
          <w:sz w:val="30"/>
          <w:szCs w:val="30"/>
        </w:rPr>
        <w:instrText xml:space="preserve"> HYPERLINK \l _Toc15574 </w:instrText>
      </w:r>
      <w:r>
        <w:rPr>
          <w:rFonts w:hint="eastAsia"/>
          <w:color w:val="auto"/>
          <w:sz w:val="30"/>
          <w:szCs w:val="30"/>
        </w:rPr>
        <w:fldChar w:fldCharType="separate"/>
      </w:r>
      <w:r>
        <w:rPr>
          <w:rFonts w:hint="eastAsia" w:ascii="宋体" w:hAnsi="宋体" w:cs="宋体"/>
          <w:bCs/>
          <w:snapToGrid w:val="0"/>
          <w:color w:val="auto"/>
          <w:sz w:val="30"/>
          <w:szCs w:val="30"/>
        </w:rPr>
        <w:t>六、结论</w:t>
      </w:r>
      <w:r>
        <w:rPr>
          <w:color w:val="auto"/>
          <w:sz w:val="30"/>
          <w:szCs w:val="30"/>
        </w:rPr>
        <w:tab/>
      </w:r>
      <w:r>
        <w:rPr>
          <w:color w:val="auto"/>
          <w:sz w:val="30"/>
          <w:szCs w:val="30"/>
        </w:rPr>
        <w:fldChar w:fldCharType="begin"/>
      </w:r>
      <w:r>
        <w:rPr>
          <w:color w:val="auto"/>
          <w:sz w:val="30"/>
          <w:szCs w:val="30"/>
        </w:rPr>
        <w:instrText xml:space="preserve"> PAGEREF _Toc15574 \h </w:instrText>
      </w:r>
      <w:r>
        <w:rPr>
          <w:color w:val="auto"/>
          <w:sz w:val="30"/>
          <w:szCs w:val="30"/>
        </w:rPr>
        <w:fldChar w:fldCharType="separate"/>
      </w:r>
      <w:r>
        <w:rPr>
          <w:color w:val="auto"/>
          <w:sz w:val="30"/>
          <w:szCs w:val="30"/>
        </w:rPr>
        <w:t>51</w:t>
      </w:r>
      <w:r>
        <w:rPr>
          <w:color w:val="auto"/>
          <w:sz w:val="30"/>
          <w:szCs w:val="30"/>
        </w:rPr>
        <w:fldChar w:fldCharType="end"/>
      </w:r>
      <w:r>
        <w:rPr>
          <w:rFonts w:hint="eastAsia"/>
          <w:color w:val="auto"/>
          <w:sz w:val="30"/>
          <w:szCs w:val="30"/>
        </w:rPr>
        <w:fldChar w:fldCharType="end"/>
      </w:r>
    </w:p>
    <w:p>
      <w:pPr>
        <w:pStyle w:val="26"/>
        <w:tabs>
          <w:tab w:val="right" w:leader="dot" w:pos="8844"/>
        </w:tabs>
        <w:spacing w:before="240" w:after="240"/>
        <w:ind w:firstLine="600"/>
        <w:rPr>
          <w:color w:val="auto"/>
        </w:rPr>
      </w:pPr>
      <w:r>
        <w:rPr>
          <w:rFonts w:hint="eastAsia"/>
          <w:color w:val="auto"/>
          <w:sz w:val="30"/>
          <w:szCs w:val="30"/>
        </w:rPr>
        <w:fldChar w:fldCharType="begin"/>
      </w:r>
      <w:r>
        <w:rPr>
          <w:rFonts w:hint="eastAsia"/>
          <w:color w:val="auto"/>
          <w:sz w:val="30"/>
          <w:szCs w:val="30"/>
        </w:rPr>
        <w:instrText xml:space="preserve"> HYPERLINK \l _Toc15947 </w:instrText>
      </w:r>
      <w:r>
        <w:rPr>
          <w:rFonts w:hint="eastAsia"/>
          <w:color w:val="auto"/>
          <w:sz w:val="30"/>
          <w:szCs w:val="30"/>
        </w:rPr>
        <w:fldChar w:fldCharType="separate"/>
      </w:r>
      <w:r>
        <w:rPr>
          <w:rFonts w:hint="eastAsia" w:ascii="宋体" w:hAnsi="宋体" w:cs="宋体"/>
          <w:bCs/>
          <w:snapToGrid w:val="0"/>
          <w:color w:val="auto"/>
          <w:sz w:val="30"/>
          <w:szCs w:val="30"/>
        </w:rPr>
        <w:t>建设项目污染物排放量汇总表</w:t>
      </w:r>
      <w:r>
        <w:rPr>
          <w:color w:val="auto"/>
          <w:sz w:val="30"/>
          <w:szCs w:val="30"/>
        </w:rPr>
        <w:tab/>
      </w:r>
      <w:r>
        <w:rPr>
          <w:color w:val="auto"/>
          <w:sz w:val="30"/>
          <w:szCs w:val="30"/>
        </w:rPr>
        <w:fldChar w:fldCharType="begin"/>
      </w:r>
      <w:r>
        <w:rPr>
          <w:color w:val="auto"/>
          <w:sz w:val="30"/>
          <w:szCs w:val="30"/>
        </w:rPr>
        <w:instrText xml:space="preserve"> PAGEREF _Toc15947 \h </w:instrText>
      </w:r>
      <w:r>
        <w:rPr>
          <w:color w:val="auto"/>
          <w:sz w:val="30"/>
          <w:szCs w:val="30"/>
        </w:rPr>
        <w:fldChar w:fldCharType="separate"/>
      </w:r>
      <w:r>
        <w:rPr>
          <w:color w:val="auto"/>
          <w:sz w:val="30"/>
          <w:szCs w:val="30"/>
        </w:rPr>
        <w:t>52</w:t>
      </w:r>
      <w:r>
        <w:rPr>
          <w:color w:val="auto"/>
          <w:sz w:val="30"/>
          <w:szCs w:val="30"/>
        </w:rPr>
        <w:fldChar w:fldCharType="end"/>
      </w:r>
      <w:r>
        <w:rPr>
          <w:rFonts w:hint="eastAsia"/>
          <w:color w:val="auto"/>
          <w:sz w:val="30"/>
          <w:szCs w:val="30"/>
        </w:rPr>
        <w:fldChar w:fldCharType="end"/>
      </w:r>
    </w:p>
    <w:p>
      <w:pPr>
        <w:pStyle w:val="38"/>
        <w:spacing w:after="0" w:line="360" w:lineRule="auto"/>
        <w:ind w:left="0" w:leftChars="0" w:firstLine="480"/>
        <w:rPr>
          <w:rFonts w:hint="eastAsia" w:ascii="宋体" w:hAnsi="宋体" w:cs="宋体"/>
          <w:b/>
          <w:snapToGrid w:val="0"/>
          <w:color w:val="auto"/>
          <w:kern w:val="2"/>
          <w:sz w:val="28"/>
          <w:szCs w:val="28"/>
        </w:rPr>
      </w:pPr>
      <w:r>
        <w:rPr>
          <w:rFonts w:hint="eastAsia"/>
          <w:color w:val="auto"/>
        </w:rPr>
        <w:fldChar w:fldCharType="end"/>
      </w:r>
      <w:r>
        <w:rPr>
          <w:rFonts w:hint="eastAsia" w:ascii="宋体" w:hAnsi="宋体" w:cs="宋体"/>
          <w:b/>
          <w:snapToGrid w:val="0"/>
          <w:color w:val="auto"/>
          <w:kern w:val="2"/>
          <w:szCs w:val="24"/>
        </w:rPr>
        <w:t>附图：</w:t>
      </w:r>
    </w:p>
    <w:p>
      <w:pPr>
        <w:pStyle w:val="110"/>
        <w:numPr>
          <w:ilvl w:val="0"/>
          <w:numId w:val="5"/>
        </w:numPr>
        <w:ind w:firstLine="480"/>
        <w:rPr>
          <w:rFonts w:hint="eastAsia"/>
          <w:color w:val="auto"/>
        </w:rPr>
      </w:pPr>
      <w:r>
        <w:rPr>
          <w:rFonts w:hint="eastAsia"/>
          <w:color w:val="auto"/>
        </w:rPr>
        <w:t>项目地理位置图</w:t>
      </w:r>
    </w:p>
    <w:p>
      <w:pPr>
        <w:pStyle w:val="110"/>
        <w:numPr>
          <w:ilvl w:val="0"/>
          <w:numId w:val="5"/>
        </w:numPr>
        <w:ind w:firstLine="480"/>
        <w:rPr>
          <w:color w:val="auto"/>
        </w:rPr>
      </w:pPr>
      <w:r>
        <w:rPr>
          <w:rFonts w:hint="eastAsia"/>
          <w:color w:val="auto"/>
        </w:rPr>
        <w:t>项目与所在区域环境管控单元的位置关系图</w:t>
      </w:r>
    </w:p>
    <w:p>
      <w:pPr>
        <w:pStyle w:val="110"/>
        <w:numPr>
          <w:ilvl w:val="0"/>
          <w:numId w:val="5"/>
        </w:numPr>
        <w:ind w:firstLine="480"/>
        <w:rPr>
          <w:color w:val="auto"/>
        </w:rPr>
      </w:pPr>
      <w:r>
        <w:rPr>
          <w:rFonts w:hint="eastAsia"/>
          <w:color w:val="auto"/>
        </w:rPr>
        <w:t>本项目所在生态保护红线位置示意图</w:t>
      </w:r>
    </w:p>
    <w:p>
      <w:pPr>
        <w:pStyle w:val="110"/>
        <w:numPr>
          <w:ilvl w:val="0"/>
          <w:numId w:val="5"/>
        </w:numPr>
        <w:ind w:firstLine="480"/>
        <w:rPr>
          <w:color w:val="auto"/>
        </w:rPr>
      </w:pPr>
      <w:r>
        <w:rPr>
          <w:rFonts w:hint="eastAsia"/>
          <w:color w:val="auto"/>
          <w:lang w:eastAsia="zh-CN"/>
        </w:rPr>
        <w:t>乐山市城市总体规划图</w:t>
      </w:r>
    </w:p>
    <w:p>
      <w:pPr>
        <w:pStyle w:val="110"/>
        <w:ind w:firstLine="480"/>
        <w:rPr>
          <w:rFonts w:hint="eastAsia" w:eastAsia="宋体"/>
          <w:color w:val="auto"/>
          <w:lang w:eastAsia="zh-CN"/>
        </w:rPr>
      </w:pPr>
      <w:r>
        <w:rPr>
          <w:rFonts w:hint="eastAsia"/>
          <w:color w:val="auto"/>
          <w:lang w:val="en-US" w:eastAsia="zh-CN"/>
        </w:rPr>
        <w:t>5</w:t>
      </w:r>
      <w:r>
        <w:rPr>
          <w:rFonts w:hint="eastAsia"/>
          <w:color w:val="auto"/>
        </w:rPr>
        <w:t>、</w:t>
      </w:r>
      <w:r>
        <w:rPr>
          <w:rFonts w:hint="eastAsia"/>
          <w:color w:val="auto"/>
          <w:lang w:eastAsia="zh-CN"/>
        </w:rPr>
        <w:t>项目所在区域污水管网布局及走向示意图</w:t>
      </w:r>
    </w:p>
    <w:p>
      <w:pPr>
        <w:pStyle w:val="110"/>
        <w:ind w:firstLine="480"/>
        <w:rPr>
          <w:rFonts w:hint="eastAsia" w:eastAsia="宋体"/>
          <w:color w:val="auto"/>
          <w:lang w:eastAsia="zh-CN"/>
        </w:rPr>
      </w:pPr>
      <w:r>
        <w:rPr>
          <w:rFonts w:hint="eastAsia"/>
          <w:color w:val="auto"/>
        </w:rPr>
        <w:t>6、</w:t>
      </w:r>
      <w:r>
        <w:rPr>
          <w:rFonts w:hint="eastAsia"/>
          <w:color w:val="auto"/>
          <w:lang w:eastAsia="zh-CN"/>
        </w:rPr>
        <w:t>项目外环境关系示意图</w:t>
      </w:r>
    </w:p>
    <w:p>
      <w:pPr>
        <w:pStyle w:val="110"/>
        <w:ind w:firstLine="480"/>
        <w:rPr>
          <w:rFonts w:hint="eastAsia" w:eastAsia="宋体"/>
          <w:color w:val="auto"/>
          <w:lang w:eastAsia="zh-CN"/>
        </w:rPr>
      </w:pPr>
      <w:r>
        <w:rPr>
          <w:rFonts w:hint="eastAsia"/>
          <w:color w:val="auto"/>
        </w:rPr>
        <w:t>7、</w:t>
      </w:r>
      <w:r>
        <w:rPr>
          <w:rFonts w:hint="eastAsia"/>
          <w:color w:val="auto"/>
          <w:lang w:eastAsia="zh-CN"/>
        </w:rPr>
        <w:t>项目一楼总平面布置示意图</w:t>
      </w:r>
    </w:p>
    <w:p>
      <w:pPr>
        <w:pStyle w:val="110"/>
        <w:ind w:firstLine="480"/>
        <w:rPr>
          <w:rFonts w:hint="eastAsia" w:eastAsia="宋体"/>
          <w:color w:val="auto"/>
          <w:lang w:eastAsia="zh-CN"/>
        </w:rPr>
      </w:pPr>
      <w:r>
        <w:rPr>
          <w:color w:val="auto"/>
        </w:rPr>
        <w:t>8</w:t>
      </w:r>
      <w:r>
        <w:rPr>
          <w:rFonts w:hint="eastAsia"/>
          <w:color w:val="auto"/>
        </w:rPr>
        <w:t>、</w:t>
      </w:r>
      <w:r>
        <w:rPr>
          <w:rFonts w:hint="eastAsia"/>
          <w:color w:val="auto"/>
          <w:lang w:eastAsia="zh-CN"/>
        </w:rPr>
        <w:t>项目二楼总平面布置示意图</w:t>
      </w:r>
    </w:p>
    <w:p>
      <w:pPr>
        <w:pStyle w:val="110"/>
        <w:ind w:firstLine="482"/>
        <w:rPr>
          <w:rFonts w:hint="eastAsia"/>
          <w:b/>
          <w:bCs/>
          <w:color w:val="auto"/>
        </w:rPr>
      </w:pPr>
      <w:r>
        <w:rPr>
          <w:rFonts w:hint="eastAsia"/>
          <w:b/>
          <w:bCs/>
          <w:color w:val="auto"/>
        </w:rPr>
        <w:t>附件：</w:t>
      </w:r>
    </w:p>
    <w:p>
      <w:pPr>
        <w:pStyle w:val="110"/>
        <w:numPr>
          <w:ilvl w:val="0"/>
          <w:numId w:val="6"/>
        </w:numPr>
        <w:ind w:firstLine="480"/>
        <w:rPr>
          <w:rFonts w:hint="eastAsia"/>
          <w:color w:val="auto"/>
        </w:rPr>
      </w:pPr>
      <w:r>
        <w:rPr>
          <w:rFonts w:hint="eastAsia"/>
          <w:color w:val="auto"/>
        </w:rPr>
        <w:t>项目委托书</w:t>
      </w:r>
    </w:p>
    <w:p>
      <w:pPr>
        <w:pStyle w:val="110"/>
        <w:numPr>
          <w:ilvl w:val="0"/>
          <w:numId w:val="6"/>
        </w:numPr>
        <w:ind w:firstLine="480"/>
        <w:rPr>
          <w:color w:val="auto"/>
        </w:rPr>
      </w:pPr>
      <w:r>
        <w:rPr>
          <w:rFonts w:hint="eastAsia"/>
          <w:color w:val="auto"/>
          <w:lang w:eastAsia="zh-CN"/>
        </w:rPr>
        <w:t>营业执照</w:t>
      </w:r>
    </w:p>
    <w:p>
      <w:pPr>
        <w:pStyle w:val="110"/>
        <w:numPr>
          <w:ilvl w:val="0"/>
          <w:numId w:val="6"/>
        </w:numPr>
        <w:ind w:firstLine="480"/>
        <w:rPr>
          <w:color w:val="auto"/>
        </w:rPr>
      </w:pPr>
      <w:r>
        <w:rPr>
          <w:rFonts w:hint="eastAsia"/>
          <w:color w:val="auto"/>
          <w:lang w:eastAsia="zh-CN"/>
        </w:rPr>
        <w:t>法人身份证</w:t>
      </w:r>
    </w:p>
    <w:p>
      <w:pPr>
        <w:pStyle w:val="110"/>
        <w:numPr>
          <w:ilvl w:val="0"/>
          <w:numId w:val="6"/>
        </w:numPr>
        <w:ind w:firstLine="480"/>
        <w:rPr>
          <w:color w:val="auto"/>
        </w:rPr>
      </w:pPr>
      <w:r>
        <w:rPr>
          <w:rFonts w:hint="eastAsia"/>
          <w:color w:val="auto"/>
          <w:lang w:eastAsia="zh-CN"/>
        </w:rPr>
        <w:t>不动产权证、宗地图</w:t>
      </w:r>
    </w:p>
    <w:p>
      <w:pPr>
        <w:pStyle w:val="110"/>
        <w:numPr>
          <w:ilvl w:val="0"/>
          <w:numId w:val="6"/>
        </w:numPr>
        <w:ind w:firstLine="480"/>
        <w:rPr>
          <w:color w:val="auto"/>
        </w:rPr>
      </w:pPr>
      <w:r>
        <w:rPr>
          <w:rFonts w:hint="eastAsia"/>
          <w:color w:val="auto"/>
          <w:lang w:eastAsia="zh-CN"/>
        </w:rPr>
        <w:t>兽医资格证书</w:t>
      </w:r>
    </w:p>
    <w:p>
      <w:pPr>
        <w:pStyle w:val="110"/>
        <w:numPr>
          <w:ilvl w:val="0"/>
          <w:numId w:val="6"/>
        </w:numPr>
        <w:ind w:firstLine="480"/>
        <w:rPr>
          <w:color w:val="auto"/>
        </w:rPr>
      </w:pPr>
      <w:r>
        <w:rPr>
          <w:rFonts w:hint="eastAsia"/>
          <w:color w:val="auto"/>
        </w:rPr>
        <w:t>乐山市生态环境局行政处罚事先告知书（乐中环罚告[2022]24号）</w:t>
      </w:r>
    </w:p>
    <w:p>
      <w:pPr>
        <w:pStyle w:val="110"/>
        <w:numPr>
          <w:ilvl w:val="0"/>
          <w:numId w:val="6"/>
        </w:numPr>
        <w:ind w:firstLine="480"/>
        <w:rPr>
          <w:color w:val="auto"/>
        </w:rPr>
      </w:pPr>
      <w:r>
        <w:rPr>
          <w:rFonts w:hint="eastAsia"/>
          <w:color w:val="auto"/>
        </w:rPr>
        <w:t>乐山市生态环境局责令改正违法行为决定书（乐中环责改字[2022]16号）</w:t>
      </w:r>
    </w:p>
    <w:p>
      <w:pPr>
        <w:pStyle w:val="110"/>
        <w:numPr>
          <w:ilvl w:val="0"/>
          <w:numId w:val="6"/>
        </w:numPr>
        <w:ind w:firstLine="480"/>
        <w:rPr>
          <w:color w:val="auto"/>
        </w:rPr>
      </w:pPr>
      <w:r>
        <w:rPr>
          <w:rFonts w:hint="eastAsia"/>
          <w:color w:val="auto"/>
        </w:rPr>
        <w:t>乐山市生态环境局行政处罚决定书（乐中环罚[2022]25号）</w:t>
      </w:r>
    </w:p>
    <w:p>
      <w:pPr>
        <w:pStyle w:val="110"/>
        <w:numPr>
          <w:ilvl w:val="0"/>
          <w:numId w:val="6"/>
        </w:numPr>
        <w:ind w:firstLine="480"/>
        <w:rPr>
          <w:color w:val="auto"/>
        </w:rPr>
      </w:pPr>
      <w:r>
        <w:rPr>
          <w:rFonts w:hint="eastAsia"/>
          <w:color w:val="auto"/>
        </w:rPr>
        <w:t>缴纳罚款的电子回单</w:t>
      </w:r>
    </w:p>
    <w:p>
      <w:pPr>
        <w:pStyle w:val="110"/>
        <w:numPr>
          <w:ilvl w:val="0"/>
          <w:numId w:val="6"/>
        </w:numPr>
        <w:ind w:firstLine="480"/>
        <w:rPr>
          <w:color w:val="auto"/>
        </w:rPr>
      </w:pPr>
      <w:r>
        <w:rPr>
          <w:rFonts w:hint="eastAsia"/>
          <w:color w:val="auto"/>
        </w:rPr>
        <w:t>兽医资格证</w:t>
      </w:r>
    </w:p>
    <w:p>
      <w:pPr>
        <w:pStyle w:val="110"/>
        <w:ind w:firstLine="0" w:firstLineChars="0"/>
        <w:rPr>
          <w:rFonts w:hint="eastAsia"/>
          <w:color w:val="auto"/>
        </w:rPr>
      </w:pPr>
    </w:p>
    <w:p>
      <w:pPr>
        <w:pStyle w:val="110"/>
        <w:spacing w:line="240" w:lineRule="auto"/>
        <w:ind w:left="1100" w:firstLine="0" w:firstLineChars="0"/>
        <w:rPr>
          <w:rFonts w:hint="eastAsia"/>
          <w:color w:val="auto"/>
          <w:sz w:val="28"/>
          <w:szCs w:val="28"/>
        </w:rPr>
      </w:pPr>
    </w:p>
    <w:p>
      <w:pPr>
        <w:pStyle w:val="110"/>
        <w:ind w:firstLine="480"/>
        <w:rPr>
          <w:color w:val="auto"/>
        </w:rPr>
        <w:sectPr>
          <w:headerReference r:id="rId5" w:type="first"/>
          <w:footerReference r:id="rId8" w:type="first"/>
          <w:headerReference r:id="rId3" w:type="default"/>
          <w:footerReference r:id="rId6" w:type="default"/>
          <w:headerReference r:id="rId4" w:type="even"/>
          <w:footerReference r:id="rId7" w:type="even"/>
          <w:pgSz w:w="11906" w:h="16838"/>
          <w:pgMar w:top="1701" w:right="1531" w:bottom="1701" w:left="1531" w:header="851" w:footer="1077" w:gutter="0"/>
          <w:pgNumType w:start="3"/>
          <w:cols w:space="720" w:num="1"/>
          <w:docGrid w:linePitch="312" w:charSpace="0"/>
        </w:sectPr>
      </w:pPr>
    </w:p>
    <w:p>
      <w:pPr>
        <w:pStyle w:val="4"/>
        <w:ind w:firstLine="602"/>
        <w:rPr>
          <w:rFonts w:hint="eastAsia"/>
          <w:color w:val="auto"/>
        </w:rPr>
      </w:pPr>
      <w:bookmarkStart w:id="2" w:name="_Toc32001"/>
      <w:r>
        <w:rPr>
          <w:rFonts w:hint="eastAsia"/>
          <w:color w:val="auto"/>
        </w:rPr>
        <w:t>一、建设项目基本情况</w:t>
      </w:r>
      <w:bookmarkEnd w:id="2"/>
    </w:p>
    <w:tbl>
      <w:tblPr>
        <w:tblStyle w:val="39"/>
        <w:tblW w:w="493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60"/>
        <w:gridCol w:w="2533"/>
        <w:gridCol w:w="1980"/>
        <w:gridCol w:w="27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625" w:type="pct"/>
            <w:noWrap w:val="0"/>
            <w:tcMar>
              <w:top w:w="16" w:type="dxa"/>
              <w:left w:w="16" w:type="dxa"/>
              <w:right w:w="16" w:type="dxa"/>
            </w:tcMar>
            <w:vAlign w:val="center"/>
          </w:tcPr>
          <w:p>
            <w:pPr>
              <w:pStyle w:val="91"/>
              <w:rPr>
                <w:rFonts w:hint="eastAsia"/>
                <w:color w:val="auto"/>
              </w:rPr>
            </w:pPr>
            <w:r>
              <w:rPr>
                <w:rFonts w:hint="eastAsia"/>
                <w:color w:val="auto"/>
              </w:rPr>
              <w:t>建设项</w:t>
            </w:r>
          </w:p>
          <w:p>
            <w:pPr>
              <w:pStyle w:val="91"/>
              <w:rPr>
                <w:color w:val="auto"/>
              </w:rPr>
            </w:pPr>
            <w:r>
              <w:rPr>
                <w:rFonts w:hint="eastAsia"/>
                <w:color w:val="auto"/>
              </w:rPr>
              <w:t>目名称</w:t>
            </w:r>
          </w:p>
        </w:tc>
        <w:tc>
          <w:tcPr>
            <w:tcW w:w="4374" w:type="pct"/>
            <w:gridSpan w:val="3"/>
            <w:noWrap w:val="0"/>
            <w:vAlign w:val="center"/>
          </w:tcPr>
          <w:p>
            <w:pPr>
              <w:pStyle w:val="91"/>
              <w:rPr>
                <w:rFonts w:hint="eastAsia" w:eastAsia="宋体"/>
                <w:color w:val="auto"/>
                <w:lang w:eastAsia="zh-CN"/>
              </w:rPr>
            </w:pPr>
            <w:r>
              <w:rPr>
                <w:rFonts w:hint="eastAsia"/>
                <w:color w:val="auto"/>
                <w:lang w:eastAsia="zh-CN"/>
              </w:rPr>
              <w:t>乐山市市中区乐嘉宠物医院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25" w:type="pct"/>
            <w:noWrap w:val="0"/>
            <w:tcMar>
              <w:top w:w="16" w:type="dxa"/>
              <w:left w:w="16" w:type="dxa"/>
              <w:right w:w="16" w:type="dxa"/>
            </w:tcMar>
            <w:vAlign w:val="center"/>
          </w:tcPr>
          <w:p>
            <w:pPr>
              <w:pStyle w:val="91"/>
              <w:rPr>
                <w:rFonts w:hint="eastAsia"/>
                <w:color w:val="auto"/>
              </w:rPr>
            </w:pPr>
            <w:r>
              <w:rPr>
                <w:rFonts w:hint="eastAsia"/>
                <w:color w:val="auto"/>
              </w:rPr>
              <w:t>项目代码</w:t>
            </w:r>
          </w:p>
        </w:tc>
        <w:tc>
          <w:tcPr>
            <w:tcW w:w="4374" w:type="pct"/>
            <w:gridSpan w:val="3"/>
            <w:noWrap w:val="0"/>
            <w:vAlign w:val="center"/>
          </w:tcPr>
          <w:p>
            <w:pPr>
              <w:pStyle w:val="91"/>
              <w:rPr>
                <w:rFonts w:hint="eastAsia"/>
                <w:color w:val="auto"/>
              </w:rPr>
            </w:pP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5" w:hRule="atLeast"/>
          <w:jc w:val="center"/>
        </w:trPr>
        <w:tc>
          <w:tcPr>
            <w:tcW w:w="625" w:type="pct"/>
            <w:noWrap w:val="0"/>
            <w:tcMar>
              <w:top w:w="16" w:type="dxa"/>
              <w:left w:w="16" w:type="dxa"/>
              <w:right w:w="16" w:type="dxa"/>
            </w:tcMar>
            <w:vAlign w:val="center"/>
          </w:tcPr>
          <w:p>
            <w:pPr>
              <w:pStyle w:val="91"/>
              <w:rPr>
                <w:rFonts w:hint="eastAsia"/>
                <w:color w:val="auto"/>
              </w:rPr>
            </w:pPr>
            <w:r>
              <w:rPr>
                <w:rFonts w:hint="eastAsia"/>
                <w:color w:val="auto"/>
              </w:rPr>
              <w:t>建设单位联系人</w:t>
            </w:r>
          </w:p>
        </w:tc>
        <w:tc>
          <w:tcPr>
            <w:tcW w:w="1516" w:type="pct"/>
            <w:noWrap w:val="0"/>
            <w:vAlign w:val="center"/>
          </w:tcPr>
          <w:p>
            <w:pPr>
              <w:pStyle w:val="91"/>
              <w:rPr>
                <w:rFonts w:hint="eastAsia" w:eastAsia="宋体"/>
                <w:color w:val="auto"/>
                <w:lang w:eastAsia="zh-CN"/>
              </w:rPr>
            </w:pPr>
            <w:r>
              <w:rPr>
                <w:rFonts w:hint="eastAsia"/>
                <w:color w:val="auto"/>
                <w:lang w:eastAsia="zh-CN"/>
              </w:rPr>
              <w:t>冯强</w:t>
            </w:r>
          </w:p>
        </w:tc>
        <w:tc>
          <w:tcPr>
            <w:tcW w:w="1185" w:type="pct"/>
            <w:noWrap w:val="0"/>
            <w:vAlign w:val="center"/>
          </w:tcPr>
          <w:p>
            <w:pPr>
              <w:pStyle w:val="91"/>
              <w:rPr>
                <w:rFonts w:hint="eastAsia"/>
                <w:color w:val="auto"/>
              </w:rPr>
            </w:pPr>
            <w:r>
              <w:rPr>
                <w:rFonts w:hint="eastAsia"/>
                <w:color w:val="auto"/>
              </w:rPr>
              <w:t>联系方式</w:t>
            </w:r>
          </w:p>
        </w:tc>
        <w:tc>
          <w:tcPr>
            <w:tcW w:w="1673" w:type="pct"/>
            <w:noWrap w:val="0"/>
            <w:vAlign w:val="center"/>
          </w:tcPr>
          <w:p>
            <w:pPr>
              <w:pStyle w:val="91"/>
              <w:rPr>
                <w:rFonts w:hint="default" w:eastAsia="宋体"/>
                <w:color w:val="auto"/>
                <w:lang w:val="en-US" w:eastAsia="zh-CN"/>
              </w:rPr>
            </w:pPr>
            <w:r>
              <w:rPr>
                <w:rFonts w:hint="eastAsia"/>
                <w:color w:val="auto"/>
                <w:lang w:val="en-US" w:eastAsia="zh-CN"/>
              </w:rPr>
              <w:t>18990625120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44" w:hRule="atLeast"/>
          <w:jc w:val="center"/>
        </w:trPr>
        <w:tc>
          <w:tcPr>
            <w:tcW w:w="625" w:type="pct"/>
            <w:noWrap w:val="0"/>
            <w:tcMar>
              <w:top w:w="16" w:type="dxa"/>
              <w:left w:w="16" w:type="dxa"/>
              <w:right w:w="16" w:type="dxa"/>
            </w:tcMar>
            <w:vAlign w:val="center"/>
          </w:tcPr>
          <w:p>
            <w:pPr>
              <w:pStyle w:val="91"/>
              <w:rPr>
                <w:rFonts w:hint="eastAsia"/>
                <w:color w:val="auto"/>
              </w:rPr>
            </w:pPr>
            <w:r>
              <w:rPr>
                <w:rFonts w:hint="eastAsia"/>
                <w:color w:val="auto"/>
              </w:rPr>
              <w:t>建设地点</w:t>
            </w:r>
          </w:p>
        </w:tc>
        <w:tc>
          <w:tcPr>
            <w:tcW w:w="4374" w:type="pct"/>
            <w:gridSpan w:val="3"/>
            <w:noWrap w:val="0"/>
            <w:vAlign w:val="center"/>
          </w:tcPr>
          <w:p>
            <w:pPr>
              <w:pStyle w:val="91"/>
              <w:rPr>
                <w:rFonts w:hint="default" w:eastAsia="宋体"/>
                <w:color w:val="auto"/>
                <w:lang w:val="en-US" w:eastAsia="zh-CN"/>
              </w:rPr>
            </w:pPr>
            <w:r>
              <w:rPr>
                <w:rFonts w:hint="eastAsia"/>
                <w:color w:val="auto"/>
              </w:rPr>
              <w:t>四川省乐山市市中区</w:t>
            </w:r>
            <w:r>
              <w:rPr>
                <w:rFonts w:hint="eastAsia"/>
                <w:color w:val="auto"/>
                <w:lang w:eastAsia="zh-CN"/>
              </w:rPr>
              <w:t>凤洲路</w:t>
            </w:r>
            <w:r>
              <w:rPr>
                <w:rFonts w:hint="eastAsia"/>
                <w:color w:val="auto"/>
                <w:lang w:val="en-US" w:eastAsia="zh-CN"/>
              </w:rPr>
              <w:t>2028号2楼2号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625" w:type="pct"/>
            <w:noWrap w:val="0"/>
            <w:tcMar>
              <w:top w:w="16" w:type="dxa"/>
              <w:left w:w="16" w:type="dxa"/>
              <w:right w:w="16" w:type="dxa"/>
            </w:tcMar>
            <w:vAlign w:val="center"/>
          </w:tcPr>
          <w:p>
            <w:pPr>
              <w:pStyle w:val="91"/>
              <w:rPr>
                <w:rFonts w:hint="eastAsia"/>
                <w:color w:val="auto"/>
              </w:rPr>
            </w:pPr>
            <w:r>
              <w:rPr>
                <w:rFonts w:hint="eastAsia"/>
                <w:color w:val="auto"/>
              </w:rPr>
              <w:t>地理坐标</w:t>
            </w:r>
          </w:p>
        </w:tc>
        <w:tc>
          <w:tcPr>
            <w:tcW w:w="4374" w:type="pct"/>
            <w:gridSpan w:val="3"/>
            <w:noWrap w:val="0"/>
            <w:vAlign w:val="center"/>
          </w:tcPr>
          <w:p>
            <w:pPr>
              <w:pStyle w:val="91"/>
              <w:rPr>
                <w:color w:val="auto"/>
              </w:rPr>
            </w:pPr>
            <w:r>
              <w:rPr>
                <w:rFonts w:hint="eastAsia"/>
                <w:color w:val="auto"/>
                <w:lang w:val="en-US" w:eastAsia="zh-CN"/>
              </w:rPr>
              <w:t>东经103</w:t>
            </w:r>
            <w:r>
              <w:rPr>
                <w:rFonts w:hint="default"/>
                <w:color w:val="auto"/>
                <w:lang w:val="en-US" w:eastAsia="zh-CN"/>
              </w:rPr>
              <w:t>°</w:t>
            </w:r>
            <w:r>
              <w:rPr>
                <w:rFonts w:hint="eastAsia"/>
                <w:color w:val="auto"/>
                <w:lang w:val="en-US" w:eastAsia="zh-CN"/>
              </w:rPr>
              <w:t>43'30.69"，北纬 29</w:t>
            </w:r>
            <w:r>
              <w:rPr>
                <w:rFonts w:hint="default"/>
                <w:color w:val="auto"/>
                <w:lang w:val="en-US" w:eastAsia="zh-CN"/>
              </w:rPr>
              <w:t>°</w:t>
            </w:r>
            <w:r>
              <w:rPr>
                <w:rFonts w:hint="eastAsia"/>
                <w:color w:val="auto"/>
                <w:lang w:val="en-US" w:eastAsia="zh-CN"/>
              </w:rPr>
              <w:t>36'33.12"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4" w:hRule="atLeast"/>
          <w:jc w:val="center"/>
        </w:trPr>
        <w:tc>
          <w:tcPr>
            <w:tcW w:w="625" w:type="pct"/>
            <w:noWrap w:val="0"/>
            <w:tcMar>
              <w:top w:w="16" w:type="dxa"/>
              <w:left w:w="16" w:type="dxa"/>
              <w:right w:w="16" w:type="dxa"/>
            </w:tcMar>
            <w:vAlign w:val="center"/>
          </w:tcPr>
          <w:p>
            <w:pPr>
              <w:pStyle w:val="91"/>
              <w:rPr>
                <w:rFonts w:hint="eastAsia"/>
                <w:color w:val="auto"/>
              </w:rPr>
            </w:pPr>
            <w:r>
              <w:rPr>
                <w:rFonts w:hint="eastAsia"/>
                <w:color w:val="auto"/>
              </w:rPr>
              <w:t>国民经济行业分类</w:t>
            </w:r>
          </w:p>
        </w:tc>
        <w:tc>
          <w:tcPr>
            <w:tcW w:w="1516" w:type="pct"/>
            <w:noWrap w:val="0"/>
            <w:vAlign w:val="center"/>
          </w:tcPr>
          <w:p>
            <w:pPr>
              <w:pStyle w:val="91"/>
              <w:rPr>
                <w:rFonts w:hint="eastAsia"/>
                <w:color w:val="auto"/>
              </w:rPr>
            </w:pPr>
            <w:r>
              <w:rPr>
                <w:rFonts w:hint="eastAsia"/>
                <w:color w:val="auto"/>
              </w:rPr>
              <w:t>O</w:t>
            </w:r>
            <w:r>
              <w:rPr>
                <w:color w:val="auto"/>
              </w:rPr>
              <w:t>8</w:t>
            </w:r>
            <w:r>
              <w:rPr>
                <w:rFonts w:hint="eastAsia"/>
                <w:color w:val="auto"/>
              </w:rPr>
              <w:t>222宠物医院</w:t>
            </w:r>
          </w:p>
        </w:tc>
        <w:tc>
          <w:tcPr>
            <w:tcW w:w="1185" w:type="pct"/>
            <w:noWrap w:val="0"/>
            <w:vAlign w:val="center"/>
          </w:tcPr>
          <w:p>
            <w:pPr>
              <w:pStyle w:val="91"/>
              <w:rPr>
                <w:rFonts w:hint="eastAsia"/>
                <w:color w:val="auto"/>
              </w:rPr>
            </w:pPr>
            <w:r>
              <w:rPr>
                <w:rFonts w:hint="eastAsia"/>
                <w:color w:val="auto"/>
              </w:rPr>
              <w:t>建设项目行业分类</w:t>
            </w:r>
          </w:p>
        </w:tc>
        <w:tc>
          <w:tcPr>
            <w:tcW w:w="1673" w:type="pct"/>
            <w:noWrap w:val="0"/>
            <w:vAlign w:val="center"/>
          </w:tcPr>
          <w:p>
            <w:pPr>
              <w:pStyle w:val="91"/>
              <w:rPr>
                <w:color w:val="auto"/>
              </w:rPr>
            </w:pPr>
            <w:r>
              <w:rPr>
                <w:rFonts w:hint="eastAsia"/>
                <w:color w:val="auto"/>
              </w:rPr>
              <w:t>五十-社会事业与服务业123动物医院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76" w:hRule="atLeast"/>
          <w:jc w:val="center"/>
        </w:trPr>
        <w:tc>
          <w:tcPr>
            <w:tcW w:w="625" w:type="pct"/>
            <w:noWrap w:val="0"/>
            <w:tcMar>
              <w:top w:w="16" w:type="dxa"/>
              <w:left w:w="16" w:type="dxa"/>
              <w:right w:w="16" w:type="dxa"/>
            </w:tcMar>
            <w:vAlign w:val="center"/>
          </w:tcPr>
          <w:p>
            <w:pPr>
              <w:pStyle w:val="91"/>
              <w:rPr>
                <w:rFonts w:hint="eastAsia"/>
                <w:color w:val="auto"/>
              </w:rPr>
            </w:pPr>
            <w:r>
              <w:rPr>
                <w:rFonts w:hint="eastAsia"/>
                <w:color w:val="auto"/>
              </w:rPr>
              <w:t>建设性质</w:t>
            </w:r>
          </w:p>
        </w:tc>
        <w:tc>
          <w:tcPr>
            <w:tcW w:w="1516" w:type="pct"/>
            <w:noWrap w:val="0"/>
            <w:vAlign w:val="center"/>
          </w:tcPr>
          <w:p>
            <w:pPr>
              <w:pStyle w:val="91"/>
              <w:jc w:val="left"/>
              <w:rPr>
                <w:rFonts w:hint="eastAsia"/>
                <w:color w:val="auto"/>
              </w:rPr>
            </w:pPr>
            <w:r>
              <w:rPr>
                <w:rFonts w:hint="eastAsia"/>
                <w:color w:val="auto"/>
                <w:lang w:eastAsia="zh-CN"/>
              </w:rPr>
              <w:t>☑</w:t>
            </w:r>
            <w:r>
              <w:rPr>
                <w:rFonts w:hint="eastAsia"/>
                <w:color w:val="auto"/>
              </w:rPr>
              <w:t>新建（迁建）</w:t>
            </w:r>
          </w:p>
          <w:p>
            <w:pPr>
              <w:pStyle w:val="91"/>
              <w:jc w:val="left"/>
              <w:rPr>
                <w:rFonts w:hint="eastAsia"/>
                <w:color w:val="auto"/>
              </w:rPr>
            </w:pPr>
            <w:r>
              <w:rPr>
                <w:rFonts w:hint="eastAsia"/>
                <w:color w:val="auto"/>
                <w:lang w:eastAsia="zh-CN"/>
              </w:rPr>
              <w:t>□</w:t>
            </w:r>
            <w:r>
              <w:rPr>
                <w:rFonts w:hint="eastAsia"/>
                <w:color w:val="auto"/>
              </w:rPr>
              <w:t>改建</w:t>
            </w:r>
          </w:p>
          <w:p>
            <w:pPr>
              <w:pStyle w:val="91"/>
              <w:jc w:val="left"/>
              <w:rPr>
                <w:rFonts w:hint="eastAsia"/>
                <w:color w:val="auto"/>
              </w:rPr>
            </w:pPr>
            <w:r>
              <w:rPr>
                <w:rFonts w:hint="eastAsia"/>
                <w:color w:val="auto"/>
                <w:lang w:eastAsia="zh-CN"/>
              </w:rPr>
              <w:t>□</w:t>
            </w:r>
            <w:r>
              <w:rPr>
                <w:rFonts w:hint="eastAsia"/>
                <w:color w:val="auto"/>
              </w:rPr>
              <w:t>扩建</w:t>
            </w:r>
          </w:p>
          <w:p>
            <w:pPr>
              <w:pStyle w:val="91"/>
              <w:jc w:val="left"/>
              <w:rPr>
                <w:rFonts w:hint="eastAsia"/>
                <w:color w:val="auto"/>
              </w:rPr>
            </w:pPr>
            <w:r>
              <w:rPr>
                <w:rFonts w:hint="eastAsia"/>
                <w:color w:val="auto"/>
                <w:lang w:eastAsia="zh-CN"/>
              </w:rPr>
              <w:t>□</w:t>
            </w:r>
            <w:r>
              <w:rPr>
                <w:rFonts w:hint="eastAsia"/>
                <w:color w:val="auto"/>
              </w:rPr>
              <w:t>技术改造</w:t>
            </w:r>
          </w:p>
        </w:tc>
        <w:tc>
          <w:tcPr>
            <w:tcW w:w="1185" w:type="pct"/>
            <w:noWrap w:val="0"/>
            <w:vAlign w:val="center"/>
          </w:tcPr>
          <w:p>
            <w:pPr>
              <w:pStyle w:val="91"/>
              <w:rPr>
                <w:rFonts w:hint="eastAsia"/>
                <w:color w:val="auto"/>
              </w:rPr>
            </w:pPr>
            <w:r>
              <w:rPr>
                <w:rFonts w:hint="eastAsia"/>
                <w:color w:val="auto"/>
              </w:rPr>
              <w:t>建设项目申报情形</w:t>
            </w:r>
          </w:p>
        </w:tc>
        <w:tc>
          <w:tcPr>
            <w:tcW w:w="1673" w:type="pct"/>
            <w:noWrap w:val="0"/>
            <w:vAlign w:val="center"/>
          </w:tcPr>
          <w:p>
            <w:pPr>
              <w:pStyle w:val="91"/>
              <w:jc w:val="left"/>
              <w:rPr>
                <w:rFonts w:hint="eastAsia"/>
                <w:color w:val="auto"/>
              </w:rPr>
            </w:pPr>
            <w:r>
              <w:rPr>
                <w:rFonts w:hint="eastAsia"/>
                <w:color w:val="auto"/>
                <w:lang w:eastAsia="zh-CN"/>
              </w:rPr>
              <w:t>☑</w:t>
            </w:r>
            <w:r>
              <w:rPr>
                <w:rFonts w:hint="eastAsia"/>
                <w:color w:val="auto"/>
              </w:rPr>
              <w:t xml:space="preserve">首次申报项目             </w:t>
            </w:r>
          </w:p>
          <w:p>
            <w:pPr>
              <w:pStyle w:val="91"/>
              <w:jc w:val="left"/>
              <w:rPr>
                <w:rFonts w:hint="eastAsia"/>
                <w:color w:val="auto"/>
              </w:rPr>
            </w:pPr>
            <w:r>
              <w:rPr>
                <w:rFonts w:hint="eastAsia"/>
                <w:color w:val="auto"/>
              </w:rPr>
              <w:t>□不予批准后再次申报项目</w:t>
            </w:r>
          </w:p>
          <w:p>
            <w:pPr>
              <w:pStyle w:val="91"/>
              <w:jc w:val="left"/>
              <w:rPr>
                <w:rFonts w:hint="eastAsia"/>
                <w:color w:val="auto"/>
              </w:rPr>
            </w:pPr>
            <w:r>
              <w:rPr>
                <w:rFonts w:hint="eastAsia"/>
                <w:color w:val="auto"/>
                <w:lang w:eastAsia="zh-CN"/>
              </w:rPr>
              <w:t>□</w:t>
            </w:r>
            <w:r>
              <w:rPr>
                <w:rFonts w:hint="eastAsia"/>
                <w:color w:val="auto"/>
              </w:rPr>
              <w:t xml:space="preserve">超五年重新审核项目     </w:t>
            </w:r>
          </w:p>
          <w:p>
            <w:pPr>
              <w:pStyle w:val="91"/>
              <w:jc w:val="left"/>
              <w:rPr>
                <w:rFonts w:hint="eastAsia"/>
                <w:color w:val="auto"/>
              </w:rPr>
            </w:pPr>
            <w:r>
              <w:rPr>
                <w:rFonts w:hint="eastAsia"/>
                <w:color w:val="auto"/>
                <w:lang w:eastAsia="zh-CN"/>
              </w:rPr>
              <w:t>□</w:t>
            </w:r>
            <w:r>
              <w:rPr>
                <w:rFonts w:hint="eastAsia"/>
                <w:color w:val="auto"/>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8" w:hRule="atLeast"/>
          <w:jc w:val="center"/>
        </w:trPr>
        <w:tc>
          <w:tcPr>
            <w:tcW w:w="625" w:type="pct"/>
            <w:noWrap w:val="0"/>
            <w:tcMar>
              <w:top w:w="16" w:type="dxa"/>
              <w:left w:w="16" w:type="dxa"/>
              <w:right w:w="16" w:type="dxa"/>
            </w:tcMar>
            <w:vAlign w:val="center"/>
          </w:tcPr>
          <w:p>
            <w:pPr>
              <w:pStyle w:val="91"/>
              <w:rPr>
                <w:rFonts w:hint="eastAsia"/>
                <w:color w:val="auto"/>
              </w:rPr>
            </w:pPr>
            <w:r>
              <w:rPr>
                <w:rFonts w:hint="eastAsia"/>
                <w:color w:val="auto"/>
              </w:rPr>
              <w:t>项目审批（核准/</w:t>
            </w:r>
          </w:p>
          <w:p>
            <w:pPr>
              <w:pStyle w:val="91"/>
              <w:rPr>
                <w:rFonts w:hint="eastAsia"/>
                <w:color w:val="auto"/>
              </w:rPr>
            </w:pPr>
            <w:r>
              <w:rPr>
                <w:rFonts w:hint="eastAsia"/>
                <w:color w:val="auto"/>
              </w:rPr>
              <w:t>备案）部门（选填）</w:t>
            </w:r>
          </w:p>
        </w:tc>
        <w:tc>
          <w:tcPr>
            <w:tcW w:w="1516" w:type="pct"/>
            <w:noWrap w:val="0"/>
            <w:vAlign w:val="center"/>
          </w:tcPr>
          <w:p>
            <w:pPr>
              <w:pStyle w:val="91"/>
              <w:rPr>
                <w:rFonts w:hint="eastAsia"/>
                <w:color w:val="auto"/>
              </w:rPr>
            </w:pPr>
            <w:r>
              <w:rPr>
                <w:rFonts w:hint="eastAsia"/>
                <w:color w:val="auto"/>
              </w:rPr>
              <w:t>/</w:t>
            </w:r>
          </w:p>
        </w:tc>
        <w:tc>
          <w:tcPr>
            <w:tcW w:w="1185" w:type="pct"/>
            <w:noWrap w:val="0"/>
            <w:vAlign w:val="center"/>
          </w:tcPr>
          <w:p>
            <w:pPr>
              <w:pStyle w:val="91"/>
              <w:rPr>
                <w:rFonts w:hint="eastAsia"/>
                <w:color w:val="auto"/>
              </w:rPr>
            </w:pPr>
            <w:r>
              <w:rPr>
                <w:rFonts w:hint="eastAsia"/>
                <w:color w:val="auto"/>
              </w:rPr>
              <w:t>项目审批（核准/</w:t>
            </w:r>
          </w:p>
          <w:p>
            <w:pPr>
              <w:pStyle w:val="91"/>
              <w:rPr>
                <w:rFonts w:hint="eastAsia"/>
                <w:color w:val="auto"/>
              </w:rPr>
            </w:pPr>
            <w:r>
              <w:rPr>
                <w:rFonts w:hint="eastAsia"/>
                <w:color w:val="auto"/>
              </w:rPr>
              <w:t>备案）文号（选填）</w:t>
            </w:r>
          </w:p>
        </w:tc>
        <w:tc>
          <w:tcPr>
            <w:tcW w:w="1673" w:type="pct"/>
            <w:noWrap w:val="0"/>
            <w:vAlign w:val="center"/>
          </w:tcPr>
          <w:p>
            <w:pPr>
              <w:pStyle w:val="91"/>
              <w:rPr>
                <w:rFonts w:hint="eastAsia"/>
                <w:color w:val="auto"/>
              </w:rPr>
            </w:pP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1" w:hRule="atLeast"/>
          <w:jc w:val="center"/>
        </w:trPr>
        <w:tc>
          <w:tcPr>
            <w:tcW w:w="625" w:type="pct"/>
            <w:noWrap w:val="0"/>
            <w:tcMar>
              <w:top w:w="16" w:type="dxa"/>
              <w:left w:w="16" w:type="dxa"/>
              <w:right w:w="16" w:type="dxa"/>
            </w:tcMar>
            <w:vAlign w:val="center"/>
          </w:tcPr>
          <w:p>
            <w:pPr>
              <w:pStyle w:val="91"/>
              <w:rPr>
                <w:rFonts w:hint="eastAsia"/>
                <w:color w:val="auto"/>
              </w:rPr>
            </w:pPr>
            <w:r>
              <w:rPr>
                <w:rFonts w:hint="eastAsia"/>
                <w:color w:val="auto"/>
              </w:rPr>
              <w:t>总投资</w:t>
            </w:r>
          </w:p>
          <w:p>
            <w:pPr>
              <w:pStyle w:val="91"/>
              <w:rPr>
                <w:rFonts w:hint="eastAsia"/>
                <w:color w:val="auto"/>
              </w:rPr>
            </w:pPr>
            <w:r>
              <w:rPr>
                <w:rFonts w:hint="eastAsia"/>
                <w:color w:val="auto"/>
              </w:rPr>
              <w:t>（万元）</w:t>
            </w:r>
          </w:p>
        </w:tc>
        <w:tc>
          <w:tcPr>
            <w:tcW w:w="1516" w:type="pct"/>
            <w:noWrap w:val="0"/>
            <w:vAlign w:val="center"/>
          </w:tcPr>
          <w:p>
            <w:pPr>
              <w:pStyle w:val="91"/>
              <w:rPr>
                <w:rFonts w:hint="default" w:eastAsia="宋体"/>
                <w:color w:val="auto"/>
                <w:lang w:val="en-US" w:eastAsia="zh-CN"/>
              </w:rPr>
            </w:pPr>
            <w:r>
              <w:rPr>
                <w:rFonts w:hint="eastAsia"/>
                <w:color w:val="auto"/>
                <w:lang w:val="en-US" w:eastAsia="zh-CN"/>
              </w:rPr>
              <w:t>30</w:t>
            </w:r>
          </w:p>
        </w:tc>
        <w:tc>
          <w:tcPr>
            <w:tcW w:w="1185" w:type="pct"/>
            <w:noWrap w:val="0"/>
            <w:tcMar>
              <w:top w:w="16" w:type="dxa"/>
              <w:left w:w="16" w:type="dxa"/>
              <w:right w:w="16" w:type="dxa"/>
            </w:tcMar>
            <w:vAlign w:val="center"/>
          </w:tcPr>
          <w:p>
            <w:pPr>
              <w:pStyle w:val="91"/>
              <w:rPr>
                <w:color w:val="auto"/>
              </w:rPr>
            </w:pPr>
            <w:r>
              <w:rPr>
                <w:color w:val="auto"/>
              </w:rPr>
              <w:t>环保投资（万元）</w:t>
            </w:r>
          </w:p>
        </w:tc>
        <w:tc>
          <w:tcPr>
            <w:tcW w:w="1673" w:type="pct"/>
            <w:noWrap w:val="0"/>
            <w:vAlign w:val="center"/>
          </w:tcPr>
          <w:p>
            <w:pPr>
              <w:pStyle w:val="91"/>
              <w:rPr>
                <w:rFonts w:hint="default" w:eastAsia="宋体"/>
                <w:color w:val="auto"/>
                <w:lang w:val="en-US" w:eastAsia="zh-CN"/>
              </w:rPr>
            </w:pPr>
            <w:r>
              <w:rPr>
                <w:rFonts w:hint="eastAsia"/>
                <w:color w:val="auto"/>
                <w:lang w:val="en-US" w:eastAsia="zh-CN"/>
              </w:rPr>
              <w:t>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625" w:type="pct"/>
            <w:noWrap w:val="0"/>
            <w:tcMar>
              <w:top w:w="16" w:type="dxa"/>
              <w:left w:w="16" w:type="dxa"/>
              <w:right w:w="16" w:type="dxa"/>
            </w:tcMar>
            <w:vAlign w:val="center"/>
          </w:tcPr>
          <w:p>
            <w:pPr>
              <w:pStyle w:val="91"/>
              <w:rPr>
                <w:rFonts w:hint="eastAsia"/>
                <w:color w:val="auto"/>
              </w:rPr>
            </w:pPr>
            <w:r>
              <w:rPr>
                <w:rFonts w:hint="eastAsia"/>
                <w:color w:val="auto"/>
              </w:rPr>
              <w:t>环保投资占比（%）</w:t>
            </w:r>
          </w:p>
        </w:tc>
        <w:tc>
          <w:tcPr>
            <w:tcW w:w="1516" w:type="pct"/>
            <w:noWrap w:val="0"/>
            <w:vAlign w:val="center"/>
          </w:tcPr>
          <w:p>
            <w:pPr>
              <w:pStyle w:val="91"/>
              <w:rPr>
                <w:rFonts w:hint="default" w:eastAsia="宋体"/>
                <w:color w:val="auto"/>
                <w:lang w:val="en-US" w:eastAsia="zh-CN"/>
              </w:rPr>
            </w:pPr>
            <w:r>
              <w:rPr>
                <w:rFonts w:hint="eastAsia"/>
                <w:color w:val="auto"/>
                <w:lang w:val="en-US" w:eastAsia="zh-CN"/>
              </w:rPr>
              <w:t>31</w:t>
            </w:r>
          </w:p>
        </w:tc>
        <w:tc>
          <w:tcPr>
            <w:tcW w:w="1185" w:type="pct"/>
            <w:noWrap w:val="0"/>
            <w:tcMar>
              <w:top w:w="16" w:type="dxa"/>
              <w:left w:w="16" w:type="dxa"/>
              <w:right w:w="16" w:type="dxa"/>
            </w:tcMar>
            <w:vAlign w:val="center"/>
          </w:tcPr>
          <w:p>
            <w:pPr>
              <w:pStyle w:val="91"/>
              <w:rPr>
                <w:color w:val="auto"/>
              </w:rPr>
            </w:pPr>
            <w:r>
              <w:rPr>
                <w:color w:val="auto"/>
              </w:rPr>
              <w:t>施工工期</w:t>
            </w:r>
          </w:p>
        </w:tc>
        <w:tc>
          <w:tcPr>
            <w:tcW w:w="1673" w:type="pct"/>
            <w:noWrap w:val="0"/>
            <w:vAlign w:val="center"/>
          </w:tcPr>
          <w:p>
            <w:pPr>
              <w:pStyle w:val="91"/>
              <w:rPr>
                <w:rFonts w:hint="eastAsia"/>
                <w:color w:val="auto"/>
              </w:rPr>
            </w:pP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8" w:hRule="atLeast"/>
          <w:jc w:val="center"/>
        </w:trPr>
        <w:tc>
          <w:tcPr>
            <w:tcW w:w="625" w:type="pct"/>
            <w:noWrap w:val="0"/>
            <w:tcMar>
              <w:top w:w="16" w:type="dxa"/>
              <w:left w:w="16" w:type="dxa"/>
              <w:right w:w="16" w:type="dxa"/>
            </w:tcMar>
            <w:vAlign w:val="center"/>
          </w:tcPr>
          <w:p>
            <w:pPr>
              <w:pStyle w:val="91"/>
              <w:rPr>
                <w:rFonts w:hint="eastAsia"/>
                <w:color w:val="auto"/>
              </w:rPr>
            </w:pPr>
            <w:r>
              <w:rPr>
                <w:rFonts w:hint="eastAsia"/>
                <w:color w:val="auto"/>
              </w:rPr>
              <w:t>是否开</w:t>
            </w:r>
          </w:p>
          <w:p>
            <w:pPr>
              <w:pStyle w:val="91"/>
              <w:rPr>
                <w:rFonts w:hint="eastAsia"/>
                <w:color w:val="auto"/>
              </w:rPr>
            </w:pPr>
            <w:r>
              <w:rPr>
                <w:rFonts w:hint="eastAsia"/>
                <w:color w:val="auto"/>
              </w:rPr>
              <w:t>工建设</w:t>
            </w:r>
          </w:p>
        </w:tc>
        <w:tc>
          <w:tcPr>
            <w:tcW w:w="1516" w:type="pct"/>
            <w:noWrap w:val="0"/>
            <w:vAlign w:val="center"/>
          </w:tcPr>
          <w:p>
            <w:pPr>
              <w:pStyle w:val="91"/>
              <w:jc w:val="both"/>
              <w:rPr>
                <w:color w:val="auto"/>
              </w:rPr>
            </w:pPr>
            <w:r>
              <w:rPr>
                <w:rFonts w:hint="eastAsia"/>
                <w:color w:val="auto"/>
                <w:lang w:eastAsia="zh-CN"/>
              </w:rPr>
              <w:t>□</w:t>
            </w:r>
            <w:r>
              <w:rPr>
                <w:color w:val="auto"/>
              </w:rPr>
              <w:t>否</w:t>
            </w:r>
          </w:p>
          <w:p>
            <w:pPr>
              <w:pStyle w:val="91"/>
              <w:jc w:val="both"/>
              <w:rPr>
                <w:color w:val="auto"/>
              </w:rPr>
            </w:pPr>
            <w:r>
              <w:rPr>
                <w:rFonts w:hint="eastAsia"/>
                <w:color w:val="auto"/>
                <w:lang w:eastAsia="zh-CN"/>
              </w:rPr>
              <w:t>☑</w:t>
            </w:r>
            <w:r>
              <w:rPr>
                <w:color w:val="auto"/>
              </w:rPr>
              <w:t>是：</w:t>
            </w:r>
            <w:r>
              <w:rPr>
                <w:color w:val="auto"/>
                <w:u w:val="single"/>
              </w:rPr>
              <w:t xml:space="preserve"> </w:t>
            </w:r>
            <w:r>
              <w:rPr>
                <w:rFonts w:hint="eastAsia"/>
                <w:color w:val="auto"/>
                <w:u w:val="single"/>
                <w:lang w:eastAsia="zh-CN"/>
              </w:rPr>
              <w:t>项目于</w:t>
            </w:r>
            <w:r>
              <w:rPr>
                <w:rFonts w:hint="eastAsia"/>
                <w:color w:val="auto"/>
                <w:u w:val="single"/>
              </w:rPr>
              <w:t>201</w:t>
            </w:r>
            <w:r>
              <w:rPr>
                <w:rFonts w:hint="eastAsia"/>
                <w:color w:val="auto"/>
                <w:u w:val="single"/>
                <w:lang w:val="en-US" w:eastAsia="zh-CN"/>
              </w:rPr>
              <w:t>9</w:t>
            </w:r>
            <w:r>
              <w:rPr>
                <w:rFonts w:hint="eastAsia"/>
                <w:color w:val="auto"/>
                <w:u w:val="single"/>
              </w:rPr>
              <w:t>年</w:t>
            </w:r>
            <w:r>
              <w:rPr>
                <w:rFonts w:hint="eastAsia"/>
                <w:color w:val="auto"/>
                <w:u w:val="single"/>
                <w:lang w:val="en-US" w:eastAsia="zh-CN"/>
              </w:rPr>
              <w:t>6</w:t>
            </w:r>
            <w:r>
              <w:rPr>
                <w:rFonts w:hint="eastAsia"/>
                <w:color w:val="auto"/>
                <w:u w:val="single"/>
              </w:rPr>
              <w:t>月</w:t>
            </w:r>
            <w:r>
              <w:rPr>
                <w:rFonts w:hint="eastAsia"/>
                <w:color w:val="auto"/>
                <w:u w:val="single"/>
                <w:lang w:val="en-US" w:eastAsia="zh-CN"/>
              </w:rPr>
              <w:t>12</w:t>
            </w:r>
            <w:r>
              <w:rPr>
                <w:rFonts w:hint="eastAsia"/>
                <w:color w:val="auto"/>
                <w:u w:val="single"/>
              </w:rPr>
              <w:t>日取得了由乐山市市中区行政审批局颁发的动物诊疗许可证[动诊证(201</w:t>
            </w:r>
            <w:r>
              <w:rPr>
                <w:rFonts w:hint="eastAsia"/>
                <w:color w:val="auto"/>
                <w:u w:val="single"/>
                <w:lang w:val="en-US" w:eastAsia="zh-CN"/>
              </w:rPr>
              <w:t>9</w:t>
            </w:r>
            <w:r>
              <w:rPr>
                <w:rFonts w:hint="eastAsia"/>
                <w:color w:val="auto"/>
                <w:u w:val="single"/>
              </w:rPr>
              <w:t>)第00</w:t>
            </w:r>
            <w:r>
              <w:rPr>
                <w:rFonts w:hint="eastAsia"/>
                <w:color w:val="auto"/>
                <w:u w:val="single"/>
                <w:lang w:val="en-US" w:eastAsia="zh-CN"/>
              </w:rPr>
              <w:t>2</w:t>
            </w:r>
            <w:r>
              <w:rPr>
                <w:rFonts w:hint="eastAsia"/>
                <w:color w:val="auto"/>
                <w:u w:val="single"/>
              </w:rPr>
              <w:t>号]，</w:t>
            </w:r>
            <w:r>
              <w:rPr>
                <w:rFonts w:hint="eastAsia"/>
                <w:color w:val="auto"/>
                <w:u w:val="single"/>
                <w:lang w:eastAsia="zh-CN"/>
              </w:rPr>
              <w:t>批准</w:t>
            </w:r>
            <w:r>
              <w:rPr>
                <w:rFonts w:hint="eastAsia"/>
                <w:color w:val="auto"/>
                <w:u w:val="single"/>
              </w:rPr>
              <w:t>了该项目，项目</w:t>
            </w:r>
            <w:r>
              <w:rPr>
                <w:rFonts w:hint="eastAsia"/>
                <w:color w:val="auto"/>
                <w:u w:val="single"/>
                <w:lang w:eastAsia="zh-CN"/>
              </w:rPr>
              <w:t>已基本建成，但未投入运营。</w:t>
            </w:r>
            <w:r>
              <w:rPr>
                <w:rFonts w:hint="eastAsia"/>
                <w:color w:val="auto"/>
                <w:u w:val="single"/>
                <w:lang w:val="en-US" w:eastAsia="zh-CN"/>
              </w:rPr>
              <w:t>2022年11月2日，</w:t>
            </w:r>
            <w:r>
              <w:rPr>
                <w:rFonts w:hint="eastAsia"/>
                <w:color w:val="auto"/>
                <w:u w:val="single"/>
              </w:rPr>
              <w:t>乐山市生态环境局</w:t>
            </w:r>
            <w:r>
              <w:rPr>
                <w:rFonts w:hint="eastAsia"/>
                <w:color w:val="auto"/>
                <w:u w:val="single"/>
                <w:lang w:eastAsia="zh-CN"/>
              </w:rPr>
              <w:t>对该项目下达</w:t>
            </w:r>
            <w:r>
              <w:rPr>
                <w:rFonts w:hint="eastAsia"/>
                <w:color w:val="auto"/>
                <w:u w:val="single"/>
              </w:rPr>
              <w:t>了责令改正违法行为决定书（乐中环责改字[2022]16号），</w:t>
            </w:r>
            <w:r>
              <w:rPr>
                <w:rFonts w:hint="eastAsia"/>
                <w:color w:val="auto"/>
                <w:u w:val="single"/>
                <w:lang w:eastAsia="zh-CN"/>
              </w:rPr>
              <w:t>于</w:t>
            </w:r>
            <w:r>
              <w:rPr>
                <w:rFonts w:hint="eastAsia"/>
                <w:color w:val="auto"/>
                <w:u w:val="single"/>
                <w:lang w:val="en-US" w:eastAsia="zh-CN"/>
              </w:rPr>
              <w:t>2022年11月30日对该项目下达了行政处罚决定书（乐中环罚[2022]25号），</w:t>
            </w:r>
            <w:r>
              <w:rPr>
                <w:rFonts w:hint="eastAsia"/>
                <w:color w:val="auto"/>
                <w:u w:val="single"/>
              </w:rPr>
              <w:t>对建设单位处以人民币</w:t>
            </w:r>
            <w:r>
              <w:rPr>
                <w:rFonts w:hint="eastAsia"/>
                <w:color w:val="auto"/>
                <w:u w:val="single"/>
                <w:lang w:val="en-US" w:eastAsia="zh-CN"/>
              </w:rPr>
              <w:t>35</w:t>
            </w:r>
            <w:r>
              <w:rPr>
                <w:rFonts w:hint="eastAsia"/>
                <w:color w:val="auto"/>
                <w:u w:val="single"/>
              </w:rPr>
              <w:t>00元罚款，建设单位于2022年</w:t>
            </w:r>
            <w:r>
              <w:rPr>
                <w:rFonts w:hint="eastAsia"/>
                <w:color w:val="auto"/>
                <w:u w:val="single"/>
                <w:lang w:val="en-US" w:eastAsia="zh-CN"/>
              </w:rPr>
              <w:t>12</w:t>
            </w:r>
            <w:r>
              <w:rPr>
                <w:rFonts w:hint="eastAsia"/>
                <w:color w:val="auto"/>
                <w:u w:val="single"/>
              </w:rPr>
              <w:t>月</w:t>
            </w:r>
            <w:r>
              <w:rPr>
                <w:rFonts w:hint="eastAsia"/>
                <w:color w:val="auto"/>
                <w:u w:val="single"/>
                <w:lang w:val="en-US" w:eastAsia="zh-CN"/>
              </w:rPr>
              <w:t>7</w:t>
            </w:r>
            <w:r>
              <w:rPr>
                <w:rFonts w:hint="eastAsia"/>
                <w:color w:val="auto"/>
                <w:u w:val="single"/>
              </w:rPr>
              <w:t>日缴纳了相关罚款</w:t>
            </w:r>
            <w:r>
              <w:rPr>
                <w:rFonts w:hint="eastAsia"/>
                <w:color w:val="auto"/>
                <w:u w:val="single"/>
                <w:lang w:eastAsia="zh-CN"/>
              </w:rPr>
              <w:t>，本次评价属于补评。</w:t>
            </w:r>
            <w:r>
              <w:rPr>
                <w:rFonts w:hint="eastAsia"/>
                <w:color w:val="auto"/>
                <w:u w:val="none"/>
              </w:rPr>
              <w:t xml:space="preserve">   </w:t>
            </w:r>
            <w:r>
              <w:rPr>
                <w:color w:val="auto"/>
              </w:rPr>
              <w:t xml:space="preserve"> </w:t>
            </w:r>
          </w:p>
        </w:tc>
        <w:tc>
          <w:tcPr>
            <w:tcW w:w="1185" w:type="pct"/>
            <w:noWrap w:val="0"/>
            <w:tcMar>
              <w:top w:w="16" w:type="dxa"/>
              <w:left w:w="16" w:type="dxa"/>
              <w:right w:w="16" w:type="dxa"/>
            </w:tcMar>
            <w:vAlign w:val="center"/>
          </w:tcPr>
          <w:p>
            <w:pPr>
              <w:pStyle w:val="91"/>
              <w:rPr>
                <w:color w:val="auto"/>
              </w:rPr>
            </w:pPr>
            <w:r>
              <w:rPr>
                <w:color w:val="auto"/>
              </w:rPr>
              <w:t>用地（用海）</w:t>
            </w:r>
          </w:p>
          <w:p>
            <w:pPr>
              <w:pStyle w:val="91"/>
              <w:rPr>
                <w:color w:val="auto"/>
              </w:rPr>
            </w:pPr>
            <w:r>
              <w:rPr>
                <w:color w:val="auto"/>
              </w:rPr>
              <w:t>面积（m</w:t>
            </w:r>
            <w:r>
              <w:rPr>
                <w:color w:val="auto"/>
                <w:vertAlign w:val="superscript"/>
              </w:rPr>
              <w:t>2</w:t>
            </w:r>
            <w:r>
              <w:rPr>
                <w:color w:val="auto"/>
              </w:rPr>
              <w:t>）</w:t>
            </w:r>
          </w:p>
        </w:tc>
        <w:tc>
          <w:tcPr>
            <w:tcW w:w="1673" w:type="pct"/>
            <w:noWrap w:val="0"/>
            <w:vAlign w:val="center"/>
          </w:tcPr>
          <w:p>
            <w:pPr>
              <w:pStyle w:val="91"/>
              <w:rPr>
                <w:rFonts w:hint="default" w:eastAsia="宋体"/>
                <w:color w:val="auto"/>
                <w:lang w:val="en-US" w:eastAsia="zh-CN"/>
              </w:rPr>
            </w:pPr>
            <w:r>
              <w:rPr>
                <w:rFonts w:hint="eastAsia"/>
                <w:color w:val="auto"/>
                <w:lang w:val="en-US" w:eastAsia="zh-CN"/>
              </w:rPr>
              <w:t>77.52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25" w:type="pct"/>
            <w:noWrap w:val="0"/>
            <w:vAlign w:val="center"/>
          </w:tcPr>
          <w:p>
            <w:pPr>
              <w:pStyle w:val="91"/>
              <w:rPr>
                <w:rFonts w:hint="eastAsia"/>
                <w:color w:val="auto"/>
              </w:rPr>
            </w:pPr>
            <w:r>
              <w:rPr>
                <w:rFonts w:hint="eastAsia"/>
                <w:color w:val="auto"/>
              </w:rPr>
              <w:t>专项评价设置情况</w:t>
            </w:r>
          </w:p>
        </w:tc>
        <w:tc>
          <w:tcPr>
            <w:tcW w:w="4374" w:type="pct"/>
            <w:gridSpan w:val="3"/>
            <w:noWrap w:val="0"/>
            <w:vAlign w:val="center"/>
          </w:tcPr>
          <w:p>
            <w:pPr>
              <w:widowControl w:val="0"/>
              <w:spacing w:line="480" w:lineRule="exact"/>
              <w:ind w:firstLine="480" w:firstLineChars="200"/>
              <w:jc w:val="both"/>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依据《建设项目环境影响报告表编制技术指南-污染影响类》专项评价设置原则表，项目无需进行专项评价。</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2764"/>
              <w:gridCol w:w="2528"/>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noWrap w:val="0"/>
                  <w:vAlign w:val="center"/>
                </w:tcPr>
                <w:p>
                  <w:pPr>
                    <w:pStyle w:val="75"/>
                    <w:bidi w:val="0"/>
                    <w:rPr>
                      <w:rFonts w:hint="eastAsia"/>
                      <w:b/>
                      <w:bCs/>
                      <w:lang w:val="en-US" w:eastAsia="zh-CN"/>
                    </w:rPr>
                  </w:pPr>
                  <w:r>
                    <w:rPr>
                      <w:rFonts w:hint="eastAsia"/>
                      <w:b/>
                      <w:bCs/>
                      <w:lang w:val="en-US" w:eastAsia="zh-CN"/>
                    </w:rPr>
                    <w:t>专项评价类别</w:t>
                  </w:r>
                </w:p>
              </w:tc>
              <w:tc>
                <w:tcPr>
                  <w:tcW w:w="3098" w:type="dxa"/>
                  <w:noWrap w:val="0"/>
                  <w:vAlign w:val="center"/>
                </w:tcPr>
                <w:p>
                  <w:pPr>
                    <w:pStyle w:val="75"/>
                    <w:bidi w:val="0"/>
                    <w:rPr>
                      <w:rFonts w:hint="eastAsia"/>
                      <w:b/>
                      <w:bCs/>
                      <w:lang w:val="en-US" w:eastAsia="zh-CN"/>
                    </w:rPr>
                  </w:pPr>
                  <w:r>
                    <w:rPr>
                      <w:rFonts w:hint="eastAsia"/>
                      <w:b/>
                      <w:bCs/>
                      <w:lang w:val="en-US" w:eastAsia="zh-CN"/>
                    </w:rPr>
                    <w:t>设置原则</w:t>
                  </w:r>
                </w:p>
              </w:tc>
              <w:tc>
                <w:tcPr>
                  <w:tcW w:w="2676" w:type="dxa"/>
                  <w:noWrap w:val="0"/>
                  <w:vAlign w:val="center"/>
                </w:tcPr>
                <w:p>
                  <w:pPr>
                    <w:pStyle w:val="75"/>
                    <w:bidi w:val="0"/>
                    <w:rPr>
                      <w:rFonts w:hint="eastAsia"/>
                      <w:b/>
                      <w:bCs/>
                      <w:lang w:val="en-US" w:eastAsia="zh-CN"/>
                    </w:rPr>
                  </w:pPr>
                  <w:r>
                    <w:rPr>
                      <w:rFonts w:hint="eastAsia"/>
                      <w:b/>
                      <w:bCs/>
                      <w:lang w:val="en-US" w:eastAsia="zh-CN"/>
                    </w:rPr>
                    <w:t>本项目情况</w:t>
                  </w:r>
                </w:p>
              </w:tc>
              <w:tc>
                <w:tcPr>
                  <w:tcW w:w="1256" w:type="dxa"/>
                  <w:noWrap w:val="0"/>
                  <w:vAlign w:val="center"/>
                </w:tcPr>
                <w:p>
                  <w:pPr>
                    <w:pStyle w:val="75"/>
                    <w:bidi w:val="0"/>
                    <w:rPr>
                      <w:rFonts w:hint="eastAsia"/>
                      <w:b/>
                      <w:bCs/>
                      <w:lang w:val="en-US" w:eastAsia="zh-CN"/>
                    </w:rPr>
                  </w:pPr>
                  <w:r>
                    <w:rPr>
                      <w:rFonts w:hint="eastAsia"/>
                      <w:b/>
                      <w:bCs/>
                      <w:lang w:val="en-US" w:eastAsia="zh-CN"/>
                    </w:rPr>
                    <w:t>本项目是否涉及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noWrap w:val="0"/>
                  <w:vAlign w:val="center"/>
                </w:tcPr>
                <w:p>
                  <w:pPr>
                    <w:pStyle w:val="75"/>
                    <w:bidi w:val="0"/>
                    <w:rPr>
                      <w:rFonts w:hint="eastAsia"/>
                      <w:lang w:val="en-US" w:eastAsia="zh-CN"/>
                    </w:rPr>
                  </w:pPr>
                  <w:r>
                    <w:rPr>
                      <w:rFonts w:hint="eastAsia"/>
                      <w:lang w:val="en-US" w:eastAsia="zh-CN"/>
                    </w:rPr>
                    <w:t>大气</w:t>
                  </w:r>
                </w:p>
              </w:tc>
              <w:tc>
                <w:tcPr>
                  <w:tcW w:w="3098" w:type="dxa"/>
                  <w:noWrap w:val="0"/>
                  <w:vAlign w:val="center"/>
                </w:tcPr>
                <w:p>
                  <w:pPr>
                    <w:pStyle w:val="75"/>
                    <w:bidi w:val="0"/>
                    <w:rPr>
                      <w:rFonts w:hint="eastAsia"/>
                      <w:lang w:val="en-US" w:eastAsia="zh-CN"/>
                    </w:rPr>
                  </w:pPr>
                  <w:r>
                    <w:rPr>
                      <w:rFonts w:hint="eastAsia"/>
                      <w:lang w:val="en-US" w:eastAsia="zh-CN"/>
                    </w:rPr>
                    <w:t>排放废气含有毒有害污染物 二噁英、苯并[a]芘、氰化物、氯气且厂界外500米范围内有环境空气保护目标的建设项目</w:t>
                  </w:r>
                </w:p>
              </w:tc>
              <w:tc>
                <w:tcPr>
                  <w:tcW w:w="2676" w:type="dxa"/>
                  <w:noWrap w:val="0"/>
                  <w:vAlign w:val="center"/>
                </w:tcPr>
                <w:p>
                  <w:pPr>
                    <w:pStyle w:val="75"/>
                    <w:bidi w:val="0"/>
                    <w:rPr>
                      <w:rFonts w:hint="eastAsia"/>
                      <w:lang w:val="en-US" w:eastAsia="zh-CN"/>
                    </w:rPr>
                  </w:pPr>
                  <w:r>
                    <w:rPr>
                      <w:rFonts w:hint="eastAsia"/>
                      <w:lang w:val="en-US" w:eastAsia="zh-CN"/>
                    </w:rPr>
                    <w:t>本项目排放的废气不涉及《有毒有害大气污染物名录》中的有毒有害污染物，不涉及二噁英、苯并[a]芘、氰化物、氯气</w:t>
                  </w:r>
                </w:p>
              </w:tc>
              <w:tc>
                <w:tcPr>
                  <w:tcW w:w="1256" w:type="dxa"/>
                  <w:noWrap w:val="0"/>
                  <w:vAlign w:val="center"/>
                </w:tcPr>
                <w:p>
                  <w:pPr>
                    <w:pStyle w:val="75"/>
                    <w:bidi w:val="0"/>
                    <w:rPr>
                      <w:rFonts w:hint="eastAsia"/>
                      <w:lang w:val="en-US" w:eastAsia="zh-CN"/>
                    </w:rPr>
                  </w:pPr>
                  <w:r>
                    <w:rPr>
                      <w:rFonts w:hint="eastAsia"/>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noWrap w:val="0"/>
                  <w:vAlign w:val="center"/>
                </w:tcPr>
                <w:p>
                  <w:pPr>
                    <w:pStyle w:val="75"/>
                    <w:bidi w:val="0"/>
                    <w:rPr>
                      <w:rFonts w:hint="eastAsia"/>
                      <w:lang w:val="en-US" w:eastAsia="zh-CN"/>
                    </w:rPr>
                  </w:pPr>
                  <w:r>
                    <w:rPr>
                      <w:rFonts w:hint="eastAsia"/>
                      <w:lang w:val="en-US" w:eastAsia="zh-CN"/>
                    </w:rPr>
                    <w:t>地表水</w:t>
                  </w:r>
                </w:p>
              </w:tc>
              <w:tc>
                <w:tcPr>
                  <w:tcW w:w="3098" w:type="dxa"/>
                  <w:noWrap w:val="0"/>
                  <w:vAlign w:val="center"/>
                </w:tcPr>
                <w:p>
                  <w:pPr>
                    <w:pStyle w:val="75"/>
                    <w:bidi w:val="0"/>
                    <w:rPr>
                      <w:rFonts w:hint="eastAsia"/>
                      <w:lang w:val="en-US" w:eastAsia="zh-CN"/>
                    </w:rPr>
                  </w:pPr>
                  <w:r>
                    <w:rPr>
                      <w:rFonts w:hint="eastAsia"/>
                      <w:lang w:val="en-US" w:eastAsia="zh-CN"/>
                    </w:rPr>
                    <w:t>新增工业废水直排建设项目（槽罐车外送污水处理厂的除外）；新增废水直排的污水集中处理厂</w:t>
                  </w:r>
                </w:p>
              </w:tc>
              <w:tc>
                <w:tcPr>
                  <w:tcW w:w="2676" w:type="dxa"/>
                  <w:noWrap w:val="0"/>
                  <w:vAlign w:val="center"/>
                </w:tcPr>
                <w:p>
                  <w:pPr>
                    <w:pStyle w:val="75"/>
                    <w:bidi w:val="0"/>
                    <w:rPr>
                      <w:rFonts w:hint="eastAsia"/>
                      <w:lang w:val="en-US" w:eastAsia="zh-CN"/>
                    </w:rPr>
                  </w:pPr>
                  <w:r>
                    <w:rPr>
                      <w:rFonts w:hint="eastAsia"/>
                      <w:lang w:val="en-US" w:eastAsia="zh-CN"/>
                    </w:rPr>
                    <w:t>本项目生产废水为间接排放</w:t>
                  </w:r>
                </w:p>
              </w:tc>
              <w:tc>
                <w:tcPr>
                  <w:tcW w:w="1256" w:type="dxa"/>
                  <w:noWrap w:val="0"/>
                  <w:vAlign w:val="center"/>
                </w:tcPr>
                <w:p>
                  <w:pPr>
                    <w:pStyle w:val="75"/>
                    <w:bidi w:val="0"/>
                    <w:rPr>
                      <w:rFonts w:hint="eastAsia"/>
                      <w:lang w:val="en-US" w:eastAsia="zh-CN"/>
                    </w:rPr>
                  </w:pPr>
                  <w:r>
                    <w:rPr>
                      <w:rFonts w:hint="eastAsia"/>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noWrap w:val="0"/>
                  <w:vAlign w:val="center"/>
                </w:tcPr>
                <w:p>
                  <w:pPr>
                    <w:pStyle w:val="75"/>
                    <w:bidi w:val="0"/>
                    <w:rPr>
                      <w:rFonts w:hint="eastAsia"/>
                      <w:lang w:val="en-US" w:eastAsia="zh-CN"/>
                    </w:rPr>
                  </w:pPr>
                  <w:r>
                    <w:rPr>
                      <w:rFonts w:hint="eastAsia"/>
                      <w:lang w:val="en-US" w:eastAsia="zh-CN"/>
                    </w:rPr>
                    <w:t>环境风险</w:t>
                  </w:r>
                </w:p>
              </w:tc>
              <w:tc>
                <w:tcPr>
                  <w:tcW w:w="3098" w:type="dxa"/>
                  <w:noWrap w:val="0"/>
                  <w:vAlign w:val="center"/>
                </w:tcPr>
                <w:p>
                  <w:pPr>
                    <w:pStyle w:val="75"/>
                    <w:bidi w:val="0"/>
                    <w:rPr>
                      <w:rFonts w:hint="eastAsia"/>
                      <w:lang w:val="en-US" w:eastAsia="zh-CN"/>
                    </w:rPr>
                  </w:pPr>
                  <w:r>
                    <w:rPr>
                      <w:rFonts w:hint="eastAsia"/>
                      <w:lang w:val="en-US" w:eastAsia="zh-CN"/>
                    </w:rPr>
                    <w:t>有毒有害和易燃易爆物质存储量超过临界量的建设项目</w:t>
                  </w:r>
                </w:p>
              </w:tc>
              <w:tc>
                <w:tcPr>
                  <w:tcW w:w="2676" w:type="dxa"/>
                  <w:noWrap w:val="0"/>
                  <w:vAlign w:val="center"/>
                </w:tcPr>
                <w:p>
                  <w:pPr>
                    <w:pStyle w:val="75"/>
                    <w:bidi w:val="0"/>
                    <w:rPr>
                      <w:rFonts w:hint="eastAsia"/>
                      <w:lang w:val="en-US" w:eastAsia="zh-CN"/>
                    </w:rPr>
                  </w:pPr>
                  <w:r>
                    <w:rPr>
                      <w:rFonts w:hint="eastAsia"/>
                      <w:lang w:val="en-US" w:eastAsia="zh-CN"/>
                    </w:rPr>
                    <w:t>根据《建设项目环境风险评</w:t>
                  </w:r>
                </w:p>
                <w:p>
                  <w:pPr>
                    <w:pStyle w:val="75"/>
                    <w:bidi w:val="0"/>
                    <w:rPr>
                      <w:rFonts w:hint="eastAsia"/>
                      <w:lang w:val="en-US" w:eastAsia="zh-CN"/>
                    </w:rPr>
                  </w:pPr>
                  <w:r>
                    <w:rPr>
                      <w:rFonts w:hint="eastAsia"/>
                      <w:lang w:val="en-US" w:eastAsia="zh-CN"/>
                    </w:rPr>
                    <w:t>价技术导则》（HJ169-2018）</w:t>
                  </w:r>
                </w:p>
                <w:p>
                  <w:pPr>
                    <w:pStyle w:val="75"/>
                    <w:bidi w:val="0"/>
                    <w:rPr>
                      <w:rFonts w:hint="eastAsia"/>
                      <w:lang w:val="en-US" w:eastAsia="zh-CN"/>
                    </w:rPr>
                  </w:pPr>
                  <w:r>
                    <w:rPr>
                      <w:rFonts w:hint="eastAsia"/>
                      <w:lang w:val="en-US" w:eastAsia="zh-CN"/>
                    </w:rPr>
                    <w:t>附录 B，本项目涉及的危险物质储存量远小于临界量</w:t>
                  </w:r>
                </w:p>
              </w:tc>
              <w:tc>
                <w:tcPr>
                  <w:tcW w:w="1256" w:type="dxa"/>
                  <w:noWrap w:val="0"/>
                  <w:vAlign w:val="center"/>
                </w:tcPr>
                <w:p>
                  <w:pPr>
                    <w:pStyle w:val="75"/>
                    <w:bidi w:val="0"/>
                    <w:rPr>
                      <w:rFonts w:hint="eastAsia"/>
                      <w:lang w:val="en-US" w:eastAsia="zh-CN"/>
                    </w:rPr>
                  </w:pPr>
                  <w:r>
                    <w:rPr>
                      <w:rFonts w:hint="eastAsia"/>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noWrap w:val="0"/>
                  <w:vAlign w:val="center"/>
                </w:tcPr>
                <w:p>
                  <w:pPr>
                    <w:pStyle w:val="75"/>
                    <w:bidi w:val="0"/>
                    <w:rPr>
                      <w:rFonts w:hint="eastAsia"/>
                      <w:lang w:val="en-US" w:eastAsia="zh-CN"/>
                    </w:rPr>
                  </w:pPr>
                  <w:r>
                    <w:rPr>
                      <w:rFonts w:hint="eastAsia"/>
                      <w:lang w:val="en-US" w:eastAsia="zh-CN"/>
                    </w:rPr>
                    <w:t>生态</w:t>
                  </w:r>
                </w:p>
              </w:tc>
              <w:tc>
                <w:tcPr>
                  <w:tcW w:w="3098" w:type="dxa"/>
                  <w:noWrap w:val="0"/>
                  <w:vAlign w:val="center"/>
                </w:tcPr>
                <w:p>
                  <w:pPr>
                    <w:pStyle w:val="75"/>
                    <w:bidi w:val="0"/>
                    <w:rPr>
                      <w:rFonts w:hint="eastAsia"/>
                      <w:lang w:val="en-US" w:eastAsia="zh-CN"/>
                    </w:rPr>
                  </w:pPr>
                  <w:r>
                    <w:rPr>
                      <w:rFonts w:hint="eastAsia"/>
                      <w:lang w:val="en-US" w:eastAsia="zh-CN"/>
                    </w:rPr>
                    <w:t>取水口下游500米范围内有重要水生生物的自然产卵场、索饵场、越冬场和洄游通道的新增河道取水的污染类建设项目</w:t>
                  </w:r>
                </w:p>
              </w:tc>
              <w:tc>
                <w:tcPr>
                  <w:tcW w:w="2676" w:type="dxa"/>
                  <w:noWrap w:val="0"/>
                  <w:vAlign w:val="center"/>
                </w:tcPr>
                <w:p>
                  <w:pPr>
                    <w:pStyle w:val="75"/>
                    <w:bidi w:val="0"/>
                    <w:rPr>
                      <w:rFonts w:hint="eastAsia"/>
                      <w:lang w:val="en-US" w:eastAsia="zh-CN"/>
                    </w:rPr>
                  </w:pPr>
                  <w:r>
                    <w:rPr>
                      <w:rFonts w:hint="eastAsia"/>
                      <w:lang w:val="en-US" w:eastAsia="zh-CN"/>
                    </w:rPr>
                    <w:t>本项目不设置取水口</w:t>
                  </w:r>
                </w:p>
              </w:tc>
              <w:tc>
                <w:tcPr>
                  <w:tcW w:w="1256" w:type="dxa"/>
                  <w:noWrap w:val="0"/>
                  <w:vAlign w:val="center"/>
                </w:tcPr>
                <w:p>
                  <w:pPr>
                    <w:pStyle w:val="75"/>
                    <w:bidi w:val="0"/>
                    <w:rPr>
                      <w:rFonts w:hint="eastAsia"/>
                      <w:lang w:val="en-US" w:eastAsia="zh-CN"/>
                    </w:rPr>
                  </w:pPr>
                  <w:r>
                    <w:rPr>
                      <w:rFonts w:hint="eastAsia"/>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noWrap w:val="0"/>
                  <w:vAlign w:val="center"/>
                </w:tcPr>
                <w:p>
                  <w:pPr>
                    <w:pStyle w:val="75"/>
                    <w:bidi w:val="0"/>
                    <w:rPr>
                      <w:rFonts w:hint="eastAsia"/>
                      <w:lang w:val="en-US" w:eastAsia="zh-CN"/>
                    </w:rPr>
                  </w:pPr>
                  <w:r>
                    <w:rPr>
                      <w:rFonts w:hint="eastAsia"/>
                      <w:lang w:val="en-US" w:eastAsia="zh-CN"/>
                    </w:rPr>
                    <w:t>海洋</w:t>
                  </w:r>
                </w:p>
              </w:tc>
              <w:tc>
                <w:tcPr>
                  <w:tcW w:w="3098" w:type="dxa"/>
                  <w:noWrap w:val="0"/>
                  <w:vAlign w:val="center"/>
                </w:tcPr>
                <w:p>
                  <w:pPr>
                    <w:pStyle w:val="75"/>
                    <w:bidi w:val="0"/>
                    <w:rPr>
                      <w:rFonts w:hint="eastAsia"/>
                      <w:lang w:val="en-US" w:eastAsia="zh-CN"/>
                    </w:rPr>
                  </w:pPr>
                  <w:r>
                    <w:rPr>
                      <w:rFonts w:hint="eastAsia"/>
                      <w:lang w:val="en-US" w:eastAsia="zh-CN"/>
                    </w:rPr>
                    <w:t>直接向海排放污染物的海洋工程建设项目</w:t>
                  </w:r>
                </w:p>
              </w:tc>
              <w:tc>
                <w:tcPr>
                  <w:tcW w:w="2676" w:type="dxa"/>
                  <w:noWrap w:val="0"/>
                  <w:vAlign w:val="center"/>
                </w:tcPr>
                <w:p>
                  <w:pPr>
                    <w:pStyle w:val="75"/>
                    <w:bidi w:val="0"/>
                    <w:rPr>
                      <w:rFonts w:hint="eastAsia"/>
                      <w:lang w:val="en-US" w:eastAsia="zh-CN"/>
                    </w:rPr>
                  </w:pPr>
                  <w:r>
                    <w:rPr>
                      <w:rFonts w:hint="eastAsia"/>
                      <w:lang w:val="en-US" w:eastAsia="zh-CN"/>
                    </w:rPr>
                    <w:t>本项目不属于海洋工程建设项目</w:t>
                  </w:r>
                </w:p>
              </w:tc>
              <w:tc>
                <w:tcPr>
                  <w:tcW w:w="1256" w:type="dxa"/>
                  <w:noWrap w:val="0"/>
                  <w:vAlign w:val="center"/>
                </w:tcPr>
                <w:p>
                  <w:pPr>
                    <w:pStyle w:val="75"/>
                    <w:bidi w:val="0"/>
                    <w:rPr>
                      <w:rFonts w:hint="eastAsia"/>
                      <w:lang w:val="en-US" w:eastAsia="zh-CN"/>
                    </w:rPr>
                  </w:pPr>
                  <w:r>
                    <w:rPr>
                      <w:rFonts w:hint="eastAsia"/>
                      <w:lang w:val="en-US" w:eastAsia="zh-CN"/>
                    </w:rPr>
                    <w:t>否</w:t>
                  </w:r>
                </w:p>
              </w:tc>
            </w:tr>
          </w:tbl>
          <w:p>
            <w:pPr>
              <w:pStyle w:val="91"/>
              <w:rPr>
                <w:rFonts w:hint="eastAsia"/>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625" w:type="pct"/>
            <w:noWrap w:val="0"/>
            <w:vAlign w:val="center"/>
          </w:tcPr>
          <w:p>
            <w:pPr>
              <w:pStyle w:val="91"/>
              <w:rPr>
                <w:rFonts w:hint="eastAsia"/>
                <w:color w:val="auto"/>
              </w:rPr>
            </w:pPr>
            <w:r>
              <w:rPr>
                <w:rFonts w:hint="eastAsia"/>
                <w:color w:val="auto"/>
              </w:rPr>
              <w:t>规划情况</w:t>
            </w:r>
          </w:p>
        </w:tc>
        <w:tc>
          <w:tcPr>
            <w:tcW w:w="4374" w:type="pct"/>
            <w:gridSpan w:val="3"/>
            <w:noWrap w:val="0"/>
            <w:vAlign w:val="center"/>
          </w:tcPr>
          <w:p>
            <w:pPr>
              <w:pStyle w:val="110"/>
              <w:ind w:firstLine="0" w:firstLineChars="0"/>
              <w:rPr>
                <w:rFonts w:hint="eastAsia"/>
                <w:color w:val="auto"/>
              </w:rPr>
            </w:pPr>
            <w:r>
              <w:rPr>
                <w:rFonts w:hint="eastAsia"/>
                <w:color w:val="auto"/>
              </w:rPr>
              <w:t>规划名称：《乐山城市总体规划（2011-2030）》（2017年版）</w:t>
            </w:r>
          </w:p>
          <w:p>
            <w:pPr>
              <w:pStyle w:val="110"/>
              <w:ind w:firstLine="0" w:firstLineChars="0"/>
              <w:rPr>
                <w:rFonts w:hint="eastAsia"/>
                <w:color w:val="auto"/>
              </w:rPr>
            </w:pPr>
            <w:r>
              <w:rPr>
                <w:rFonts w:hint="eastAsia"/>
                <w:color w:val="auto"/>
              </w:rPr>
              <w:t>审批机关：四川省住房和城乡建设厅</w:t>
            </w:r>
          </w:p>
          <w:p>
            <w:pPr>
              <w:pStyle w:val="110"/>
              <w:ind w:firstLine="0" w:firstLineChars="0"/>
              <w:rPr>
                <w:color w:val="auto"/>
              </w:rPr>
            </w:pPr>
            <w:r>
              <w:rPr>
                <w:rFonts w:hint="eastAsia"/>
                <w:color w:val="auto"/>
              </w:rPr>
              <w:t>审批文号：川建规函[2018]1058号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25" w:type="pct"/>
            <w:noWrap w:val="0"/>
            <w:vAlign w:val="center"/>
          </w:tcPr>
          <w:p>
            <w:pPr>
              <w:pStyle w:val="91"/>
              <w:rPr>
                <w:rFonts w:hint="eastAsia"/>
                <w:color w:val="auto"/>
              </w:rPr>
            </w:pPr>
            <w:r>
              <w:rPr>
                <w:rFonts w:hint="eastAsia"/>
                <w:color w:val="auto"/>
              </w:rPr>
              <w:t>规划环境影响评价情况</w:t>
            </w:r>
          </w:p>
        </w:tc>
        <w:tc>
          <w:tcPr>
            <w:tcW w:w="4374" w:type="pct"/>
            <w:gridSpan w:val="3"/>
            <w:noWrap w:val="0"/>
            <w:vAlign w:val="center"/>
          </w:tcPr>
          <w:p>
            <w:pPr>
              <w:pStyle w:val="91"/>
              <w:rPr>
                <w:rFonts w:hint="eastAsia"/>
                <w:color w:val="auto"/>
              </w:rPr>
            </w:pPr>
            <w:r>
              <w:rPr>
                <w:rFonts w:hint="eastAsia"/>
                <w:color w:val="auto"/>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5" w:type="pct"/>
            <w:noWrap w:val="0"/>
            <w:vAlign w:val="center"/>
          </w:tcPr>
          <w:p>
            <w:pPr>
              <w:pStyle w:val="91"/>
              <w:rPr>
                <w:rFonts w:hint="eastAsia"/>
                <w:color w:val="auto"/>
              </w:rPr>
            </w:pPr>
            <w:r>
              <w:rPr>
                <w:rFonts w:hint="eastAsia"/>
                <w:color w:val="auto"/>
              </w:rPr>
              <w:t>规划及规划环境影响评价符合性</w:t>
            </w:r>
          </w:p>
        </w:tc>
        <w:tc>
          <w:tcPr>
            <w:tcW w:w="4374" w:type="pct"/>
            <w:gridSpan w:val="3"/>
            <w:noWrap w:val="0"/>
            <w:vAlign w:val="center"/>
          </w:tcPr>
          <w:p>
            <w:pPr>
              <w:pStyle w:val="5"/>
              <w:numPr>
                <w:ilvl w:val="0"/>
                <w:numId w:val="0"/>
              </w:numPr>
              <w:rPr>
                <w:color w:val="auto"/>
              </w:rPr>
            </w:pPr>
            <w:r>
              <w:rPr>
                <w:rFonts w:hint="eastAsia"/>
                <w:color w:val="auto"/>
                <w:lang w:val="en-US" w:eastAsia="zh-CN"/>
              </w:rPr>
              <w:t>1、</w:t>
            </w:r>
            <w:r>
              <w:rPr>
                <w:color w:val="auto"/>
              </w:rPr>
              <w:t>与乐山市城市总体规划符合性分析</w:t>
            </w:r>
          </w:p>
          <w:p>
            <w:pPr>
              <w:pStyle w:val="110"/>
              <w:ind w:firstLine="480"/>
              <w:rPr>
                <w:rFonts w:hint="eastAsia"/>
                <w:color w:val="auto"/>
                <w:lang w:eastAsia="zh-CN"/>
              </w:rPr>
            </w:pPr>
            <w:r>
              <w:rPr>
                <w:rFonts w:hint="eastAsia"/>
                <w:color w:val="auto"/>
              </w:rPr>
              <w:t>项目位于</w:t>
            </w:r>
            <w:r>
              <w:rPr>
                <w:rFonts w:hint="eastAsia"/>
                <w:color w:val="auto"/>
                <w:lang w:eastAsia="zh-CN"/>
              </w:rPr>
              <w:t>乐山市市中区凤洲路2028号2楼2号</w:t>
            </w:r>
            <w:r>
              <w:rPr>
                <w:rFonts w:hint="eastAsia"/>
                <w:color w:val="auto"/>
              </w:rPr>
              <w:t>，占地范围属于中心城区，属于城市建成区。</w:t>
            </w:r>
            <w:r>
              <w:rPr>
                <w:rFonts w:hint="eastAsia"/>
                <w:color w:val="auto"/>
                <w:lang w:eastAsia="zh-CN"/>
              </w:rPr>
              <w:t>项目于</w:t>
            </w:r>
            <w:r>
              <w:rPr>
                <w:rFonts w:hint="eastAsia"/>
                <w:color w:val="auto"/>
              </w:rPr>
              <w:t>201</w:t>
            </w:r>
            <w:r>
              <w:rPr>
                <w:rFonts w:hint="eastAsia"/>
                <w:color w:val="auto"/>
                <w:lang w:val="en-US" w:eastAsia="zh-CN"/>
              </w:rPr>
              <w:t>9</w:t>
            </w:r>
            <w:r>
              <w:rPr>
                <w:rFonts w:hint="eastAsia"/>
                <w:color w:val="auto"/>
              </w:rPr>
              <w:t>年</w:t>
            </w:r>
            <w:r>
              <w:rPr>
                <w:rFonts w:hint="eastAsia"/>
                <w:color w:val="auto"/>
                <w:lang w:val="en-US" w:eastAsia="zh-CN"/>
              </w:rPr>
              <w:t>6</w:t>
            </w:r>
            <w:r>
              <w:rPr>
                <w:rFonts w:hint="eastAsia"/>
                <w:color w:val="auto"/>
              </w:rPr>
              <w:t>月</w:t>
            </w:r>
            <w:r>
              <w:rPr>
                <w:rFonts w:hint="eastAsia"/>
                <w:color w:val="auto"/>
                <w:lang w:val="en-US" w:eastAsia="zh-CN"/>
              </w:rPr>
              <w:t>12</w:t>
            </w:r>
            <w:r>
              <w:rPr>
                <w:rFonts w:hint="eastAsia"/>
                <w:color w:val="auto"/>
              </w:rPr>
              <w:t>日取得了由乐山市市中区行政审批局颁发的动物诊疗许可证[动诊证(201</w:t>
            </w:r>
            <w:r>
              <w:rPr>
                <w:rFonts w:hint="eastAsia"/>
                <w:color w:val="auto"/>
                <w:lang w:val="en-US" w:eastAsia="zh-CN"/>
              </w:rPr>
              <w:t>9</w:t>
            </w:r>
            <w:r>
              <w:rPr>
                <w:rFonts w:hint="eastAsia"/>
                <w:color w:val="auto"/>
              </w:rPr>
              <w:t>)第00</w:t>
            </w:r>
            <w:r>
              <w:rPr>
                <w:rFonts w:hint="eastAsia"/>
                <w:color w:val="auto"/>
                <w:lang w:val="en-US" w:eastAsia="zh-CN"/>
              </w:rPr>
              <w:t>3</w:t>
            </w:r>
            <w:r>
              <w:rPr>
                <w:rFonts w:hint="eastAsia"/>
                <w:color w:val="auto"/>
              </w:rPr>
              <w:t>号]，项目</w:t>
            </w:r>
            <w:r>
              <w:rPr>
                <w:rFonts w:hint="eastAsia"/>
                <w:color w:val="auto"/>
                <w:lang w:eastAsia="zh-CN"/>
              </w:rPr>
              <w:t>已于</w:t>
            </w:r>
            <w:r>
              <w:rPr>
                <w:rFonts w:hint="eastAsia"/>
                <w:color w:val="auto"/>
                <w:lang w:val="en-US" w:eastAsia="zh-CN"/>
              </w:rPr>
              <w:t>2019年基本建成，本次评价为补评手续。</w:t>
            </w:r>
            <w:r>
              <w:rPr>
                <w:rFonts w:hint="eastAsia"/>
                <w:color w:val="auto"/>
              </w:rPr>
              <w:t>根据《乐山城市总体规划（2011-2030）》（2017年版），本项目所在地属于居住用地，</w:t>
            </w:r>
            <w:r>
              <w:rPr>
                <w:rFonts w:hint="eastAsia"/>
                <w:color w:val="auto"/>
                <w:lang w:eastAsia="zh-CN"/>
              </w:rPr>
              <w:t>项目所使用的建筑设施为邦泰国际社区住宅配套的商铺，</w:t>
            </w:r>
            <w:r>
              <w:rPr>
                <w:rFonts w:hint="eastAsia"/>
                <w:color w:val="auto"/>
              </w:rPr>
              <w:t>项目</w:t>
            </w:r>
            <w:r>
              <w:rPr>
                <w:rFonts w:hint="eastAsia"/>
                <w:color w:val="auto"/>
                <w:lang w:eastAsia="zh-CN"/>
              </w:rPr>
              <w:t>法人已取得</w:t>
            </w:r>
            <w:r>
              <w:rPr>
                <w:rFonts w:hint="eastAsia"/>
                <w:color w:val="auto"/>
              </w:rPr>
              <w:t>该商铺所有权不动产权证：川（201</w:t>
            </w:r>
            <w:r>
              <w:rPr>
                <w:rFonts w:hint="eastAsia"/>
                <w:color w:val="auto"/>
                <w:lang w:val="en-US" w:eastAsia="zh-CN"/>
              </w:rPr>
              <w:t>9</w:t>
            </w:r>
            <w:r>
              <w:rPr>
                <w:rFonts w:hint="eastAsia"/>
                <w:color w:val="auto"/>
              </w:rPr>
              <w:t>）乐山市不动产权第00</w:t>
            </w:r>
            <w:r>
              <w:rPr>
                <w:rFonts w:hint="eastAsia"/>
                <w:color w:val="auto"/>
                <w:lang w:val="en-US" w:eastAsia="zh-CN"/>
              </w:rPr>
              <w:t>23208</w:t>
            </w:r>
            <w:r>
              <w:rPr>
                <w:rFonts w:hint="eastAsia"/>
                <w:color w:val="auto"/>
              </w:rPr>
              <w:t>号：该房屋用途为批发零售用地/商业服务</w:t>
            </w:r>
            <w:r>
              <w:rPr>
                <w:rFonts w:hint="eastAsia"/>
                <w:color w:val="auto"/>
                <w:lang w:eastAsia="zh-CN"/>
              </w:rPr>
              <w:t>，</w:t>
            </w:r>
            <w:r>
              <w:rPr>
                <w:rFonts w:hint="eastAsia"/>
                <w:color w:val="auto"/>
                <w:lang w:val="en-US" w:eastAsia="zh-CN"/>
              </w:rPr>
              <w:t>可作为经营场所供本项目使用。</w:t>
            </w:r>
          </w:p>
          <w:p>
            <w:pPr>
              <w:pStyle w:val="110"/>
              <w:ind w:firstLine="480"/>
              <w:rPr>
                <w:rFonts w:hint="eastAsia"/>
                <w:color w:val="auto"/>
              </w:rPr>
            </w:pPr>
            <w:r>
              <w:rPr>
                <w:rFonts w:hint="eastAsia"/>
                <w:color w:val="auto"/>
              </w:rPr>
              <w:t>因此，符合乐山市城市总体规划。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noWrap w:val="0"/>
            <w:vAlign w:val="center"/>
          </w:tcPr>
          <w:p>
            <w:pPr>
              <w:pStyle w:val="108"/>
              <w:ind w:firstLine="0" w:firstLineChars="0"/>
              <w:jc w:val="center"/>
              <w:rPr>
                <w:rFonts w:hint="eastAsia"/>
                <w:color w:val="auto"/>
              </w:rPr>
            </w:pPr>
            <w:r>
              <w:rPr>
                <w:rFonts w:hint="eastAsia"/>
                <w:color w:val="auto"/>
              </w:rPr>
              <w:br w:type="page"/>
            </w:r>
          </w:p>
          <w:p>
            <w:pPr>
              <w:pStyle w:val="108"/>
              <w:ind w:firstLine="0" w:firstLineChars="0"/>
              <w:jc w:val="center"/>
              <w:rPr>
                <w:rFonts w:hint="eastAsia"/>
                <w:color w:val="auto"/>
              </w:rPr>
            </w:pPr>
          </w:p>
          <w:p>
            <w:pPr>
              <w:pStyle w:val="108"/>
              <w:ind w:firstLine="0" w:firstLineChars="0"/>
              <w:jc w:val="center"/>
              <w:rPr>
                <w:rFonts w:hint="eastAsia"/>
                <w:color w:val="auto"/>
              </w:rPr>
            </w:pPr>
          </w:p>
          <w:p>
            <w:pPr>
              <w:pStyle w:val="108"/>
              <w:ind w:firstLine="0" w:firstLineChars="0"/>
              <w:jc w:val="center"/>
              <w:rPr>
                <w:rFonts w:hint="eastAsia"/>
                <w:color w:val="auto"/>
              </w:rPr>
            </w:pPr>
          </w:p>
          <w:p>
            <w:pPr>
              <w:pStyle w:val="108"/>
              <w:ind w:firstLine="0" w:firstLineChars="0"/>
              <w:jc w:val="center"/>
              <w:rPr>
                <w:rFonts w:hint="eastAsia"/>
                <w:color w:val="auto"/>
              </w:rPr>
            </w:pPr>
          </w:p>
          <w:p>
            <w:pPr>
              <w:pStyle w:val="108"/>
              <w:ind w:firstLine="0" w:firstLineChars="0"/>
              <w:jc w:val="center"/>
              <w:rPr>
                <w:rFonts w:hint="eastAsia"/>
                <w:color w:val="auto"/>
              </w:rPr>
            </w:pPr>
          </w:p>
          <w:p>
            <w:pPr>
              <w:pStyle w:val="108"/>
              <w:ind w:firstLine="0" w:firstLineChars="0"/>
              <w:jc w:val="center"/>
              <w:rPr>
                <w:rFonts w:hint="eastAsia"/>
                <w:color w:val="auto"/>
              </w:rPr>
            </w:pPr>
          </w:p>
          <w:p>
            <w:pPr>
              <w:pStyle w:val="108"/>
              <w:ind w:firstLine="0" w:firstLineChars="0"/>
              <w:jc w:val="center"/>
              <w:rPr>
                <w:rFonts w:hint="eastAsia"/>
                <w:color w:val="auto"/>
              </w:rPr>
            </w:pPr>
          </w:p>
          <w:p>
            <w:pPr>
              <w:pStyle w:val="108"/>
              <w:ind w:firstLine="0" w:firstLineChars="0"/>
              <w:jc w:val="center"/>
              <w:rPr>
                <w:rFonts w:hint="eastAsia"/>
                <w:color w:val="auto"/>
              </w:rPr>
            </w:pPr>
          </w:p>
          <w:p>
            <w:pPr>
              <w:pStyle w:val="108"/>
              <w:ind w:firstLine="0" w:firstLineChars="0"/>
              <w:jc w:val="center"/>
              <w:rPr>
                <w:rFonts w:hint="eastAsia"/>
                <w:color w:val="auto"/>
              </w:rPr>
            </w:pPr>
          </w:p>
          <w:p>
            <w:pPr>
              <w:pStyle w:val="108"/>
              <w:ind w:firstLine="0" w:firstLineChars="0"/>
              <w:jc w:val="center"/>
              <w:rPr>
                <w:rFonts w:hint="eastAsia"/>
                <w:color w:val="auto"/>
              </w:rPr>
            </w:pPr>
          </w:p>
          <w:p>
            <w:pPr>
              <w:pStyle w:val="108"/>
              <w:ind w:firstLine="0" w:firstLineChars="0"/>
              <w:jc w:val="center"/>
              <w:rPr>
                <w:rFonts w:hint="eastAsia"/>
                <w:color w:val="auto"/>
              </w:rPr>
            </w:pPr>
          </w:p>
          <w:p>
            <w:pPr>
              <w:pStyle w:val="108"/>
              <w:ind w:firstLine="0" w:firstLineChars="0"/>
              <w:jc w:val="center"/>
              <w:rPr>
                <w:rFonts w:hint="eastAsia"/>
                <w:color w:val="auto"/>
              </w:rPr>
            </w:pPr>
          </w:p>
          <w:p>
            <w:pPr>
              <w:pStyle w:val="108"/>
              <w:ind w:firstLine="0" w:firstLineChars="0"/>
              <w:jc w:val="center"/>
              <w:rPr>
                <w:rFonts w:hint="eastAsia"/>
                <w:color w:val="auto"/>
              </w:rPr>
            </w:pPr>
          </w:p>
          <w:p>
            <w:pPr>
              <w:pStyle w:val="108"/>
              <w:ind w:firstLine="0" w:firstLineChars="0"/>
              <w:jc w:val="center"/>
              <w:rPr>
                <w:rFonts w:hint="eastAsia"/>
                <w:color w:val="auto"/>
              </w:rPr>
            </w:pPr>
          </w:p>
          <w:p>
            <w:pPr>
              <w:pStyle w:val="108"/>
              <w:ind w:firstLine="0" w:firstLineChars="0"/>
              <w:jc w:val="center"/>
              <w:rPr>
                <w:rFonts w:hint="eastAsia"/>
                <w:color w:val="auto"/>
              </w:rPr>
            </w:pPr>
            <w:r>
              <w:rPr>
                <w:rFonts w:hint="eastAsia"/>
                <w:color w:val="auto"/>
              </w:rPr>
              <w:t>其他符合性分析</w:t>
            </w:r>
          </w:p>
        </w:tc>
        <w:tc>
          <w:tcPr>
            <w:tcW w:w="4374" w:type="pct"/>
            <w:gridSpan w:val="3"/>
            <w:noWrap w:val="0"/>
            <w:vAlign w:val="center"/>
          </w:tcPr>
          <w:p>
            <w:pPr>
              <w:pStyle w:val="5"/>
              <w:rPr>
                <w:color w:val="auto"/>
              </w:rPr>
            </w:pPr>
            <w:r>
              <w:rPr>
                <w:rFonts w:hint="eastAsia"/>
                <w:color w:val="auto"/>
                <w:lang w:val="en-US" w:eastAsia="zh-CN"/>
              </w:rPr>
              <w:t>1</w:t>
            </w:r>
            <w:r>
              <w:rPr>
                <w:color w:val="auto"/>
              </w:rPr>
              <w:t>、项目产业政策符合性</w:t>
            </w:r>
          </w:p>
          <w:p>
            <w:pPr>
              <w:pStyle w:val="110"/>
              <w:ind w:firstLine="480"/>
              <w:rPr>
                <w:rFonts w:hint="eastAsia"/>
                <w:color w:val="auto"/>
              </w:rPr>
            </w:pPr>
            <w:r>
              <w:rPr>
                <w:rFonts w:hint="eastAsia"/>
                <w:color w:val="auto"/>
              </w:rPr>
              <w:t>根据中华人民共和国国家发展改革委2021年</w:t>
            </w:r>
            <w:r>
              <w:rPr>
                <w:color w:val="auto"/>
              </w:rPr>
              <w:t>第</w:t>
            </w:r>
            <w:r>
              <w:rPr>
                <w:rFonts w:hint="eastAsia"/>
                <w:color w:val="auto"/>
              </w:rPr>
              <w:t>49号</w:t>
            </w:r>
            <w:r>
              <w:rPr>
                <w:color w:val="auto"/>
              </w:rPr>
              <w:t>令</w:t>
            </w:r>
            <w:r>
              <w:rPr>
                <w:rFonts w:hint="eastAsia"/>
                <w:color w:val="auto"/>
              </w:rPr>
              <w:t>《产业结构调整指导目录（2019 年本）》，本项目不属于其中的鼓励类、限制类和淘汰类。同时，本项目设备的规格型号不在《产业结构调整指导目录（2019 年本）》淘汰类生产工艺装备范围内。根据《关于发布实施&lt;促进产业结构调整暂行规定&gt;的决定》（国发〔2005〕40 号）中的第十三条，“不属于鼓励类、限制类及淘汰类，且符合国家有关法律、法规和政策规定的为允许类”。本项目符合相关法律法规和政策规定，因此，本项目为允许类。同时，项目已取得乐山市市中区行政审批局颁发的《动物诊疗许可证》（动诊证（201</w:t>
            </w:r>
            <w:r>
              <w:rPr>
                <w:rFonts w:hint="eastAsia"/>
                <w:color w:val="auto"/>
                <w:lang w:val="en-US" w:eastAsia="zh-CN"/>
              </w:rPr>
              <w:t>9</w:t>
            </w:r>
            <w:r>
              <w:rPr>
                <w:rFonts w:hint="eastAsia"/>
                <w:color w:val="auto"/>
              </w:rPr>
              <w:t>）第00</w:t>
            </w:r>
            <w:r>
              <w:rPr>
                <w:rFonts w:hint="eastAsia"/>
                <w:color w:val="auto"/>
                <w:lang w:val="en-US" w:eastAsia="zh-CN"/>
              </w:rPr>
              <w:t>2</w:t>
            </w:r>
            <w:r>
              <w:rPr>
                <w:rFonts w:hint="eastAsia"/>
                <w:color w:val="auto"/>
              </w:rPr>
              <w:t>号），同意该项目的实施。</w:t>
            </w:r>
          </w:p>
          <w:p>
            <w:pPr>
              <w:pStyle w:val="110"/>
              <w:ind w:firstLine="480"/>
              <w:rPr>
                <w:color w:val="auto"/>
              </w:rPr>
            </w:pPr>
            <w:r>
              <w:rPr>
                <w:rFonts w:hint="eastAsia"/>
                <w:color w:val="auto"/>
              </w:rPr>
              <w:t>因此，本项目的建设符合现行相关的产业政策。</w:t>
            </w:r>
          </w:p>
          <w:p>
            <w:pPr>
              <w:pStyle w:val="5"/>
              <w:numPr>
                <w:ilvl w:val="0"/>
                <w:numId w:val="0"/>
              </w:numPr>
              <w:ind w:leftChars="0"/>
              <w:rPr>
                <w:color w:val="auto"/>
              </w:rPr>
            </w:pPr>
            <w:r>
              <w:rPr>
                <w:rFonts w:hint="eastAsia"/>
                <w:color w:val="auto"/>
                <w:lang w:val="en-US" w:eastAsia="zh-CN"/>
              </w:rPr>
              <w:t>2、</w:t>
            </w:r>
            <w:r>
              <w:rPr>
                <w:color w:val="auto"/>
              </w:rPr>
              <w:t>“三线一单”符合性分析</w:t>
            </w:r>
          </w:p>
          <w:p>
            <w:pPr>
              <w:pStyle w:val="110"/>
              <w:bidi w:val="0"/>
              <w:rPr>
                <w:rFonts w:hint="eastAsia"/>
                <w:color w:val="auto"/>
                <w:lang w:val="en-US" w:eastAsia="zh-CN"/>
              </w:rPr>
            </w:pPr>
            <w:r>
              <w:rPr>
                <w:rFonts w:hint="eastAsia"/>
                <w:color w:val="auto"/>
                <w:lang w:val="en-US" w:eastAsia="zh-CN"/>
              </w:rPr>
              <w:t>根据四川省生态环境厅《关于印发&lt;产业园区规划环评“三线一单”符合性分析技术要点（试点）&gt;和&lt;项目环评“三线一单”符合性分析技术要点（试点）&gt;的通知》（川环办函【2021】469号），四川省实施生态环境分区管控的有关工作部署，探索形成“区域环评—规划环评—项目环评”联动管理体系。</w:t>
            </w:r>
          </w:p>
          <w:p>
            <w:pPr>
              <w:pStyle w:val="110"/>
              <w:bidi w:val="0"/>
              <w:rPr>
                <w:rFonts w:hint="eastAsia"/>
                <w:color w:val="auto"/>
                <w:lang w:val="en-US" w:eastAsia="zh-CN"/>
              </w:rPr>
            </w:pPr>
            <w:r>
              <w:rPr>
                <w:rFonts w:hint="eastAsia"/>
                <w:color w:val="auto"/>
                <w:lang w:val="en-US" w:eastAsia="zh-CN"/>
              </w:rPr>
              <w:t>根据《四川省人民政府关于落实生态保护红线、环境质量底线、资源利用上线制定生态环境准入清单实施生态环境分区管控的通知》川府发〔2020〕9号，将全省行政区域从生态环境保护角度划分为优先保护、重点管控和一般管控三类环境管控单元。优先保护单元指以生态环境保护为主的区域，主要包括生态保护红线、自然保护地、饮用水水源保护区等，应以生态环境保护优先为原则，严格执行相关法律、法规要求，严守生态环境质量底线，确保生态环境功能不降低。 重点管控单元指涉及水、大气、土壤、自然资源等资源环境要素重点管控的区域，应不断提升资源利用效率，有针对性地加强污染物排放控制和环境风险防控，解决生态环境质量不达标、生态环境风险高等问题。一般管控单元指除优先保护单元和重点管控单元之外的其他区域，主要落实生态环境保护基本要求。</w:t>
            </w:r>
          </w:p>
          <w:p>
            <w:pPr>
              <w:pStyle w:val="6"/>
              <w:ind w:firstLine="482"/>
              <w:rPr>
                <w:rFonts w:hint="eastAsia"/>
                <w:color w:val="auto"/>
              </w:rPr>
            </w:pPr>
            <w:r>
              <w:rPr>
                <w:rFonts w:hint="eastAsia"/>
                <w:color w:val="auto"/>
                <w:lang w:val="en-US" w:eastAsia="zh-CN"/>
              </w:rPr>
              <w:t xml:space="preserve">2.1 </w:t>
            </w:r>
            <w:r>
              <w:rPr>
                <w:rFonts w:hint="eastAsia"/>
                <w:color w:val="auto"/>
              </w:rPr>
              <w:t>与《乐山市人民政府关于落实生态保护红线、环境质量底线、资源利用上线制定生态环境准入清单实施生态环境分区管控的通知》（乐府发〔2021〕7号）符合性分析</w:t>
            </w:r>
          </w:p>
          <w:p>
            <w:pPr>
              <w:pStyle w:val="110"/>
              <w:ind w:firstLine="480"/>
              <w:rPr>
                <w:rFonts w:hint="eastAsia"/>
                <w:color w:val="auto"/>
              </w:rPr>
            </w:pPr>
            <w:r>
              <w:rPr>
                <w:rFonts w:hint="eastAsia"/>
                <w:color w:val="auto"/>
              </w:rPr>
              <w:t xml:space="preserve">根据乐山市人民政府发布的《关于落实生态保护红线、环境质量底线、资源利用上线制定生态环境准入清单实施生态环境分区管控的通知》（乐府发〔2021〕7号），将全市行政区域从生态环境保护角度划分为优先保护、重点管控和一般管控三类环境管控单元。 </w:t>
            </w:r>
          </w:p>
          <w:p>
            <w:pPr>
              <w:pStyle w:val="110"/>
              <w:numPr>
                <w:ilvl w:val="0"/>
                <w:numId w:val="7"/>
              </w:numPr>
              <w:ind w:firstLineChars="0"/>
              <w:rPr>
                <w:rFonts w:hint="eastAsia"/>
                <w:color w:val="auto"/>
              </w:rPr>
            </w:pPr>
            <w:r>
              <w:rPr>
                <w:rFonts w:hint="eastAsia"/>
                <w:color w:val="auto"/>
              </w:rPr>
              <w:t>优先保护单元：</w:t>
            </w:r>
          </w:p>
          <w:p>
            <w:pPr>
              <w:pStyle w:val="110"/>
              <w:ind w:firstLine="480"/>
              <w:rPr>
                <w:rFonts w:hint="eastAsia"/>
                <w:color w:val="auto"/>
              </w:rPr>
            </w:pPr>
            <w:r>
              <w:rPr>
                <w:rFonts w:hint="eastAsia"/>
                <w:color w:val="auto"/>
              </w:rPr>
              <w:t xml:space="preserve">以生态环境保护为主的区域，全市划分优先保护单元 26 个，主要包括生态保护红线、自然保护地、饮用水水源保护区等，应以生态环境保护优先为原则，严格执行相关法律、法规要求，严守生态环境质量底线，确保生态环境功能不降低。 </w:t>
            </w:r>
          </w:p>
          <w:p>
            <w:pPr>
              <w:pStyle w:val="110"/>
              <w:numPr>
                <w:ilvl w:val="0"/>
                <w:numId w:val="7"/>
              </w:numPr>
              <w:ind w:firstLineChars="0"/>
              <w:rPr>
                <w:rFonts w:hint="eastAsia"/>
                <w:color w:val="auto"/>
              </w:rPr>
            </w:pPr>
            <w:r>
              <w:rPr>
                <w:rFonts w:hint="eastAsia"/>
                <w:color w:val="auto"/>
              </w:rPr>
              <w:t>重点管控单元：</w:t>
            </w:r>
          </w:p>
          <w:p>
            <w:pPr>
              <w:pStyle w:val="110"/>
              <w:ind w:firstLine="480"/>
              <w:rPr>
                <w:rFonts w:hint="eastAsia"/>
                <w:color w:val="auto"/>
              </w:rPr>
            </w:pPr>
            <w:r>
              <w:rPr>
                <w:rFonts w:hint="eastAsia"/>
                <w:color w:val="auto"/>
              </w:rPr>
              <w:t xml:space="preserve">涉及水、大气、土壤、自然资源等资源环境要素重点管控的区域，全市划分重点管控单元 33 个，主要包括人口密集的城镇规划区和产业集聚的工业园区（工业集聚区）等，应不断提升资源利用效率，有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 </w:t>
            </w:r>
          </w:p>
          <w:p>
            <w:pPr>
              <w:pStyle w:val="110"/>
              <w:numPr>
                <w:ilvl w:val="0"/>
                <w:numId w:val="7"/>
              </w:numPr>
              <w:ind w:firstLineChars="0"/>
              <w:rPr>
                <w:rFonts w:hint="eastAsia"/>
                <w:color w:val="auto"/>
              </w:rPr>
            </w:pPr>
            <w:r>
              <w:rPr>
                <w:rFonts w:hint="eastAsia"/>
                <w:color w:val="auto"/>
              </w:rPr>
              <w:t>一般管控单元：</w:t>
            </w:r>
          </w:p>
          <w:p>
            <w:pPr>
              <w:pStyle w:val="110"/>
              <w:ind w:firstLine="480"/>
              <w:rPr>
                <w:rFonts w:hint="eastAsia"/>
                <w:color w:val="auto"/>
              </w:rPr>
            </w:pPr>
            <w:r>
              <w:rPr>
                <w:rFonts w:hint="eastAsia"/>
                <w:color w:val="auto"/>
              </w:rPr>
              <w:t>除优先保护单元和重点管控单元之外的其他区域，全市共划分一般管控单元 6 个。执行区域生态环境保护的基本要求，重点加强农业、生活等领域污染治理。</w:t>
            </w:r>
          </w:p>
          <w:p>
            <w:pPr>
              <w:pStyle w:val="110"/>
              <w:ind w:firstLine="480"/>
              <w:rPr>
                <w:rFonts w:hint="eastAsia"/>
                <w:color w:val="auto"/>
              </w:rPr>
            </w:pPr>
            <w:r>
              <w:rPr>
                <w:rFonts w:hint="eastAsia"/>
                <w:color w:val="auto"/>
              </w:rPr>
              <w:t>本项目位于</w:t>
            </w:r>
            <w:r>
              <w:rPr>
                <w:rFonts w:hint="eastAsia"/>
                <w:color w:val="auto"/>
                <w:lang w:eastAsia="zh-CN"/>
              </w:rPr>
              <w:t>乐山市市中区凤洲路2028号2楼2号</w:t>
            </w:r>
            <w:r>
              <w:rPr>
                <w:rFonts w:hint="eastAsia"/>
                <w:color w:val="auto"/>
              </w:rPr>
              <w:t>，根据乐山市环境管控单元图，本项目所在地属于重点管控单元中的城镇重点管控单元，项目与全市环境管控单元生态环境管控要求符合性分析见下表：</w:t>
            </w:r>
          </w:p>
          <w:p>
            <w:pPr>
              <w:pStyle w:val="210"/>
              <w:rPr>
                <w:color w:val="auto"/>
              </w:rPr>
            </w:pPr>
            <w:r>
              <w:rPr>
                <w:rFonts w:hint="eastAsia"/>
                <w:color w:val="auto"/>
              </w:rPr>
              <w:t>表1-1  项目与乐山市重点管控单元生态环境管控要求符合性分析表</w:t>
            </w:r>
          </w:p>
          <w:tbl>
            <w:tblPr>
              <w:tblStyle w:val="39"/>
              <w:tblW w:w="4993" w:type="pct"/>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851"/>
              <w:gridCol w:w="2798"/>
              <w:gridCol w:w="2798"/>
              <w:gridCol w:w="622"/>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95" w:hRule="atLeast"/>
                <w:jc w:val="center"/>
              </w:trPr>
              <w:tc>
                <w:tcPr>
                  <w:tcW w:w="602" w:type="pct"/>
                  <w:tcBorders>
                    <w:top w:val="outset" w:color="auto" w:sz="6" w:space="0"/>
                    <w:left w:val="outset" w:color="auto" w:sz="6" w:space="0"/>
                    <w:bottom w:val="outset" w:color="auto" w:sz="6" w:space="0"/>
                    <w:right w:val="outset" w:color="auto" w:sz="6" w:space="0"/>
                  </w:tcBorders>
                  <w:noWrap w:val="0"/>
                  <w:tcMar>
                    <w:top w:w="0" w:type="dxa"/>
                    <w:left w:w="105" w:type="dxa"/>
                    <w:bottom w:w="0" w:type="dxa"/>
                    <w:right w:w="105" w:type="dxa"/>
                  </w:tcMar>
                  <w:vAlign w:val="center"/>
                </w:tcPr>
                <w:p>
                  <w:pPr>
                    <w:pStyle w:val="176"/>
                    <w:rPr>
                      <w:rFonts w:hint="eastAsia"/>
                      <w:b/>
                      <w:bCs/>
                      <w:color w:val="auto"/>
                    </w:rPr>
                  </w:pPr>
                </w:p>
                <w:p>
                  <w:pPr>
                    <w:pStyle w:val="176"/>
                    <w:rPr>
                      <w:b/>
                      <w:bCs/>
                      <w:color w:val="auto"/>
                    </w:rPr>
                  </w:pPr>
                  <w:r>
                    <w:rPr>
                      <w:rFonts w:hint="eastAsia"/>
                      <w:b/>
                      <w:bCs/>
                      <w:color w:val="auto"/>
                    </w:rPr>
                    <w:t>环境管控单元类型</w:t>
                  </w:r>
                </w:p>
              </w:tc>
              <w:tc>
                <w:tcPr>
                  <w:tcW w:w="1978" w:type="pct"/>
                  <w:tcBorders>
                    <w:top w:val="outset" w:color="auto" w:sz="6" w:space="0"/>
                    <w:left w:val="single" w:color="auto" w:sz="0" w:space="0"/>
                    <w:bottom w:val="outset" w:color="auto" w:sz="6" w:space="0"/>
                    <w:right w:val="outset" w:color="auto" w:sz="6" w:space="0"/>
                  </w:tcBorders>
                  <w:noWrap w:val="0"/>
                  <w:tcMar>
                    <w:top w:w="0" w:type="dxa"/>
                    <w:left w:w="105" w:type="dxa"/>
                    <w:bottom w:w="0" w:type="dxa"/>
                    <w:right w:w="105" w:type="dxa"/>
                  </w:tcMar>
                  <w:vAlign w:val="center"/>
                </w:tcPr>
                <w:p>
                  <w:pPr>
                    <w:pStyle w:val="176"/>
                    <w:rPr>
                      <w:b/>
                      <w:bCs/>
                      <w:color w:val="auto"/>
                    </w:rPr>
                  </w:pPr>
                </w:p>
                <w:p>
                  <w:pPr>
                    <w:pStyle w:val="176"/>
                    <w:rPr>
                      <w:b/>
                      <w:bCs/>
                      <w:color w:val="auto"/>
                    </w:rPr>
                  </w:pPr>
                  <w:r>
                    <w:rPr>
                      <w:rFonts w:hint="eastAsia"/>
                      <w:b/>
                      <w:bCs/>
                      <w:color w:val="auto"/>
                    </w:rPr>
                    <w:t>生态环境管控要求</w:t>
                  </w:r>
                </w:p>
              </w:tc>
              <w:tc>
                <w:tcPr>
                  <w:tcW w:w="1978" w:type="pct"/>
                  <w:tcBorders>
                    <w:top w:val="outset" w:color="auto" w:sz="6" w:space="0"/>
                    <w:left w:val="single" w:color="auto" w:sz="0" w:space="0"/>
                    <w:bottom w:val="outset" w:color="auto" w:sz="6" w:space="0"/>
                    <w:right w:val="outset" w:color="auto" w:sz="6" w:space="0"/>
                  </w:tcBorders>
                  <w:noWrap w:val="0"/>
                  <w:tcMar>
                    <w:top w:w="0" w:type="dxa"/>
                    <w:left w:w="105" w:type="dxa"/>
                    <w:bottom w:w="0" w:type="dxa"/>
                    <w:right w:w="105" w:type="dxa"/>
                  </w:tcMar>
                  <w:vAlign w:val="center"/>
                </w:tcPr>
                <w:p>
                  <w:pPr>
                    <w:pStyle w:val="176"/>
                    <w:rPr>
                      <w:rFonts w:hint="eastAsia"/>
                      <w:b/>
                      <w:bCs/>
                      <w:color w:val="auto"/>
                    </w:rPr>
                  </w:pPr>
                  <w:r>
                    <w:rPr>
                      <w:rFonts w:hint="eastAsia"/>
                      <w:b/>
                      <w:bCs/>
                      <w:color w:val="auto"/>
                    </w:rPr>
                    <w:t>符合性分析</w:t>
                  </w:r>
                </w:p>
              </w:tc>
              <w:tc>
                <w:tcPr>
                  <w:tcW w:w="440" w:type="pct"/>
                  <w:tcBorders>
                    <w:top w:val="outset" w:color="auto" w:sz="6" w:space="0"/>
                    <w:left w:val="single" w:color="auto" w:sz="0" w:space="0"/>
                    <w:bottom w:val="outset" w:color="auto" w:sz="6" w:space="0"/>
                    <w:right w:val="outset" w:color="auto" w:sz="6" w:space="0"/>
                  </w:tcBorders>
                  <w:noWrap w:val="0"/>
                  <w:tcMar>
                    <w:top w:w="0" w:type="dxa"/>
                    <w:left w:w="105" w:type="dxa"/>
                    <w:bottom w:w="0" w:type="dxa"/>
                    <w:right w:w="105" w:type="dxa"/>
                  </w:tcMar>
                  <w:vAlign w:val="center"/>
                </w:tcPr>
                <w:p>
                  <w:pPr>
                    <w:pStyle w:val="176"/>
                    <w:rPr>
                      <w:rFonts w:hint="eastAsia"/>
                      <w:b/>
                      <w:bCs/>
                      <w:color w:val="auto"/>
                    </w:rPr>
                  </w:pPr>
                  <w:r>
                    <w:rPr>
                      <w:rFonts w:hint="eastAsia"/>
                      <w:b/>
                      <w:bCs/>
                      <w:color w:val="auto"/>
                    </w:rPr>
                    <w:t>是否符合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490" w:hRule="atLeast"/>
                <w:jc w:val="center"/>
              </w:trPr>
              <w:tc>
                <w:tcPr>
                  <w:tcW w:w="602" w:type="pct"/>
                  <w:tcBorders>
                    <w:top w:val="single" w:color="auto" w:sz="0" w:space="0"/>
                    <w:left w:val="outset" w:color="auto" w:sz="6" w:space="0"/>
                    <w:bottom w:val="outset" w:color="auto" w:sz="6" w:space="0"/>
                    <w:right w:val="outset" w:color="auto" w:sz="6" w:space="0"/>
                  </w:tcBorders>
                  <w:noWrap w:val="0"/>
                  <w:tcMar>
                    <w:top w:w="0" w:type="dxa"/>
                    <w:left w:w="105" w:type="dxa"/>
                    <w:bottom w:w="0" w:type="dxa"/>
                    <w:right w:w="105" w:type="dxa"/>
                  </w:tcMar>
                  <w:vAlign w:val="center"/>
                </w:tcPr>
                <w:p>
                  <w:pPr>
                    <w:pStyle w:val="176"/>
                    <w:rPr>
                      <w:color w:val="auto"/>
                    </w:rPr>
                  </w:pPr>
                </w:p>
                <w:p>
                  <w:pPr>
                    <w:pStyle w:val="176"/>
                    <w:rPr>
                      <w:color w:val="auto"/>
                    </w:rPr>
                  </w:pPr>
                  <w:r>
                    <w:rPr>
                      <w:rFonts w:hint="eastAsia"/>
                      <w:color w:val="auto"/>
                    </w:rPr>
                    <w:t>重点管控单元</w:t>
                  </w:r>
                </w:p>
              </w:tc>
              <w:tc>
                <w:tcPr>
                  <w:tcW w:w="1978" w:type="pct"/>
                  <w:tcBorders>
                    <w:top w:val="single" w:color="auto" w:sz="0" w:space="0"/>
                    <w:left w:val="single" w:color="auto" w:sz="0" w:space="0"/>
                    <w:bottom w:val="outset" w:color="auto" w:sz="6" w:space="0"/>
                    <w:right w:val="outset" w:color="auto" w:sz="6" w:space="0"/>
                  </w:tcBorders>
                  <w:noWrap w:val="0"/>
                  <w:tcMar>
                    <w:top w:w="0" w:type="dxa"/>
                    <w:left w:w="105" w:type="dxa"/>
                    <w:bottom w:w="0" w:type="dxa"/>
                    <w:right w:w="105" w:type="dxa"/>
                  </w:tcMar>
                  <w:vAlign w:val="center"/>
                </w:tcPr>
                <w:p>
                  <w:pPr>
                    <w:pStyle w:val="176"/>
                    <w:rPr>
                      <w:color w:val="auto"/>
                    </w:rPr>
                  </w:pPr>
                </w:p>
                <w:p>
                  <w:pPr>
                    <w:pStyle w:val="176"/>
                    <w:rPr>
                      <w:color w:val="auto"/>
                    </w:rPr>
                  </w:pPr>
                  <w:r>
                    <w:rPr>
                      <w:rFonts w:hint="eastAsia"/>
                      <w:color w:val="auto"/>
                    </w:rPr>
                    <w:t>重点管控单元中，应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tc>
              <w:tc>
                <w:tcPr>
                  <w:tcW w:w="1978" w:type="pct"/>
                  <w:tcBorders>
                    <w:top w:val="single" w:color="auto" w:sz="0" w:space="0"/>
                    <w:left w:val="single" w:color="auto" w:sz="0" w:space="0"/>
                    <w:bottom w:val="outset" w:color="auto" w:sz="6" w:space="0"/>
                    <w:right w:val="outset" w:color="auto" w:sz="6" w:space="0"/>
                  </w:tcBorders>
                  <w:noWrap w:val="0"/>
                  <w:tcMar>
                    <w:top w:w="0" w:type="dxa"/>
                    <w:left w:w="105" w:type="dxa"/>
                    <w:bottom w:w="0" w:type="dxa"/>
                    <w:right w:w="105" w:type="dxa"/>
                  </w:tcMar>
                  <w:vAlign w:val="center"/>
                </w:tcPr>
                <w:p>
                  <w:pPr>
                    <w:pStyle w:val="176"/>
                    <w:rPr>
                      <w:rFonts w:hint="eastAsia"/>
                      <w:color w:val="auto"/>
                    </w:rPr>
                  </w:pPr>
                  <w:r>
                    <w:rPr>
                      <w:rFonts w:hint="eastAsia"/>
                      <w:color w:val="auto"/>
                    </w:rPr>
                    <w:t>本项目为宠物医院服务项目，根据《乐山市2020年环境质量公报》，项目所在区域大气环境质量为达标区域，项目受纳水体所在的河段水环境质量满足《地表水环境质量标准》，同时项目运营期产生的污染物均能得到有效处理，对大气环境影响较小</w:t>
                  </w:r>
                </w:p>
              </w:tc>
              <w:tc>
                <w:tcPr>
                  <w:tcW w:w="440" w:type="pct"/>
                  <w:tcBorders>
                    <w:top w:val="single" w:color="auto" w:sz="0" w:space="0"/>
                    <w:left w:val="single" w:color="auto" w:sz="0" w:space="0"/>
                    <w:bottom w:val="outset" w:color="auto" w:sz="6" w:space="0"/>
                    <w:right w:val="outset" w:color="auto" w:sz="6" w:space="0"/>
                  </w:tcBorders>
                  <w:noWrap w:val="0"/>
                  <w:tcMar>
                    <w:top w:w="0" w:type="dxa"/>
                    <w:left w:w="105" w:type="dxa"/>
                    <w:bottom w:w="0" w:type="dxa"/>
                    <w:right w:w="105" w:type="dxa"/>
                  </w:tcMar>
                  <w:vAlign w:val="center"/>
                </w:tcPr>
                <w:p>
                  <w:pPr>
                    <w:pStyle w:val="176"/>
                    <w:rPr>
                      <w:rFonts w:hint="eastAsia"/>
                      <w:color w:val="auto"/>
                    </w:rPr>
                  </w:pPr>
                  <w:r>
                    <w:rPr>
                      <w:rFonts w:hint="eastAsia"/>
                      <w:color w:val="auto"/>
                    </w:rPr>
                    <w:t>符合</w:t>
                  </w:r>
                </w:p>
              </w:tc>
            </w:tr>
          </w:tbl>
          <w:p>
            <w:pPr>
              <w:spacing w:line="480" w:lineRule="exact"/>
              <w:ind w:firstLine="422"/>
              <w:jc w:val="center"/>
              <w:rPr>
                <w:rFonts w:hint="eastAsia"/>
                <w:b/>
                <w:color w:val="auto"/>
              </w:rPr>
            </w:pPr>
            <w:r>
              <w:rPr>
                <w:rFonts w:hint="eastAsia"/>
                <w:b/>
                <w:color w:val="auto"/>
              </w:rPr>
              <w:t>表1-2 项目与全市及市中区总体生态环境管控要求符合性分析</w:t>
            </w:r>
          </w:p>
          <w:tbl>
            <w:tblPr>
              <w:tblStyle w:val="3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3529"/>
              <w:gridCol w:w="2359"/>
              <w:gridCol w:w="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noWrap w:val="0"/>
                  <w:vAlign w:val="center"/>
                </w:tcPr>
                <w:p>
                  <w:pPr>
                    <w:pStyle w:val="176"/>
                    <w:rPr>
                      <w:b/>
                      <w:bCs/>
                      <w:color w:val="auto"/>
                    </w:rPr>
                  </w:pPr>
                  <w:r>
                    <w:rPr>
                      <w:rFonts w:hint="eastAsia"/>
                      <w:b/>
                      <w:bCs/>
                      <w:color w:val="auto"/>
                    </w:rPr>
                    <w:t>行政区划</w:t>
                  </w:r>
                </w:p>
              </w:tc>
              <w:tc>
                <w:tcPr>
                  <w:tcW w:w="2492" w:type="pct"/>
                  <w:noWrap w:val="0"/>
                  <w:vAlign w:val="center"/>
                </w:tcPr>
                <w:p>
                  <w:pPr>
                    <w:pStyle w:val="176"/>
                    <w:rPr>
                      <w:b/>
                      <w:bCs/>
                      <w:color w:val="auto"/>
                    </w:rPr>
                  </w:pPr>
                  <w:r>
                    <w:rPr>
                      <w:rFonts w:hint="eastAsia"/>
                      <w:b/>
                      <w:bCs/>
                      <w:color w:val="auto"/>
                    </w:rPr>
                    <w:t>生态环境管控要求</w:t>
                  </w:r>
                </w:p>
              </w:tc>
              <w:tc>
                <w:tcPr>
                  <w:tcW w:w="1666" w:type="pct"/>
                  <w:noWrap w:val="0"/>
                  <w:vAlign w:val="center"/>
                </w:tcPr>
                <w:p>
                  <w:pPr>
                    <w:pStyle w:val="176"/>
                    <w:rPr>
                      <w:b/>
                      <w:bCs/>
                      <w:color w:val="auto"/>
                    </w:rPr>
                  </w:pPr>
                  <w:r>
                    <w:rPr>
                      <w:rFonts w:hint="eastAsia"/>
                      <w:b/>
                      <w:bCs/>
                      <w:color w:val="auto"/>
                    </w:rPr>
                    <w:t>符合性分析</w:t>
                  </w:r>
                </w:p>
              </w:tc>
              <w:tc>
                <w:tcPr>
                  <w:tcW w:w="452" w:type="pct"/>
                  <w:noWrap w:val="0"/>
                  <w:vAlign w:val="center"/>
                </w:tcPr>
                <w:p>
                  <w:pPr>
                    <w:pStyle w:val="176"/>
                    <w:rPr>
                      <w:b/>
                      <w:bCs/>
                      <w:color w:val="auto"/>
                    </w:rPr>
                  </w:pPr>
                  <w:r>
                    <w:rPr>
                      <w:rFonts w:hint="eastAsia"/>
                      <w:b/>
                      <w:bCs/>
                      <w:color w:val="auto"/>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9" w:type="pct"/>
                  <w:vMerge w:val="restart"/>
                  <w:noWrap w:val="0"/>
                  <w:vAlign w:val="center"/>
                </w:tcPr>
                <w:p>
                  <w:pPr>
                    <w:pStyle w:val="176"/>
                    <w:rPr>
                      <w:color w:val="auto"/>
                    </w:rPr>
                  </w:pPr>
                  <w:r>
                    <w:rPr>
                      <w:rFonts w:hint="eastAsia"/>
                      <w:color w:val="auto"/>
                    </w:rPr>
                    <w:t>乐山市</w:t>
                  </w:r>
                </w:p>
              </w:tc>
              <w:tc>
                <w:tcPr>
                  <w:tcW w:w="2492" w:type="pct"/>
                  <w:noWrap w:val="0"/>
                  <w:vAlign w:val="center"/>
                </w:tcPr>
                <w:p>
                  <w:pPr>
                    <w:pStyle w:val="176"/>
                    <w:jc w:val="left"/>
                    <w:rPr>
                      <w:rFonts w:hint="eastAsia"/>
                      <w:color w:val="auto"/>
                    </w:rPr>
                  </w:pPr>
                  <w:r>
                    <w:rPr>
                      <w:rFonts w:hint="eastAsia"/>
                      <w:color w:val="auto"/>
                    </w:rPr>
                    <w:t>对化工、钢铁、水泥、陶瓷、造纸、铁合金、砖瓦等重点产业提出严格资源环境绩效水平要求</w:t>
                  </w:r>
                </w:p>
                <w:p>
                  <w:pPr>
                    <w:pStyle w:val="176"/>
                    <w:jc w:val="left"/>
                    <w:rPr>
                      <w:color w:val="auto"/>
                    </w:rPr>
                  </w:pPr>
                </w:p>
              </w:tc>
              <w:tc>
                <w:tcPr>
                  <w:tcW w:w="1666" w:type="pct"/>
                  <w:vMerge w:val="restart"/>
                  <w:noWrap w:val="0"/>
                  <w:vAlign w:val="center"/>
                </w:tcPr>
                <w:p>
                  <w:pPr>
                    <w:pStyle w:val="176"/>
                    <w:rPr>
                      <w:rFonts w:hint="eastAsia"/>
                      <w:color w:val="auto"/>
                    </w:rPr>
                  </w:pPr>
                </w:p>
                <w:p>
                  <w:pPr>
                    <w:pStyle w:val="176"/>
                    <w:rPr>
                      <w:rFonts w:hint="eastAsia"/>
                      <w:color w:val="auto"/>
                    </w:rPr>
                  </w:pPr>
                </w:p>
                <w:p>
                  <w:pPr>
                    <w:pStyle w:val="176"/>
                    <w:rPr>
                      <w:rFonts w:hint="eastAsia"/>
                      <w:color w:val="auto"/>
                    </w:rPr>
                  </w:pPr>
                  <w:r>
                    <w:rPr>
                      <w:rFonts w:hint="eastAsia"/>
                      <w:color w:val="auto"/>
                    </w:rPr>
                    <w:t>本项目为宠物医院服务项目，项目不属于化工、钢铁、水泥、陶瓷、造纸、铁合金、砖瓦等重点产业</w:t>
                  </w:r>
                </w:p>
                <w:p>
                  <w:pPr>
                    <w:pStyle w:val="176"/>
                    <w:rPr>
                      <w:rFonts w:hint="eastAsia"/>
                      <w:color w:val="auto"/>
                    </w:rPr>
                  </w:pPr>
                  <w:r>
                    <w:rPr>
                      <w:rFonts w:hint="eastAsia"/>
                      <w:color w:val="auto"/>
                    </w:rPr>
                    <w:t>，不属于高排放、高能耗项目；项目符合区域产业准入清单要求</w:t>
                  </w:r>
                </w:p>
              </w:tc>
              <w:tc>
                <w:tcPr>
                  <w:tcW w:w="452" w:type="pct"/>
                  <w:vMerge w:val="restart"/>
                  <w:noWrap w:val="0"/>
                  <w:vAlign w:val="center"/>
                </w:tcPr>
                <w:p>
                  <w:pPr>
                    <w:pStyle w:val="176"/>
                    <w:rPr>
                      <w:rFonts w:hint="eastAsia"/>
                      <w:color w:val="auto"/>
                    </w:rPr>
                  </w:pPr>
                </w:p>
                <w:p>
                  <w:pPr>
                    <w:pStyle w:val="176"/>
                    <w:rPr>
                      <w:rFonts w:hint="eastAsia"/>
                      <w:color w:val="auto"/>
                    </w:rPr>
                  </w:pPr>
                </w:p>
                <w:p>
                  <w:pPr>
                    <w:pStyle w:val="176"/>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389" w:type="pct"/>
                  <w:vMerge w:val="continue"/>
                  <w:noWrap w:val="0"/>
                  <w:vAlign w:val="center"/>
                </w:tcPr>
                <w:p>
                  <w:pPr>
                    <w:pStyle w:val="176"/>
                    <w:rPr>
                      <w:rFonts w:hint="eastAsia"/>
                      <w:color w:val="auto"/>
                    </w:rPr>
                  </w:pPr>
                </w:p>
              </w:tc>
              <w:tc>
                <w:tcPr>
                  <w:tcW w:w="2492" w:type="pct"/>
                  <w:noWrap w:val="0"/>
                  <w:vAlign w:val="center"/>
                </w:tcPr>
                <w:p>
                  <w:pPr>
                    <w:pStyle w:val="176"/>
                    <w:jc w:val="left"/>
                    <w:rPr>
                      <w:rFonts w:hint="eastAsia"/>
                      <w:color w:val="auto"/>
                    </w:rPr>
                  </w:pPr>
                  <w:r>
                    <w:rPr>
                      <w:rFonts w:hint="eastAsia"/>
                      <w:color w:val="auto"/>
                    </w:rPr>
                    <w:t>禁止在长江干支流岸线一公里范围内新建、扩建化工园区和化工项目；鼓励现有化工企业逐步搬入合规园区</w:t>
                  </w:r>
                </w:p>
              </w:tc>
              <w:tc>
                <w:tcPr>
                  <w:tcW w:w="1666" w:type="pct"/>
                  <w:vMerge w:val="continue"/>
                  <w:noWrap w:val="0"/>
                  <w:vAlign w:val="center"/>
                </w:tcPr>
                <w:p>
                  <w:pPr>
                    <w:pStyle w:val="176"/>
                    <w:rPr>
                      <w:rFonts w:hint="eastAsia"/>
                      <w:color w:val="auto"/>
                    </w:rPr>
                  </w:pPr>
                </w:p>
              </w:tc>
              <w:tc>
                <w:tcPr>
                  <w:tcW w:w="452" w:type="pct"/>
                  <w:vMerge w:val="continue"/>
                  <w:noWrap w:val="0"/>
                  <w:vAlign w:val="center"/>
                </w:tcPr>
                <w:p>
                  <w:pPr>
                    <w:pStyle w:val="176"/>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389" w:type="pct"/>
                  <w:vMerge w:val="continue"/>
                  <w:noWrap w:val="0"/>
                  <w:vAlign w:val="center"/>
                </w:tcPr>
                <w:p>
                  <w:pPr>
                    <w:pStyle w:val="176"/>
                    <w:rPr>
                      <w:rFonts w:hint="eastAsia"/>
                      <w:color w:val="auto"/>
                    </w:rPr>
                  </w:pPr>
                </w:p>
              </w:tc>
              <w:tc>
                <w:tcPr>
                  <w:tcW w:w="2492" w:type="pct"/>
                  <w:noWrap w:val="0"/>
                  <w:vAlign w:val="center"/>
                </w:tcPr>
                <w:p>
                  <w:pPr>
                    <w:pStyle w:val="176"/>
                    <w:jc w:val="left"/>
                    <w:rPr>
                      <w:rFonts w:hint="eastAsia"/>
                      <w:color w:val="auto"/>
                    </w:rPr>
                  </w:pPr>
                  <w:r>
                    <w:rPr>
                      <w:rFonts w:hint="eastAsia"/>
                      <w:color w:val="auto"/>
                    </w:rPr>
                    <w:t>按照“一总部五基地”工业总体布局，推进城区以及布局不合理的高排放、高能耗企业“退城入园”，引导企业在搬迁改造中压减低端、低效、负效产能</w:t>
                  </w:r>
                </w:p>
              </w:tc>
              <w:tc>
                <w:tcPr>
                  <w:tcW w:w="1666" w:type="pct"/>
                  <w:vMerge w:val="continue"/>
                  <w:noWrap w:val="0"/>
                  <w:vAlign w:val="center"/>
                </w:tcPr>
                <w:p>
                  <w:pPr>
                    <w:pStyle w:val="176"/>
                    <w:rPr>
                      <w:rFonts w:hint="eastAsia"/>
                      <w:color w:val="auto"/>
                    </w:rPr>
                  </w:pPr>
                </w:p>
              </w:tc>
              <w:tc>
                <w:tcPr>
                  <w:tcW w:w="452" w:type="pct"/>
                  <w:vMerge w:val="continue"/>
                  <w:noWrap w:val="0"/>
                  <w:vAlign w:val="center"/>
                </w:tcPr>
                <w:p>
                  <w:pPr>
                    <w:pStyle w:val="176"/>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389" w:type="pct"/>
                  <w:vMerge w:val="continue"/>
                  <w:noWrap w:val="0"/>
                  <w:vAlign w:val="center"/>
                </w:tcPr>
                <w:p>
                  <w:pPr>
                    <w:pStyle w:val="176"/>
                    <w:rPr>
                      <w:rFonts w:hint="eastAsia"/>
                      <w:color w:val="auto"/>
                    </w:rPr>
                  </w:pPr>
                </w:p>
              </w:tc>
              <w:tc>
                <w:tcPr>
                  <w:tcW w:w="2492" w:type="pct"/>
                  <w:noWrap w:val="0"/>
                  <w:vAlign w:val="center"/>
                </w:tcPr>
                <w:p>
                  <w:pPr>
                    <w:pStyle w:val="176"/>
                    <w:jc w:val="left"/>
                    <w:rPr>
                      <w:rFonts w:hint="eastAsia"/>
                      <w:color w:val="auto"/>
                    </w:rPr>
                  </w:pPr>
                  <w:r>
                    <w:rPr>
                      <w:rFonts w:hint="eastAsia"/>
                      <w:color w:val="auto"/>
                    </w:rPr>
                    <w:t>严格控制高排放、高能耗项目准入；严格执行能源消费总量和强度双控制度；严格执行煤炭消费总量控制要求</w:t>
                  </w:r>
                </w:p>
              </w:tc>
              <w:tc>
                <w:tcPr>
                  <w:tcW w:w="1666" w:type="pct"/>
                  <w:vMerge w:val="continue"/>
                  <w:noWrap w:val="0"/>
                  <w:vAlign w:val="center"/>
                </w:tcPr>
                <w:p>
                  <w:pPr>
                    <w:pStyle w:val="176"/>
                    <w:rPr>
                      <w:rFonts w:hint="eastAsia"/>
                      <w:color w:val="auto"/>
                    </w:rPr>
                  </w:pPr>
                </w:p>
              </w:tc>
              <w:tc>
                <w:tcPr>
                  <w:tcW w:w="452" w:type="pct"/>
                  <w:vMerge w:val="continue"/>
                  <w:noWrap w:val="0"/>
                  <w:vAlign w:val="center"/>
                </w:tcPr>
                <w:p>
                  <w:pPr>
                    <w:pStyle w:val="176"/>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389" w:type="pct"/>
                  <w:vMerge w:val="continue"/>
                  <w:noWrap w:val="0"/>
                  <w:vAlign w:val="center"/>
                </w:tcPr>
                <w:p>
                  <w:pPr>
                    <w:pStyle w:val="176"/>
                    <w:rPr>
                      <w:rFonts w:hint="eastAsia"/>
                      <w:color w:val="auto"/>
                    </w:rPr>
                  </w:pPr>
                </w:p>
              </w:tc>
              <w:tc>
                <w:tcPr>
                  <w:tcW w:w="2492" w:type="pct"/>
                  <w:noWrap w:val="0"/>
                  <w:vAlign w:val="center"/>
                </w:tcPr>
                <w:p>
                  <w:pPr>
                    <w:pStyle w:val="176"/>
                    <w:jc w:val="left"/>
                    <w:rPr>
                      <w:rFonts w:hint="eastAsia"/>
                      <w:color w:val="auto"/>
                    </w:rPr>
                  </w:pPr>
                  <w:r>
                    <w:rPr>
                      <w:rFonts w:hint="eastAsia"/>
                      <w:color w:val="auto"/>
                    </w:rPr>
                    <w:t>引进项目应符合园区规划环评和区域产业准入清单要求</w:t>
                  </w:r>
                </w:p>
              </w:tc>
              <w:tc>
                <w:tcPr>
                  <w:tcW w:w="1666" w:type="pct"/>
                  <w:vMerge w:val="continue"/>
                  <w:noWrap w:val="0"/>
                  <w:vAlign w:val="center"/>
                </w:tcPr>
                <w:p>
                  <w:pPr>
                    <w:pStyle w:val="176"/>
                    <w:rPr>
                      <w:rFonts w:hint="eastAsia"/>
                      <w:color w:val="auto"/>
                    </w:rPr>
                  </w:pPr>
                </w:p>
              </w:tc>
              <w:tc>
                <w:tcPr>
                  <w:tcW w:w="452" w:type="pct"/>
                  <w:vMerge w:val="continue"/>
                  <w:noWrap w:val="0"/>
                  <w:vAlign w:val="center"/>
                </w:tcPr>
                <w:p>
                  <w:pPr>
                    <w:pStyle w:val="176"/>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89" w:type="pct"/>
                  <w:vMerge w:val="restart"/>
                  <w:noWrap w:val="0"/>
                  <w:vAlign w:val="center"/>
                </w:tcPr>
                <w:p>
                  <w:pPr>
                    <w:pStyle w:val="176"/>
                    <w:rPr>
                      <w:color w:val="auto"/>
                    </w:rPr>
                  </w:pPr>
                  <w:r>
                    <w:rPr>
                      <w:rFonts w:hint="eastAsia"/>
                      <w:color w:val="auto"/>
                    </w:rPr>
                    <w:t>市中区</w:t>
                  </w:r>
                </w:p>
              </w:tc>
              <w:tc>
                <w:tcPr>
                  <w:tcW w:w="2492" w:type="pct"/>
                  <w:noWrap w:val="0"/>
                  <w:vAlign w:val="center"/>
                </w:tcPr>
                <w:p>
                  <w:pPr>
                    <w:pStyle w:val="176"/>
                    <w:rPr>
                      <w:color w:val="auto"/>
                    </w:rPr>
                  </w:pPr>
                  <w:r>
                    <w:rPr>
                      <w:rFonts w:hint="eastAsia"/>
                      <w:color w:val="auto"/>
                    </w:rPr>
                    <w:t>优化调整产业结构，严格生态环境准入要求；</w:t>
                  </w:r>
                </w:p>
              </w:tc>
              <w:tc>
                <w:tcPr>
                  <w:tcW w:w="1666" w:type="pct"/>
                  <w:vMerge w:val="restart"/>
                  <w:noWrap w:val="0"/>
                  <w:vAlign w:val="center"/>
                </w:tcPr>
                <w:p>
                  <w:pPr>
                    <w:pStyle w:val="176"/>
                    <w:rPr>
                      <w:rFonts w:hint="eastAsia"/>
                      <w:color w:val="auto"/>
                    </w:rPr>
                  </w:pPr>
                  <w:r>
                    <w:rPr>
                      <w:rFonts w:hint="eastAsia"/>
                      <w:color w:val="auto"/>
                    </w:rPr>
                    <w:t>本项目为宠物医院服务项目，不属于涉危涉化企业，符合生态环境准入要求，本项目废水经医院废水处理设备处理后进入市政污水管网，排入末端乐山市第一污水处理厂处理，本项目不涉及挥发性有机物的排放</w:t>
                  </w:r>
                </w:p>
              </w:tc>
              <w:tc>
                <w:tcPr>
                  <w:tcW w:w="452" w:type="pct"/>
                  <w:vMerge w:val="restart"/>
                  <w:noWrap w:val="0"/>
                  <w:vAlign w:val="center"/>
                </w:tcPr>
                <w:p>
                  <w:pPr>
                    <w:pStyle w:val="176"/>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389" w:type="pct"/>
                  <w:vMerge w:val="continue"/>
                  <w:noWrap w:val="0"/>
                  <w:vAlign w:val="center"/>
                </w:tcPr>
                <w:p>
                  <w:pPr>
                    <w:pStyle w:val="176"/>
                    <w:rPr>
                      <w:rFonts w:hint="eastAsia"/>
                      <w:color w:val="auto"/>
                    </w:rPr>
                  </w:pPr>
                </w:p>
              </w:tc>
              <w:tc>
                <w:tcPr>
                  <w:tcW w:w="2492" w:type="pct"/>
                  <w:noWrap w:val="0"/>
                  <w:vAlign w:val="center"/>
                </w:tcPr>
                <w:p>
                  <w:pPr>
                    <w:pStyle w:val="176"/>
                    <w:rPr>
                      <w:rFonts w:hint="eastAsia"/>
                      <w:color w:val="auto"/>
                    </w:rPr>
                  </w:pPr>
                  <w:r>
                    <w:rPr>
                      <w:rFonts w:hint="eastAsia"/>
                      <w:color w:val="auto"/>
                    </w:rPr>
                    <w:t>推动城市建成区内企业“退城入园”，严格控制园外企业无序扩张</w:t>
                  </w:r>
                </w:p>
              </w:tc>
              <w:tc>
                <w:tcPr>
                  <w:tcW w:w="1666" w:type="pct"/>
                  <w:vMerge w:val="continue"/>
                  <w:noWrap w:val="0"/>
                  <w:vAlign w:val="center"/>
                </w:tcPr>
                <w:p>
                  <w:pPr>
                    <w:pStyle w:val="176"/>
                    <w:rPr>
                      <w:color w:val="auto"/>
                    </w:rPr>
                  </w:pPr>
                </w:p>
              </w:tc>
              <w:tc>
                <w:tcPr>
                  <w:tcW w:w="452" w:type="pct"/>
                  <w:vMerge w:val="continue"/>
                  <w:noWrap w:val="0"/>
                  <w:vAlign w:val="center"/>
                </w:tcPr>
                <w:p>
                  <w:pPr>
                    <w:pStyle w:val="176"/>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trPr>
              <w:tc>
                <w:tcPr>
                  <w:tcW w:w="389" w:type="pct"/>
                  <w:vMerge w:val="continue"/>
                  <w:noWrap w:val="0"/>
                  <w:vAlign w:val="center"/>
                </w:tcPr>
                <w:p>
                  <w:pPr>
                    <w:pStyle w:val="176"/>
                    <w:rPr>
                      <w:rFonts w:hint="eastAsia"/>
                      <w:color w:val="auto"/>
                    </w:rPr>
                  </w:pPr>
                </w:p>
              </w:tc>
              <w:tc>
                <w:tcPr>
                  <w:tcW w:w="2492" w:type="pct"/>
                  <w:noWrap w:val="0"/>
                  <w:vAlign w:val="center"/>
                </w:tcPr>
                <w:p>
                  <w:pPr>
                    <w:pStyle w:val="176"/>
                    <w:rPr>
                      <w:rFonts w:hint="eastAsia"/>
                      <w:color w:val="auto"/>
                    </w:rPr>
                  </w:pPr>
                  <w:r>
                    <w:rPr>
                      <w:rFonts w:hint="eastAsia"/>
                      <w:color w:val="auto"/>
                    </w:rPr>
                    <w:t>加强泥溪河、茫溪河等小流域污染治理，严控泥溪河、茫溪河流域涉水排放项目及水产养殖规模；加强农业面源污染治理，严格控制化肥农药使用量，积极推广畜禽清洁养殖和畜禽粪污无害化、资源化利用技术；</w:t>
                  </w:r>
                </w:p>
              </w:tc>
              <w:tc>
                <w:tcPr>
                  <w:tcW w:w="1666" w:type="pct"/>
                  <w:vMerge w:val="continue"/>
                  <w:noWrap w:val="0"/>
                  <w:vAlign w:val="center"/>
                </w:tcPr>
                <w:p>
                  <w:pPr>
                    <w:pStyle w:val="176"/>
                    <w:rPr>
                      <w:color w:val="auto"/>
                    </w:rPr>
                  </w:pPr>
                </w:p>
              </w:tc>
              <w:tc>
                <w:tcPr>
                  <w:tcW w:w="452" w:type="pct"/>
                  <w:vMerge w:val="continue"/>
                  <w:noWrap w:val="0"/>
                  <w:vAlign w:val="center"/>
                </w:tcPr>
                <w:p>
                  <w:pPr>
                    <w:pStyle w:val="176"/>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89" w:type="pct"/>
                  <w:vMerge w:val="continue"/>
                  <w:noWrap w:val="0"/>
                  <w:vAlign w:val="center"/>
                </w:tcPr>
                <w:p>
                  <w:pPr>
                    <w:pStyle w:val="176"/>
                    <w:rPr>
                      <w:rFonts w:hint="eastAsia"/>
                      <w:color w:val="auto"/>
                    </w:rPr>
                  </w:pPr>
                </w:p>
              </w:tc>
              <w:tc>
                <w:tcPr>
                  <w:tcW w:w="2492" w:type="pct"/>
                  <w:noWrap w:val="0"/>
                  <w:vAlign w:val="center"/>
                </w:tcPr>
                <w:p>
                  <w:pPr>
                    <w:pStyle w:val="176"/>
                    <w:rPr>
                      <w:rFonts w:hint="eastAsia"/>
                      <w:color w:val="auto"/>
                    </w:rPr>
                  </w:pPr>
                  <w:r>
                    <w:rPr>
                      <w:rFonts w:hint="eastAsia"/>
                      <w:color w:val="auto"/>
                    </w:rPr>
                    <w:t>加强区域大气污染治理，推进涉挥发性有机物排放项目、砖瓦企业深度治理改造；执行大气污染物特别排放限值</w:t>
                  </w:r>
                </w:p>
              </w:tc>
              <w:tc>
                <w:tcPr>
                  <w:tcW w:w="1666" w:type="pct"/>
                  <w:vMerge w:val="continue"/>
                  <w:noWrap w:val="0"/>
                  <w:vAlign w:val="center"/>
                </w:tcPr>
                <w:p>
                  <w:pPr>
                    <w:pStyle w:val="176"/>
                    <w:rPr>
                      <w:color w:val="auto"/>
                    </w:rPr>
                  </w:pPr>
                </w:p>
              </w:tc>
              <w:tc>
                <w:tcPr>
                  <w:tcW w:w="452" w:type="pct"/>
                  <w:vMerge w:val="continue"/>
                  <w:noWrap w:val="0"/>
                  <w:vAlign w:val="center"/>
                </w:tcPr>
                <w:p>
                  <w:pPr>
                    <w:pStyle w:val="176"/>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389" w:type="pct"/>
                  <w:vMerge w:val="continue"/>
                  <w:noWrap w:val="0"/>
                  <w:vAlign w:val="center"/>
                </w:tcPr>
                <w:p>
                  <w:pPr>
                    <w:pStyle w:val="176"/>
                    <w:rPr>
                      <w:rFonts w:hint="eastAsia"/>
                      <w:color w:val="auto"/>
                    </w:rPr>
                  </w:pPr>
                </w:p>
              </w:tc>
              <w:tc>
                <w:tcPr>
                  <w:tcW w:w="2492" w:type="pct"/>
                  <w:noWrap w:val="0"/>
                  <w:vAlign w:val="center"/>
                </w:tcPr>
                <w:p>
                  <w:pPr>
                    <w:pStyle w:val="176"/>
                    <w:rPr>
                      <w:rFonts w:hint="eastAsia"/>
                      <w:color w:val="auto"/>
                    </w:rPr>
                  </w:pPr>
                  <w:r>
                    <w:rPr>
                      <w:rFonts w:hint="eastAsia"/>
                      <w:color w:val="auto"/>
                    </w:rPr>
                    <w:t>加强涉危涉化企业管控，严控环境风险</w:t>
                  </w:r>
                </w:p>
              </w:tc>
              <w:tc>
                <w:tcPr>
                  <w:tcW w:w="1666" w:type="pct"/>
                  <w:vMerge w:val="continue"/>
                  <w:noWrap w:val="0"/>
                  <w:vAlign w:val="center"/>
                </w:tcPr>
                <w:p>
                  <w:pPr>
                    <w:pStyle w:val="176"/>
                    <w:rPr>
                      <w:color w:val="auto"/>
                    </w:rPr>
                  </w:pPr>
                </w:p>
              </w:tc>
              <w:tc>
                <w:tcPr>
                  <w:tcW w:w="452" w:type="pct"/>
                  <w:vMerge w:val="continue"/>
                  <w:noWrap w:val="0"/>
                  <w:vAlign w:val="center"/>
                </w:tcPr>
                <w:p>
                  <w:pPr>
                    <w:pStyle w:val="176"/>
                    <w:rPr>
                      <w:rFonts w:hint="eastAsia"/>
                      <w:color w:val="auto"/>
                    </w:rPr>
                  </w:pPr>
                </w:p>
              </w:tc>
            </w:tr>
          </w:tbl>
          <w:p>
            <w:pPr>
              <w:pStyle w:val="110"/>
              <w:ind w:firstLine="480"/>
              <w:rPr>
                <w:rFonts w:hint="eastAsia"/>
                <w:color w:val="auto"/>
              </w:rPr>
            </w:pPr>
            <w:r>
              <w:rPr>
                <w:rFonts w:hint="eastAsia"/>
                <w:color w:val="auto"/>
              </w:rPr>
              <w:t>综上，项目符合乐山市环境管控单元中重点管控单元生态环境管控要求，符合乐山</w:t>
            </w:r>
            <w:r>
              <w:rPr>
                <w:rFonts w:hint="eastAsia"/>
                <w:bCs/>
                <w:color w:val="auto"/>
              </w:rPr>
              <w:t>市及市中区总体生态环境管控要求。</w:t>
            </w:r>
          </w:p>
          <w:p>
            <w:pPr>
              <w:pStyle w:val="6"/>
              <w:ind w:firstLine="482"/>
              <w:rPr>
                <w:color w:val="auto"/>
              </w:rPr>
            </w:pPr>
            <w:r>
              <w:rPr>
                <w:rFonts w:hint="eastAsia"/>
                <w:color w:val="auto"/>
                <w:lang w:val="en-US" w:eastAsia="zh-CN"/>
              </w:rPr>
              <w:t>2.2</w:t>
            </w:r>
            <w:r>
              <w:rPr>
                <w:color w:val="auto"/>
              </w:rPr>
              <w:t>与</w:t>
            </w:r>
            <w:r>
              <w:rPr>
                <w:rFonts w:hint="eastAsia"/>
                <w:color w:val="auto"/>
              </w:rPr>
              <w:t>《关于落实生态保护红线、环境质量底线、资源利用上线制定生态环境准入清单实施生态环境分区管控的通知》（川府发〔</w:t>
            </w:r>
            <w:r>
              <w:rPr>
                <w:color w:val="auto"/>
              </w:rPr>
              <w:t>2020</w:t>
            </w:r>
            <w:r>
              <w:rPr>
                <w:rFonts w:hint="eastAsia"/>
                <w:color w:val="auto"/>
              </w:rPr>
              <w:t>〕</w:t>
            </w:r>
            <w:r>
              <w:rPr>
                <w:color w:val="auto"/>
              </w:rPr>
              <w:t>9</w:t>
            </w:r>
            <w:r>
              <w:rPr>
                <w:rFonts w:hint="eastAsia"/>
                <w:color w:val="auto"/>
              </w:rPr>
              <w:t>号）符合性分析</w:t>
            </w:r>
          </w:p>
          <w:p>
            <w:pPr>
              <w:pStyle w:val="110"/>
              <w:ind w:firstLine="480"/>
              <w:rPr>
                <w:color w:val="auto"/>
              </w:rPr>
            </w:pPr>
            <w:r>
              <w:rPr>
                <w:rFonts w:hint="eastAsia"/>
                <w:color w:val="auto"/>
              </w:rPr>
              <w:t>本项目选址于</w:t>
            </w:r>
            <w:r>
              <w:rPr>
                <w:rFonts w:hint="eastAsia"/>
                <w:color w:val="auto"/>
                <w:lang w:eastAsia="zh-CN"/>
              </w:rPr>
              <w:t>乐山市市中区凤洲路2028号2楼2号</w:t>
            </w:r>
            <w:r>
              <w:rPr>
                <w:rFonts w:hint="eastAsia"/>
                <w:color w:val="auto"/>
              </w:rPr>
              <w:t>，位于乐山市城区，项目与《关于落实生态保护红线、环境质量底线、资源利用上线制定生态环境准入清单实施生态环境分区管控的通知》（川府发〔</w:t>
            </w:r>
            <w:r>
              <w:rPr>
                <w:color w:val="auto"/>
              </w:rPr>
              <w:t>2020</w:t>
            </w:r>
            <w:r>
              <w:rPr>
                <w:rFonts w:hint="eastAsia"/>
                <w:color w:val="auto"/>
              </w:rPr>
              <w:t>〕</w:t>
            </w:r>
            <w:r>
              <w:rPr>
                <w:color w:val="auto"/>
              </w:rPr>
              <w:t>9</w:t>
            </w:r>
            <w:r>
              <w:rPr>
                <w:rFonts w:hint="eastAsia"/>
                <w:color w:val="auto"/>
              </w:rPr>
              <w:t>号）符合性分析如下：</w:t>
            </w:r>
          </w:p>
          <w:p>
            <w:pPr>
              <w:pStyle w:val="110"/>
              <w:numPr>
                <w:ilvl w:val="0"/>
                <w:numId w:val="8"/>
              </w:numPr>
              <w:ind w:firstLine="482"/>
              <w:rPr>
                <w:b/>
                <w:bCs/>
                <w:color w:val="auto"/>
              </w:rPr>
            </w:pPr>
            <w:r>
              <w:rPr>
                <w:rFonts w:hint="eastAsia"/>
                <w:b/>
                <w:bCs/>
                <w:color w:val="auto"/>
              </w:rPr>
              <w:t>项目所在地“三线一单”环境管控单元类别</w:t>
            </w:r>
          </w:p>
          <w:p>
            <w:pPr>
              <w:pStyle w:val="110"/>
              <w:ind w:firstLine="480"/>
              <w:rPr>
                <w:rFonts w:hint="eastAsia"/>
                <w:color w:val="auto"/>
              </w:rPr>
            </w:pPr>
            <w:r>
              <w:rPr>
                <w:color w:val="auto"/>
              </w:rPr>
              <w:t>本项目位于</w:t>
            </w:r>
            <w:r>
              <w:rPr>
                <w:rFonts w:hint="eastAsia"/>
                <w:color w:val="auto"/>
                <w:lang w:eastAsia="zh-CN"/>
              </w:rPr>
              <w:t>乐山市市中区凤洲路2028号2楼2号</w:t>
            </w:r>
            <w:r>
              <w:rPr>
                <w:rFonts w:hint="eastAsia"/>
                <w:color w:val="auto"/>
              </w:rPr>
              <w:t>，查阅四川省“三线一单”符合性分析平台，本项目所在地涉及环境管控单元5个，所属“三线一单”环境管控单元类别详细见下表。</w:t>
            </w:r>
          </w:p>
          <w:p>
            <w:pPr>
              <w:pStyle w:val="123"/>
              <w:rPr>
                <w:rFonts w:hint="eastAsia"/>
                <w:color w:val="auto"/>
              </w:rPr>
            </w:pPr>
            <w:r>
              <w:rPr>
                <w:rFonts w:hint="eastAsia"/>
                <w:color w:val="auto"/>
              </w:rPr>
              <w:t>表1-3 项目“三线一单”环境管控单元类别一览表</w:t>
            </w:r>
          </w:p>
          <w:tbl>
            <w:tblPr>
              <w:tblStyle w:val="3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
              <w:gridCol w:w="426"/>
              <w:gridCol w:w="491"/>
              <w:gridCol w:w="1873"/>
              <w:gridCol w:w="1835"/>
              <w:gridCol w:w="1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7" w:hRule="atLeast"/>
              </w:trPr>
              <w:tc>
                <w:tcPr>
                  <w:tcW w:w="377" w:type="pct"/>
                  <w:vMerge w:val="restart"/>
                  <w:noWrap w:val="0"/>
                  <w:vAlign w:val="center"/>
                </w:tcPr>
                <w:p>
                  <w:pPr>
                    <w:pStyle w:val="176"/>
                    <w:rPr>
                      <w:rFonts w:hint="eastAsia"/>
                      <w:b/>
                      <w:bCs/>
                      <w:color w:val="auto"/>
                    </w:rPr>
                  </w:pPr>
                  <w:r>
                    <w:rPr>
                      <w:rFonts w:hint="eastAsia"/>
                      <w:b/>
                      <w:bCs/>
                      <w:color w:val="auto"/>
                    </w:rPr>
                    <w:t>序号</w:t>
                  </w:r>
                </w:p>
              </w:tc>
              <w:tc>
                <w:tcPr>
                  <w:tcW w:w="4622" w:type="pct"/>
                  <w:gridSpan w:val="5"/>
                  <w:noWrap w:val="0"/>
                  <w:vAlign w:val="center"/>
                </w:tcPr>
                <w:p>
                  <w:pPr>
                    <w:pStyle w:val="176"/>
                    <w:rPr>
                      <w:rFonts w:hint="eastAsia"/>
                      <w:b/>
                      <w:bCs/>
                      <w:color w:val="auto"/>
                    </w:rPr>
                  </w:pPr>
                  <w:r>
                    <w:rPr>
                      <w:rFonts w:hint="eastAsia"/>
                      <w:b/>
                      <w:bCs/>
                      <w:color w:val="auto"/>
                    </w:rPr>
                    <w:t>项目“三线一单”环境管控单元类别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77" w:type="pct"/>
                  <w:vMerge w:val="continue"/>
                  <w:noWrap w:val="0"/>
                  <w:vAlign w:val="center"/>
                </w:tcPr>
                <w:p>
                  <w:pPr>
                    <w:pStyle w:val="176"/>
                    <w:rPr>
                      <w:rFonts w:hint="eastAsia"/>
                      <w:b/>
                      <w:bCs/>
                      <w:color w:val="auto"/>
                    </w:rPr>
                  </w:pPr>
                </w:p>
              </w:tc>
              <w:tc>
                <w:tcPr>
                  <w:tcW w:w="1975" w:type="pct"/>
                  <w:gridSpan w:val="3"/>
                  <w:noWrap w:val="0"/>
                  <w:vAlign w:val="center"/>
                </w:tcPr>
                <w:p>
                  <w:pPr>
                    <w:pStyle w:val="176"/>
                    <w:rPr>
                      <w:rFonts w:hint="eastAsia"/>
                      <w:b/>
                      <w:bCs/>
                      <w:color w:val="auto"/>
                    </w:rPr>
                  </w:pPr>
                  <w:r>
                    <w:rPr>
                      <w:rFonts w:hint="eastAsia"/>
                      <w:b/>
                      <w:bCs/>
                      <w:color w:val="auto"/>
                    </w:rPr>
                    <w:t>环境管控单元分类</w:t>
                  </w:r>
                </w:p>
              </w:tc>
              <w:tc>
                <w:tcPr>
                  <w:tcW w:w="1244" w:type="pct"/>
                  <w:noWrap w:val="0"/>
                  <w:vAlign w:val="center"/>
                </w:tcPr>
                <w:p>
                  <w:pPr>
                    <w:pStyle w:val="176"/>
                    <w:rPr>
                      <w:rFonts w:hint="eastAsia"/>
                      <w:b/>
                      <w:bCs/>
                      <w:color w:val="auto"/>
                    </w:rPr>
                  </w:pPr>
                  <w:r>
                    <w:rPr>
                      <w:rFonts w:hint="eastAsia"/>
                      <w:b/>
                      <w:bCs/>
                      <w:color w:val="auto"/>
                    </w:rPr>
                    <w:t>环境管控单元编码</w:t>
                  </w:r>
                </w:p>
              </w:tc>
              <w:tc>
                <w:tcPr>
                  <w:tcW w:w="1403" w:type="pct"/>
                  <w:noWrap w:val="0"/>
                  <w:vAlign w:val="center"/>
                </w:tcPr>
                <w:p>
                  <w:pPr>
                    <w:pStyle w:val="176"/>
                    <w:rPr>
                      <w:rFonts w:hint="eastAsia"/>
                      <w:b/>
                      <w:bCs/>
                      <w:color w:val="auto"/>
                    </w:rPr>
                  </w:pPr>
                  <w:r>
                    <w:rPr>
                      <w:rFonts w:hint="eastAsia"/>
                      <w:b/>
                      <w:bCs/>
                      <w:color w:val="auto"/>
                    </w:rPr>
                    <w:t>环境管控单元名称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7" w:type="pct"/>
                  <w:noWrap w:val="0"/>
                  <w:vAlign w:val="center"/>
                </w:tcPr>
                <w:p>
                  <w:pPr>
                    <w:pStyle w:val="176"/>
                    <w:rPr>
                      <w:color w:val="auto"/>
                    </w:rPr>
                  </w:pPr>
                  <w:r>
                    <w:rPr>
                      <w:rFonts w:hint="eastAsia"/>
                      <w:color w:val="auto"/>
                    </w:rPr>
                    <w:t>1</w:t>
                  </w:r>
                </w:p>
              </w:tc>
              <w:tc>
                <w:tcPr>
                  <w:tcW w:w="260" w:type="pct"/>
                  <w:vMerge w:val="restart"/>
                  <w:noWrap w:val="0"/>
                  <w:vAlign w:val="center"/>
                </w:tcPr>
                <w:p>
                  <w:pPr>
                    <w:pStyle w:val="176"/>
                    <w:rPr>
                      <w:rFonts w:hint="eastAsia"/>
                      <w:color w:val="auto"/>
                    </w:rPr>
                  </w:pPr>
                  <w:r>
                    <w:rPr>
                      <w:rFonts w:hint="eastAsia"/>
                      <w:color w:val="auto"/>
                    </w:rPr>
                    <w:t>重点管控单元</w:t>
                  </w:r>
                </w:p>
              </w:tc>
              <w:tc>
                <w:tcPr>
                  <w:tcW w:w="370" w:type="pct"/>
                  <w:vMerge w:val="restart"/>
                  <w:noWrap w:val="0"/>
                  <w:vAlign w:val="center"/>
                </w:tcPr>
                <w:p>
                  <w:pPr>
                    <w:pStyle w:val="176"/>
                    <w:rPr>
                      <w:rFonts w:hint="eastAsia"/>
                      <w:color w:val="auto"/>
                    </w:rPr>
                  </w:pPr>
                  <w:r>
                    <w:rPr>
                      <w:rFonts w:hint="eastAsia"/>
                      <w:color w:val="auto"/>
                    </w:rPr>
                    <w:t>城镇重点管控单元</w:t>
                  </w:r>
                </w:p>
              </w:tc>
              <w:tc>
                <w:tcPr>
                  <w:tcW w:w="1966" w:type="dxa"/>
                  <w:noWrap w:val="0"/>
                  <w:vAlign w:val="center"/>
                </w:tcPr>
                <w:p>
                  <w:pPr>
                    <w:pStyle w:val="176"/>
                    <w:rPr>
                      <w:rFonts w:hint="eastAsia"/>
                      <w:color w:val="auto"/>
                    </w:rPr>
                  </w:pPr>
                  <w:r>
                    <w:rPr>
                      <w:rFonts w:hint="eastAsia"/>
                      <w:color w:val="auto"/>
                    </w:rPr>
                    <w:t>环境管控单元</w:t>
                  </w:r>
                </w:p>
              </w:tc>
              <w:tc>
                <w:tcPr>
                  <w:tcW w:w="1850" w:type="dxa"/>
                  <w:noWrap w:val="0"/>
                  <w:vAlign w:val="center"/>
                </w:tcPr>
                <w:p>
                  <w:pPr>
                    <w:pStyle w:val="176"/>
                    <w:rPr>
                      <w:rFonts w:hint="eastAsia"/>
                      <w:color w:val="auto"/>
                    </w:rPr>
                  </w:pPr>
                  <w:r>
                    <w:rPr>
                      <w:rFonts w:hint="eastAsia"/>
                      <w:color w:val="auto"/>
                    </w:rPr>
                    <w:t>ZH51110220001</w:t>
                  </w:r>
                </w:p>
              </w:tc>
              <w:tc>
                <w:tcPr>
                  <w:tcW w:w="2053" w:type="dxa"/>
                  <w:noWrap w:val="0"/>
                  <w:vAlign w:val="center"/>
                </w:tcPr>
                <w:p>
                  <w:pPr>
                    <w:pStyle w:val="176"/>
                    <w:rPr>
                      <w:rFonts w:hint="eastAsia"/>
                      <w:color w:val="auto"/>
                    </w:rPr>
                  </w:pPr>
                  <w:r>
                    <w:rPr>
                      <w:rFonts w:hint="eastAsia"/>
                      <w:color w:val="auto"/>
                    </w:rPr>
                    <w:t>市中区中心城区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7" w:type="pct"/>
                  <w:noWrap w:val="0"/>
                  <w:vAlign w:val="center"/>
                </w:tcPr>
                <w:p>
                  <w:pPr>
                    <w:pStyle w:val="176"/>
                    <w:rPr>
                      <w:color w:val="auto"/>
                    </w:rPr>
                  </w:pPr>
                  <w:r>
                    <w:rPr>
                      <w:rFonts w:hint="eastAsia"/>
                      <w:color w:val="auto"/>
                    </w:rPr>
                    <w:t>2</w:t>
                  </w:r>
                </w:p>
              </w:tc>
              <w:tc>
                <w:tcPr>
                  <w:tcW w:w="260" w:type="pct"/>
                  <w:vMerge w:val="continue"/>
                  <w:noWrap w:val="0"/>
                  <w:vAlign w:val="center"/>
                </w:tcPr>
                <w:p>
                  <w:pPr>
                    <w:pStyle w:val="176"/>
                    <w:rPr>
                      <w:rFonts w:hint="eastAsia"/>
                      <w:color w:val="auto"/>
                    </w:rPr>
                  </w:pPr>
                </w:p>
              </w:tc>
              <w:tc>
                <w:tcPr>
                  <w:tcW w:w="370" w:type="pct"/>
                  <w:vMerge w:val="continue"/>
                  <w:noWrap w:val="0"/>
                  <w:vAlign w:val="center"/>
                </w:tcPr>
                <w:p>
                  <w:pPr>
                    <w:pStyle w:val="176"/>
                    <w:rPr>
                      <w:rFonts w:hint="eastAsia"/>
                      <w:color w:val="auto"/>
                    </w:rPr>
                  </w:pPr>
                </w:p>
              </w:tc>
              <w:tc>
                <w:tcPr>
                  <w:tcW w:w="1966" w:type="dxa"/>
                  <w:noWrap w:val="0"/>
                  <w:vAlign w:val="center"/>
                </w:tcPr>
                <w:p>
                  <w:pPr>
                    <w:pStyle w:val="176"/>
                    <w:rPr>
                      <w:rFonts w:hint="eastAsia"/>
                      <w:color w:val="auto"/>
                    </w:rPr>
                  </w:pPr>
                  <w:r>
                    <w:rPr>
                      <w:rFonts w:hint="eastAsia"/>
                      <w:color w:val="auto"/>
                    </w:rPr>
                    <w:t>水环境管控分区</w:t>
                  </w:r>
                </w:p>
              </w:tc>
              <w:tc>
                <w:tcPr>
                  <w:tcW w:w="1850" w:type="dxa"/>
                  <w:noWrap w:val="0"/>
                  <w:vAlign w:val="center"/>
                </w:tcPr>
                <w:p>
                  <w:pPr>
                    <w:pStyle w:val="176"/>
                    <w:rPr>
                      <w:rFonts w:hint="eastAsia"/>
                      <w:color w:val="auto"/>
                    </w:rPr>
                  </w:pPr>
                  <w:r>
                    <w:rPr>
                      <w:rFonts w:hint="eastAsia"/>
                      <w:color w:val="auto"/>
                    </w:rPr>
                    <w:t>YS5111022220013</w:t>
                  </w:r>
                </w:p>
              </w:tc>
              <w:tc>
                <w:tcPr>
                  <w:tcW w:w="2053" w:type="dxa"/>
                  <w:noWrap w:val="0"/>
                  <w:vAlign w:val="center"/>
                </w:tcPr>
                <w:p>
                  <w:pPr>
                    <w:pStyle w:val="176"/>
                    <w:rPr>
                      <w:rFonts w:hint="eastAsia"/>
                      <w:color w:val="auto"/>
                    </w:rPr>
                  </w:pPr>
                  <w:r>
                    <w:rPr>
                      <w:rFonts w:hint="eastAsia"/>
                      <w:color w:val="auto"/>
                    </w:rPr>
                    <w:t>岷江市中区青衣坝控制单元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7" w:type="pct"/>
                  <w:noWrap w:val="0"/>
                  <w:vAlign w:val="center"/>
                </w:tcPr>
                <w:p>
                  <w:pPr>
                    <w:pStyle w:val="176"/>
                    <w:rPr>
                      <w:color w:val="auto"/>
                    </w:rPr>
                  </w:pPr>
                  <w:r>
                    <w:rPr>
                      <w:rFonts w:hint="eastAsia"/>
                      <w:color w:val="auto"/>
                    </w:rPr>
                    <w:t>3</w:t>
                  </w:r>
                </w:p>
              </w:tc>
              <w:tc>
                <w:tcPr>
                  <w:tcW w:w="260" w:type="pct"/>
                  <w:vMerge w:val="continue"/>
                  <w:noWrap w:val="0"/>
                  <w:vAlign w:val="center"/>
                </w:tcPr>
                <w:p>
                  <w:pPr>
                    <w:pStyle w:val="176"/>
                    <w:rPr>
                      <w:rFonts w:hint="eastAsia"/>
                      <w:color w:val="auto"/>
                    </w:rPr>
                  </w:pPr>
                </w:p>
              </w:tc>
              <w:tc>
                <w:tcPr>
                  <w:tcW w:w="370" w:type="pct"/>
                  <w:vMerge w:val="continue"/>
                  <w:noWrap w:val="0"/>
                  <w:vAlign w:val="center"/>
                </w:tcPr>
                <w:p>
                  <w:pPr>
                    <w:pStyle w:val="176"/>
                    <w:rPr>
                      <w:rFonts w:hint="eastAsia"/>
                      <w:color w:val="auto"/>
                    </w:rPr>
                  </w:pPr>
                </w:p>
              </w:tc>
              <w:tc>
                <w:tcPr>
                  <w:tcW w:w="1966" w:type="dxa"/>
                  <w:noWrap w:val="0"/>
                  <w:vAlign w:val="center"/>
                </w:tcPr>
                <w:p>
                  <w:pPr>
                    <w:pStyle w:val="176"/>
                    <w:rPr>
                      <w:rFonts w:hint="eastAsia"/>
                      <w:color w:val="auto"/>
                    </w:rPr>
                  </w:pPr>
                  <w:r>
                    <w:rPr>
                      <w:rFonts w:hint="eastAsia"/>
                      <w:color w:val="auto"/>
                    </w:rPr>
                    <w:t>大气环境管控分区</w:t>
                  </w:r>
                </w:p>
              </w:tc>
              <w:tc>
                <w:tcPr>
                  <w:tcW w:w="1850" w:type="dxa"/>
                  <w:noWrap w:val="0"/>
                  <w:vAlign w:val="center"/>
                </w:tcPr>
                <w:p>
                  <w:pPr>
                    <w:pStyle w:val="176"/>
                    <w:rPr>
                      <w:rFonts w:hint="eastAsia"/>
                      <w:color w:val="auto"/>
                    </w:rPr>
                  </w:pPr>
                  <w:r>
                    <w:rPr>
                      <w:rFonts w:hint="eastAsia"/>
                      <w:color w:val="auto"/>
                    </w:rPr>
                    <w:t>YS5111022340001</w:t>
                  </w:r>
                </w:p>
              </w:tc>
              <w:tc>
                <w:tcPr>
                  <w:tcW w:w="2053" w:type="dxa"/>
                  <w:noWrap w:val="0"/>
                  <w:vAlign w:val="center"/>
                </w:tcPr>
                <w:p>
                  <w:pPr>
                    <w:pStyle w:val="176"/>
                    <w:rPr>
                      <w:rFonts w:hint="eastAsia"/>
                      <w:color w:val="auto"/>
                    </w:rPr>
                  </w:pPr>
                  <w:r>
                    <w:rPr>
                      <w:rFonts w:hint="eastAsia"/>
                      <w:color w:val="auto"/>
                    </w:rPr>
                    <w:t>乐山市市中区大气环境受体敏感重点管控区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7" w:type="pct"/>
                  <w:noWrap w:val="0"/>
                  <w:vAlign w:val="center"/>
                </w:tcPr>
                <w:p>
                  <w:pPr>
                    <w:pStyle w:val="176"/>
                    <w:rPr>
                      <w:color w:val="auto"/>
                    </w:rPr>
                  </w:pPr>
                  <w:r>
                    <w:rPr>
                      <w:rFonts w:hint="eastAsia"/>
                      <w:color w:val="auto"/>
                    </w:rPr>
                    <w:t>4</w:t>
                  </w:r>
                </w:p>
              </w:tc>
              <w:tc>
                <w:tcPr>
                  <w:tcW w:w="260" w:type="pct"/>
                  <w:vMerge w:val="continue"/>
                  <w:noWrap w:val="0"/>
                  <w:vAlign w:val="center"/>
                </w:tcPr>
                <w:p>
                  <w:pPr>
                    <w:pStyle w:val="176"/>
                    <w:rPr>
                      <w:rFonts w:hint="eastAsia"/>
                      <w:color w:val="auto"/>
                    </w:rPr>
                  </w:pPr>
                </w:p>
              </w:tc>
              <w:tc>
                <w:tcPr>
                  <w:tcW w:w="370" w:type="pct"/>
                  <w:vMerge w:val="continue"/>
                  <w:noWrap w:val="0"/>
                  <w:vAlign w:val="center"/>
                </w:tcPr>
                <w:p>
                  <w:pPr>
                    <w:pStyle w:val="176"/>
                    <w:rPr>
                      <w:rFonts w:hint="eastAsia"/>
                      <w:color w:val="auto"/>
                    </w:rPr>
                  </w:pPr>
                </w:p>
              </w:tc>
              <w:tc>
                <w:tcPr>
                  <w:tcW w:w="1966" w:type="dxa"/>
                  <w:noWrap w:val="0"/>
                  <w:vAlign w:val="center"/>
                </w:tcPr>
                <w:p>
                  <w:pPr>
                    <w:pStyle w:val="176"/>
                    <w:rPr>
                      <w:rFonts w:hint="eastAsia"/>
                      <w:color w:val="auto"/>
                    </w:rPr>
                  </w:pPr>
                  <w:r>
                    <w:rPr>
                      <w:rFonts w:hint="eastAsia"/>
                      <w:color w:val="auto"/>
                    </w:rPr>
                    <w:t>自然资源管控分区</w:t>
                  </w:r>
                </w:p>
              </w:tc>
              <w:tc>
                <w:tcPr>
                  <w:tcW w:w="1850" w:type="dxa"/>
                  <w:noWrap w:val="0"/>
                  <w:vAlign w:val="center"/>
                </w:tcPr>
                <w:p>
                  <w:pPr>
                    <w:pStyle w:val="176"/>
                    <w:rPr>
                      <w:rFonts w:hint="eastAsia"/>
                      <w:color w:val="auto"/>
                    </w:rPr>
                  </w:pPr>
                  <w:r>
                    <w:rPr>
                      <w:rFonts w:hint="eastAsia"/>
                      <w:color w:val="auto"/>
                    </w:rPr>
                    <w:t>YS5111022540006</w:t>
                  </w:r>
                </w:p>
              </w:tc>
              <w:tc>
                <w:tcPr>
                  <w:tcW w:w="2053" w:type="dxa"/>
                  <w:noWrap w:val="0"/>
                  <w:vAlign w:val="center"/>
                </w:tcPr>
                <w:p>
                  <w:pPr>
                    <w:pStyle w:val="176"/>
                    <w:rPr>
                      <w:rFonts w:hint="eastAsia"/>
                      <w:color w:val="auto"/>
                    </w:rPr>
                  </w:pPr>
                  <w:r>
                    <w:rPr>
                      <w:rFonts w:hint="eastAsia"/>
                      <w:color w:val="auto"/>
                    </w:rPr>
                    <w:t>市中区禁燃区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6" w:hRule="atLeast"/>
              </w:trPr>
              <w:tc>
                <w:tcPr>
                  <w:tcW w:w="377" w:type="pct"/>
                  <w:noWrap w:val="0"/>
                  <w:vAlign w:val="center"/>
                </w:tcPr>
                <w:p>
                  <w:pPr>
                    <w:pStyle w:val="176"/>
                    <w:rPr>
                      <w:color w:val="auto"/>
                    </w:rPr>
                  </w:pPr>
                  <w:r>
                    <w:rPr>
                      <w:rFonts w:hint="eastAsia"/>
                      <w:color w:val="auto"/>
                    </w:rPr>
                    <w:t>5</w:t>
                  </w:r>
                </w:p>
              </w:tc>
              <w:tc>
                <w:tcPr>
                  <w:tcW w:w="260" w:type="pct"/>
                  <w:vMerge w:val="continue"/>
                  <w:noWrap w:val="0"/>
                  <w:vAlign w:val="center"/>
                </w:tcPr>
                <w:p>
                  <w:pPr>
                    <w:pStyle w:val="176"/>
                    <w:rPr>
                      <w:rFonts w:hint="eastAsia"/>
                      <w:color w:val="auto"/>
                    </w:rPr>
                  </w:pPr>
                </w:p>
              </w:tc>
              <w:tc>
                <w:tcPr>
                  <w:tcW w:w="370" w:type="pct"/>
                  <w:vMerge w:val="continue"/>
                  <w:noWrap w:val="0"/>
                  <w:vAlign w:val="center"/>
                </w:tcPr>
                <w:p>
                  <w:pPr>
                    <w:pStyle w:val="176"/>
                    <w:rPr>
                      <w:rFonts w:hint="eastAsia"/>
                      <w:color w:val="auto"/>
                    </w:rPr>
                  </w:pPr>
                </w:p>
              </w:tc>
              <w:tc>
                <w:tcPr>
                  <w:tcW w:w="1966" w:type="dxa"/>
                  <w:noWrap w:val="0"/>
                  <w:vAlign w:val="center"/>
                </w:tcPr>
                <w:p>
                  <w:pPr>
                    <w:pStyle w:val="176"/>
                    <w:rPr>
                      <w:rFonts w:hint="eastAsia"/>
                      <w:color w:val="auto"/>
                    </w:rPr>
                  </w:pPr>
                  <w:r>
                    <w:rPr>
                      <w:rFonts w:hint="eastAsia"/>
                      <w:color w:val="auto"/>
                    </w:rPr>
                    <w:t>自然资源管控分区</w:t>
                  </w:r>
                </w:p>
              </w:tc>
              <w:tc>
                <w:tcPr>
                  <w:tcW w:w="1850" w:type="dxa"/>
                  <w:noWrap w:val="0"/>
                  <w:vAlign w:val="center"/>
                </w:tcPr>
                <w:p>
                  <w:pPr>
                    <w:pStyle w:val="176"/>
                    <w:rPr>
                      <w:rFonts w:hint="eastAsia"/>
                      <w:color w:val="auto"/>
                    </w:rPr>
                  </w:pPr>
                  <w:r>
                    <w:rPr>
                      <w:rFonts w:hint="eastAsia"/>
                      <w:color w:val="auto"/>
                    </w:rPr>
                    <w:t>YS5111022550001</w:t>
                  </w:r>
                </w:p>
              </w:tc>
              <w:tc>
                <w:tcPr>
                  <w:tcW w:w="2053" w:type="dxa"/>
                  <w:noWrap w:val="0"/>
                  <w:vAlign w:val="center"/>
                </w:tcPr>
                <w:p>
                  <w:pPr>
                    <w:pStyle w:val="176"/>
                    <w:rPr>
                      <w:rFonts w:hint="eastAsia"/>
                      <w:color w:val="auto"/>
                    </w:rPr>
                  </w:pPr>
                  <w:r>
                    <w:rPr>
                      <w:rFonts w:hint="eastAsia"/>
                      <w:color w:val="auto"/>
                    </w:rPr>
                    <w:t>市中区自然资源重点管控区</w:t>
                  </w:r>
                </w:p>
              </w:tc>
            </w:tr>
          </w:tbl>
          <w:p>
            <w:pPr>
              <w:pStyle w:val="110"/>
              <w:ind w:firstLine="482"/>
              <w:rPr>
                <w:b/>
                <w:bCs/>
                <w:color w:val="auto"/>
              </w:rPr>
            </w:pPr>
            <w:r>
              <w:rPr>
                <w:rFonts w:hint="eastAsia"/>
                <w:b/>
                <w:bCs/>
                <w:color w:val="auto"/>
              </w:rPr>
              <w:t>（2）项目所属环境管控单元管控要求</w:t>
            </w:r>
          </w:p>
          <w:p>
            <w:pPr>
              <w:pStyle w:val="210"/>
              <w:bidi w:val="0"/>
              <w:rPr>
                <w:rFonts w:hint="eastAsia"/>
                <w:color w:val="auto"/>
                <w:lang w:eastAsia="zh-CN"/>
              </w:rPr>
            </w:pPr>
            <w:r>
              <w:rPr>
                <w:rFonts w:hint="default"/>
                <w:color w:val="auto"/>
              </w:rPr>
              <w:drawing>
                <wp:inline distT="0" distB="0" distL="114300" distR="114300">
                  <wp:extent cx="4594225" cy="2757170"/>
                  <wp:effectExtent l="0" t="0" r="15875" b="508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7"/>
                          <a:stretch>
                            <a:fillRect/>
                          </a:stretch>
                        </pic:blipFill>
                        <pic:spPr>
                          <a:xfrm>
                            <a:off x="0" y="0"/>
                            <a:ext cx="4594225" cy="2757170"/>
                          </a:xfrm>
                          <a:prstGeom prst="rect">
                            <a:avLst/>
                          </a:prstGeom>
                          <a:noFill/>
                          <a:ln>
                            <a:noFill/>
                          </a:ln>
                        </pic:spPr>
                      </pic:pic>
                    </a:graphicData>
                  </a:graphic>
                </wp:inline>
              </w:drawing>
            </w:r>
          </w:p>
          <w:p>
            <w:pPr>
              <w:pStyle w:val="210"/>
              <w:bidi w:val="0"/>
              <w:rPr>
                <w:color w:val="auto"/>
              </w:rPr>
            </w:pPr>
            <w:r>
              <w:rPr>
                <w:rFonts w:hint="eastAsia"/>
                <w:color w:val="auto"/>
                <w:lang w:eastAsia="zh-CN"/>
              </w:rPr>
              <w:t>附图</w:t>
            </w:r>
            <w:r>
              <w:rPr>
                <w:rFonts w:hint="eastAsia"/>
                <w:color w:val="auto"/>
                <w:lang w:val="en-US" w:eastAsia="zh-CN"/>
              </w:rPr>
              <w:t>1-1  项目与环境综合管控单元的位置关系图</w:t>
            </w:r>
          </w:p>
          <w:p>
            <w:pPr>
              <w:pStyle w:val="110"/>
              <w:ind w:firstLine="480"/>
              <w:rPr>
                <w:rFonts w:hint="eastAsia" w:ascii="宋体" w:hAnsi="宋体" w:eastAsia="宋体"/>
                <w:color w:val="auto"/>
                <w:kern w:val="0"/>
                <w:lang w:eastAsia="zh-CN"/>
              </w:rPr>
            </w:pPr>
            <w:r>
              <w:rPr>
                <w:color w:val="auto"/>
              </w:rPr>
              <w:t>结合</w:t>
            </w:r>
            <w:r>
              <w:rPr>
                <w:rFonts w:hint="eastAsia"/>
                <w:color w:val="auto"/>
              </w:rPr>
              <w:t>“</w:t>
            </w:r>
            <w:r>
              <w:rPr>
                <w:color w:val="auto"/>
              </w:rPr>
              <w:t>三线一单</w:t>
            </w:r>
            <w:r>
              <w:rPr>
                <w:rFonts w:hint="eastAsia"/>
                <w:color w:val="auto"/>
              </w:rPr>
              <w:t>”</w:t>
            </w:r>
            <w:r>
              <w:rPr>
                <w:color w:val="auto"/>
              </w:rPr>
              <w:t>空间分区情况，项目所在的环境管控单元基本情况见下表</w:t>
            </w:r>
            <w:r>
              <w:rPr>
                <w:rFonts w:hint="eastAsia"/>
                <w:color w:val="auto"/>
                <w:lang w:eastAsia="zh-CN"/>
              </w:rPr>
              <w:t>：</w:t>
            </w:r>
          </w:p>
        </w:tc>
      </w:tr>
    </w:tbl>
    <w:p>
      <w:pPr>
        <w:spacing w:line="360" w:lineRule="auto"/>
        <w:ind w:firstLine="600"/>
        <w:rPr>
          <w:rFonts w:eastAsia="黑体"/>
          <w:color w:val="auto"/>
          <w:sz w:val="30"/>
        </w:rPr>
        <w:sectPr>
          <w:headerReference r:id="rId9" w:type="default"/>
          <w:footerReference r:id="rId10" w:type="default"/>
          <w:pgSz w:w="11906" w:h="16838"/>
          <w:pgMar w:top="1701" w:right="1531" w:bottom="1701" w:left="1531" w:header="851" w:footer="1077" w:gutter="0"/>
          <w:pgNumType w:start="1"/>
          <w:cols w:space="720" w:num="1"/>
          <w:docGrid w:linePitch="312" w:charSpace="0"/>
        </w:sectPr>
      </w:pP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7"/>
        <w:gridCol w:w="12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noWrap w:val="0"/>
            <w:vAlign w:val="center"/>
          </w:tcPr>
          <w:p>
            <w:pPr>
              <w:pStyle w:val="110"/>
              <w:bidi w:val="0"/>
              <w:ind w:left="0" w:leftChars="0" w:firstLine="0" w:firstLineChars="0"/>
              <w:jc w:val="center"/>
              <w:rPr>
                <w:color w:val="auto"/>
              </w:rPr>
            </w:pPr>
            <w:r>
              <w:rPr>
                <w:rFonts w:hint="eastAsia"/>
                <w:color w:val="auto"/>
              </w:rPr>
              <w:t>其他符合性分析</w:t>
            </w:r>
          </w:p>
        </w:tc>
        <w:tc>
          <w:tcPr>
            <w:tcW w:w="4546" w:type="pct"/>
            <w:noWrap w:val="0"/>
            <w:vAlign w:val="top"/>
          </w:tcPr>
          <w:p>
            <w:pPr>
              <w:pStyle w:val="123"/>
              <w:bidi w:val="0"/>
              <w:rPr>
                <w:color w:val="auto"/>
              </w:rPr>
            </w:pPr>
            <w:r>
              <w:rPr>
                <w:color w:val="auto"/>
              </w:rPr>
              <w:t>表1-</w:t>
            </w:r>
            <w:r>
              <w:rPr>
                <w:rFonts w:hint="eastAsia"/>
                <w:color w:val="auto"/>
              </w:rPr>
              <w:t xml:space="preserve">4 </w:t>
            </w:r>
            <w:r>
              <w:rPr>
                <w:color w:val="auto"/>
              </w:rPr>
              <w:t>项目环境管控单元基本情况一览表</w:t>
            </w:r>
          </w:p>
          <w:tbl>
            <w:tblPr>
              <w:tblStyle w:val="39"/>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676"/>
              <w:gridCol w:w="932"/>
              <w:gridCol w:w="1225"/>
              <w:gridCol w:w="4471"/>
              <w:gridCol w:w="2343"/>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pct"/>
                  <w:noWrap w:val="0"/>
                  <w:vAlign w:val="center"/>
                </w:tcPr>
                <w:p>
                  <w:pPr>
                    <w:pStyle w:val="176"/>
                    <w:bidi w:val="0"/>
                    <w:rPr>
                      <w:b/>
                      <w:bCs/>
                      <w:color w:val="auto"/>
                    </w:rPr>
                  </w:pPr>
                  <w:r>
                    <w:rPr>
                      <w:rFonts w:hint="eastAsia"/>
                      <w:b/>
                      <w:bCs/>
                      <w:color w:val="auto"/>
                      <w:lang w:val="en-US" w:eastAsia="zh-CN"/>
                    </w:rPr>
                    <w:t>环境管控单元名称及编号</w:t>
                  </w:r>
                </w:p>
              </w:tc>
              <w:tc>
                <w:tcPr>
                  <w:tcW w:w="278" w:type="pct"/>
                  <w:noWrap w:val="0"/>
                  <w:vAlign w:val="center"/>
                </w:tcPr>
                <w:p>
                  <w:pPr>
                    <w:pStyle w:val="176"/>
                    <w:bidi w:val="0"/>
                    <w:rPr>
                      <w:rFonts w:hint="eastAsia"/>
                      <w:b/>
                      <w:bCs/>
                      <w:color w:val="auto"/>
                      <w:lang w:eastAsia="zh-CN"/>
                    </w:rPr>
                  </w:pPr>
                  <w:r>
                    <w:rPr>
                      <w:rFonts w:hint="eastAsia"/>
                      <w:b/>
                      <w:bCs/>
                      <w:color w:val="auto"/>
                      <w:lang w:eastAsia="zh-CN"/>
                    </w:rPr>
                    <w:t>类别</w:t>
                  </w:r>
                </w:p>
              </w:tc>
              <w:tc>
                <w:tcPr>
                  <w:tcW w:w="2722" w:type="pct"/>
                  <w:gridSpan w:val="3"/>
                  <w:noWrap w:val="0"/>
                  <w:vAlign w:val="center"/>
                </w:tcPr>
                <w:p>
                  <w:pPr>
                    <w:pStyle w:val="176"/>
                    <w:bidi w:val="0"/>
                    <w:rPr>
                      <w:rFonts w:hint="eastAsia"/>
                      <w:b/>
                      <w:bCs/>
                      <w:color w:val="auto"/>
                    </w:rPr>
                  </w:pPr>
                  <w:r>
                    <w:rPr>
                      <w:rFonts w:hint="eastAsia"/>
                      <w:b/>
                      <w:bCs/>
                      <w:color w:val="auto"/>
                    </w:rPr>
                    <w:t>“三线一单”</w:t>
                  </w:r>
                  <w:r>
                    <w:rPr>
                      <w:rFonts w:hint="eastAsia"/>
                      <w:b/>
                      <w:bCs/>
                      <w:color w:val="auto"/>
                      <w:lang w:eastAsia="zh-CN"/>
                    </w:rPr>
                    <w:t>的具体</w:t>
                  </w:r>
                  <w:r>
                    <w:rPr>
                      <w:rFonts w:hint="eastAsia"/>
                      <w:b/>
                      <w:bCs/>
                      <w:color w:val="auto"/>
                    </w:rPr>
                    <w:t>要求</w:t>
                  </w:r>
                </w:p>
              </w:tc>
              <w:tc>
                <w:tcPr>
                  <w:tcW w:w="962" w:type="pct"/>
                  <w:noWrap w:val="0"/>
                  <w:vAlign w:val="center"/>
                </w:tcPr>
                <w:p>
                  <w:pPr>
                    <w:pStyle w:val="176"/>
                    <w:bidi w:val="0"/>
                    <w:rPr>
                      <w:rFonts w:hint="eastAsia"/>
                      <w:b/>
                      <w:bCs/>
                      <w:color w:val="auto"/>
                      <w:lang w:eastAsia="zh-CN"/>
                    </w:rPr>
                  </w:pPr>
                  <w:r>
                    <w:rPr>
                      <w:rFonts w:hint="eastAsia"/>
                      <w:b/>
                      <w:bCs/>
                      <w:color w:val="auto"/>
                      <w:lang w:eastAsia="zh-CN"/>
                    </w:rPr>
                    <w:t>本</w:t>
                  </w:r>
                  <w:r>
                    <w:rPr>
                      <w:b/>
                      <w:bCs/>
                      <w:color w:val="auto"/>
                    </w:rPr>
                    <w:t>项目</w:t>
                  </w:r>
                  <w:r>
                    <w:rPr>
                      <w:rFonts w:hint="eastAsia"/>
                      <w:b/>
                      <w:bCs/>
                      <w:color w:val="auto"/>
                      <w:lang w:eastAsia="zh-CN"/>
                    </w:rPr>
                    <w:t>对应的情况介绍</w:t>
                  </w:r>
                </w:p>
              </w:tc>
              <w:tc>
                <w:tcPr>
                  <w:tcW w:w="365" w:type="pct"/>
                  <w:noWrap w:val="0"/>
                  <w:vAlign w:val="center"/>
                </w:tcPr>
                <w:p>
                  <w:pPr>
                    <w:pStyle w:val="176"/>
                    <w:bidi w:val="0"/>
                    <w:rPr>
                      <w:b/>
                      <w:bCs/>
                      <w:color w:val="auto"/>
                    </w:rPr>
                  </w:pPr>
                  <w:r>
                    <w:rPr>
                      <w:b/>
                      <w:bCs/>
                      <w:color w:val="auto"/>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671" w:type="pct"/>
                  <w:vMerge w:val="restart"/>
                  <w:noWrap w:val="0"/>
                  <w:vAlign w:val="center"/>
                </w:tcPr>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rFonts w:hint="eastAsia"/>
                      <w:color w:val="auto"/>
                    </w:rPr>
                  </w:pPr>
                  <w:r>
                    <w:rPr>
                      <w:rFonts w:hint="eastAsia"/>
                      <w:color w:val="auto"/>
                    </w:rPr>
                    <w:t>市中区中心城区</w:t>
                  </w:r>
                </w:p>
                <w:p>
                  <w:pPr>
                    <w:pStyle w:val="176"/>
                    <w:bidi w:val="0"/>
                    <w:rPr>
                      <w:rFonts w:hint="eastAsia"/>
                      <w:color w:val="auto"/>
                    </w:rPr>
                  </w:pPr>
                  <w:r>
                    <w:rPr>
                      <w:rFonts w:hint="eastAsia"/>
                      <w:color w:val="auto"/>
                    </w:rPr>
                    <w:t>ZH51110220001</w:t>
                  </w:r>
                </w:p>
                <w:p>
                  <w:pPr>
                    <w:pStyle w:val="176"/>
                    <w:bidi w:val="0"/>
                    <w:rPr>
                      <w:rFonts w:hint="eastAsia"/>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tc>
              <w:tc>
                <w:tcPr>
                  <w:tcW w:w="278" w:type="pct"/>
                  <w:vMerge w:val="restart"/>
                  <w:noWrap w:val="0"/>
                  <w:vAlign w:val="center"/>
                </w:tcPr>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r>
                    <w:rPr>
                      <w:color w:val="auto"/>
                    </w:rPr>
                    <w:t>普适性清单管控要求</w:t>
                  </w:r>
                </w:p>
              </w:tc>
              <w:tc>
                <w:tcPr>
                  <w:tcW w:w="383" w:type="pct"/>
                  <w:vMerge w:val="restart"/>
                  <w:noWrap w:val="0"/>
                  <w:vAlign w:val="center"/>
                </w:tcPr>
                <w:p>
                  <w:pPr>
                    <w:pStyle w:val="176"/>
                    <w:bidi w:val="0"/>
                    <w:rPr>
                      <w:color w:val="auto"/>
                    </w:rPr>
                  </w:pPr>
                  <w:r>
                    <w:rPr>
                      <w:color w:val="auto"/>
                    </w:rPr>
                    <w:t>空间布局约束</w:t>
                  </w:r>
                </w:p>
              </w:tc>
              <w:tc>
                <w:tcPr>
                  <w:tcW w:w="503" w:type="pct"/>
                  <w:noWrap w:val="0"/>
                  <w:vAlign w:val="center"/>
                </w:tcPr>
                <w:p>
                  <w:pPr>
                    <w:pStyle w:val="176"/>
                    <w:bidi w:val="0"/>
                    <w:rPr>
                      <w:color w:val="auto"/>
                    </w:rPr>
                  </w:pPr>
                  <w:r>
                    <w:rPr>
                      <w:color w:val="auto"/>
                    </w:rPr>
                    <w:t>禁止开发建设活动的要求</w:t>
                  </w:r>
                </w:p>
              </w:tc>
              <w:tc>
                <w:tcPr>
                  <w:tcW w:w="1835" w:type="pct"/>
                  <w:noWrap w:val="0"/>
                  <w:vAlign w:val="center"/>
                </w:tcPr>
                <w:p>
                  <w:pPr>
                    <w:pStyle w:val="176"/>
                    <w:bidi w:val="0"/>
                    <w:rPr>
                      <w:color w:val="auto"/>
                    </w:rPr>
                  </w:pPr>
                  <w:r>
                    <w:rPr>
                      <w:color w:val="auto"/>
                    </w:rPr>
                    <w:t>（1）原则上禁止新建生产性企业，经论证与周边环境相容的涉及民生的工业企业除外（2）禁止在长江干支流岸线1公里范围内新建、扩建化工园区和化工项目</w:t>
                  </w:r>
                  <w:r>
                    <w:rPr>
                      <w:rFonts w:hint="eastAsia"/>
                      <w:color w:val="auto"/>
                    </w:rPr>
                    <w:t>；</w:t>
                  </w:r>
                  <w:r>
                    <w:rPr>
                      <w:color w:val="auto"/>
                    </w:rPr>
                    <w:t> 禁止在长江重要支流岸线一公里范围内新建、改建、扩建尾矿库（以提升安全、生态环境保护水平为目的的改建除外）（3）禁止在居民区、学校、医疗和养老机构等周边新建有色金属冶炼、焦化、化工、铅蓄电池制造等行业企业</w:t>
                  </w:r>
                  <w:r>
                    <w:rPr>
                      <w:rFonts w:hint="eastAsia"/>
                      <w:color w:val="auto"/>
                    </w:rPr>
                    <w:t>；</w:t>
                  </w:r>
                  <w:r>
                    <w:rPr>
                      <w:color w:val="auto"/>
                    </w:rPr>
                    <w:t>严禁在人口聚集区新建涉及重金属排放的项目（4）禁止在长江流域禁止采砂区和禁止采砂期从事采砂活动;</w:t>
                  </w:r>
                </w:p>
              </w:tc>
              <w:tc>
                <w:tcPr>
                  <w:tcW w:w="962" w:type="pct"/>
                  <w:noWrap w:val="0"/>
                  <w:vAlign w:val="center"/>
                </w:tcPr>
                <w:p>
                  <w:pPr>
                    <w:pStyle w:val="176"/>
                    <w:bidi w:val="0"/>
                    <w:rPr>
                      <w:rFonts w:hint="eastAsia"/>
                      <w:color w:val="auto"/>
                    </w:rPr>
                  </w:pPr>
                  <w:r>
                    <w:rPr>
                      <w:rFonts w:hint="eastAsia"/>
                      <w:color w:val="auto"/>
                    </w:rPr>
                    <w:t>本项目为宠物医院服务项目，不属于生产性企业，不属于冶炼、焦化、化工、铅蓄电池制造行业，项目不涉及重金属排放，不属于禁止开发建设活动</w:t>
                  </w:r>
                </w:p>
              </w:tc>
              <w:tc>
                <w:tcPr>
                  <w:tcW w:w="365" w:type="pct"/>
                  <w:noWrap w:val="0"/>
                  <w:vAlign w:val="center"/>
                </w:tcPr>
                <w:p>
                  <w:pPr>
                    <w:pStyle w:val="176"/>
                    <w:bidi w:val="0"/>
                    <w:rPr>
                      <w:rFonts w:hint="eastAsia"/>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671" w:type="pct"/>
                  <w:vMerge w:val="continue"/>
                  <w:noWrap w:val="0"/>
                  <w:vAlign w:val="center"/>
                </w:tcPr>
                <w:p>
                  <w:pPr>
                    <w:pStyle w:val="176"/>
                    <w:bidi w:val="0"/>
                    <w:rPr>
                      <w:color w:val="auto"/>
                    </w:rPr>
                  </w:pPr>
                </w:p>
              </w:tc>
              <w:tc>
                <w:tcPr>
                  <w:tcW w:w="278" w:type="pct"/>
                  <w:vMerge w:val="continue"/>
                  <w:noWrap w:val="0"/>
                  <w:vAlign w:val="center"/>
                </w:tcPr>
                <w:p>
                  <w:pPr>
                    <w:pStyle w:val="176"/>
                    <w:bidi w:val="0"/>
                    <w:rPr>
                      <w:color w:val="auto"/>
                    </w:rPr>
                  </w:pPr>
                </w:p>
              </w:tc>
              <w:tc>
                <w:tcPr>
                  <w:tcW w:w="383" w:type="pct"/>
                  <w:vMerge w:val="continue"/>
                  <w:noWrap w:val="0"/>
                  <w:vAlign w:val="center"/>
                </w:tcPr>
                <w:p>
                  <w:pPr>
                    <w:pStyle w:val="176"/>
                    <w:bidi w:val="0"/>
                    <w:rPr>
                      <w:color w:val="auto"/>
                    </w:rPr>
                  </w:pPr>
                </w:p>
              </w:tc>
              <w:tc>
                <w:tcPr>
                  <w:tcW w:w="503" w:type="pct"/>
                  <w:noWrap w:val="0"/>
                  <w:vAlign w:val="center"/>
                </w:tcPr>
                <w:p>
                  <w:pPr>
                    <w:pStyle w:val="176"/>
                    <w:bidi w:val="0"/>
                    <w:rPr>
                      <w:color w:val="auto"/>
                    </w:rPr>
                  </w:pPr>
                  <w:r>
                    <w:rPr>
                      <w:color w:val="auto"/>
                    </w:rPr>
                    <w:t>限制开发建设活动的要求</w:t>
                  </w:r>
                </w:p>
              </w:tc>
              <w:tc>
                <w:tcPr>
                  <w:tcW w:w="1835" w:type="pct"/>
                  <w:noWrap w:val="0"/>
                  <w:vAlign w:val="center"/>
                </w:tcPr>
                <w:p>
                  <w:pPr>
                    <w:pStyle w:val="176"/>
                    <w:bidi w:val="0"/>
                    <w:rPr>
                      <w:color w:val="auto"/>
                    </w:rPr>
                  </w:pPr>
                  <w:r>
                    <w:rPr>
                      <w:color w:val="auto"/>
                    </w:rPr>
                    <w:t>（1）现有工业企业（涉及民生的除外）限制发展，允许以提升安全、生态环境保护水平为目的的改建，引导企业搬入产业对口园区（2）严格控制在城镇空间范围内新布设工业园区</w:t>
                  </w:r>
                  <w:r>
                    <w:rPr>
                      <w:rFonts w:hint="eastAsia"/>
                      <w:color w:val="auto"/>
                    </w:rPr>
                    <w:t>；</w:t>
                  </w:r>
                  <w:r>
                    <w:rPr>
                      <w:color w:val="auto"/>
                    </w:rPr>
                    <w:t> 若新布局工业园区，应符合乐山市国土空间规划，并结合区域环境特点、三线成果、园区产业类别，充分论证选址的环境合理性（3）长江流域河道采砂应当依法取得国务院水行政主管部门有关流域管理机构或者县级以上地方人民政府水行政主管部门的许可</w:t>
                  </w:r>
                  <w:r>
                    <w:rPr>
                      <w:rFonts w:hint="eastAsia"/>
                      <w:color w:val="auto"/>
                    </w:rPr>
                    <w:t>；</w:t>
                  </w:r>
                  <w:r>
                    <w:rPr>
                      <w:color w:val="auto"/>
                    </w:rPr>
                    <w:t>严格控制采砂区域、采砂总量和采砂区域内的采砂船舶数量;</w:t>
                  </w:r>
                </w:p>
              </w:tc>
              <w:tc>
                <w:tcPr>
                  <w:tcW w:w="962" w:type="pct"/>
                  <w:noWrap w:val="0"/>
                  <w:vAlign w:val="center"/>
                </w:tcPr>
                <w:p>
                  <w:pPr>
                    <w:pStyle w:val="176"/>
                    <w:bidi w:val="0"/>
                    <w:rPr>
                      <w:rFonts w:hint="eastAsia"/>
                      <w:color w:val="auto"/>
                    </w:rPr>
                  </w:pPr>
                  <w:r>
                    <w:rPr>
                      <w:rFonts w:hint="eastAsia"/>
                      <w:color w:val="auto"/>
                    </w:rPr>
                    <w:t>本项目为宠物医院建设项目，属于民生有需求类项目，项目为未批先建，但根据对项目现场调查，项目已采取了部分环保措施</w:t>
                  </w:r>
                </w:p>
              </w:tc>
              <w:tc>
                <w:tcPr>
                  <w:tcW w:w="365" w:type="pct"/>
                  <w:noWrap w:val="0"/>
                  <w:vAlign w:val="center"/>
                </w:tcPr>
                <w:p>
                  <w:pPr>
                    <w:pStyle w:val="176"/>
                    <w:bidi w:val="0"/>
                    <w:rPr>
                      <w:rFonts w:hint="eastAsia"/>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3" w:hRule="atLeast"/>
              </w:trPr>
              <w:tc>
                <w:tcPr>
                  <w:tcW w:w="671" w:type="pct"/>
                  <w:vMerge w:val="continue"/>
                  <w:noWrap w:val="0"/>
                  <w:vAlign w:val="center"/>
                </w:tcPr>
                <w:p>
                  <w:pPr>
                    <w:pStyle w:val="176"/>
                    <w:bidi w:val="0"/>
                    <w:rPr>
                      <w:color w:val="auto"/>
                    </w:rPr>
                  </w:pPr>
                </w:p>
              </w:tc>
              <w:tc>
                <w:tcPr>
                  <w:tcW w:w="278" w:type="pct"/>
                  <w:vMerge w:val="continue"/>
                  <w:noWrap w:val="0"/>
                  <w:vAlign w:val="center"/>
                </w:tcPr>
                <w:p>
                  <w:pPr>
                    <w:pStyle w:val="176"/>
                    <w:bidi w:val="0"/>
                    <w:rPr>
                      <w:color w:val="auto"/>
                    </w:rPr>
                  </w:pPr>
                </w:p>
              </w:tc>
              <w:tc>
                <w:tcPr>
                  <w:tcW w:w="383" w:type="pct"/>
                  <w:vMerge w:val="continue"/>
                  <w:noWrap w:val="0"/>
                  <w:vAlign w:val="center"/>
                </w:tcPr>
                <w:p>
                  <w:pPr>
                    <w:pStyle w:val="176"/>
                    <w:bidi w:val="0"/>
                    <w:rPr>
                      <w:color w:val="auto"/>
                    </w:rPr>
                  </w:pPr>
                </w:p>
              </w:tc>
              <w:tc>
                <w:tcPr>
                  <w:tcW w:w="503" w:type="pct"/>
                  <w:noWrap w:val="0"/>
                  <w:vAlign w:val="center"/>
                </w:tcPr>
                <w:p>
                  <w:pPr>
                    <w:pStyle w:val="176"/>
                    <w:bidi w:val="0"/>
                    <w:rPr>
                      <w:color w:val="auto"/>
                    </w:rPr>
                  </w:pPr>
                  <w:r>
                    <w:rPr>
                      <w:color w:val="auto"/>
                    </w:rPr>
                    <w:t>不符合空间布局要求活动的退出要求</w:t>
                  </w:r>
                </w:p>
              </w:tc>
              <w:tc>
                <w:tcPr>
                  <w:tcW w:w="1835" w:type="pct"/>
                  <w:noWrap w:val="0"/>
                  <w:vAlign w:val="center"/>
                </w:tcPr>
                <w:p>
                  <w:pPr>
                    <w:pStyle w:val="176"/>
                    <w:bidi w:val="0"/>
                    <w:rPr>
                      <w:color w:val="auto"/>
                    </w:rPr>
                  </w:pPr>
                  <w:r>
                    <w:rPr>
                      <w:color w:val="auto"/>
                    </w:rPr>
                    <w:t> （1）长江主要支流重点管控岸线：按照长江干线非法码头治理标准和生态保护红线管控等要求，持续开展长江主要支流非法码头整治（2）加快城市建成区重污染企业搬迁改造或关闭退出，推动实施一批重污染企业搬迁工程</w:t>
                  </w:r>
                  <w:r>
                    <w:rPr>
                      <w:rFonts w:hint="eastAsia"/>
                      <w:color w:val="auto"/>
                    </w:rPr>
                    <w:t>；</w:t>
                  </w:r>
                  <w:r>
                    <w:rPr>
                      <w:color w:val="auto"/>
                    </w:rPr>
                    <w:t> 大气污染防治重点区域城市钢铁企业要切实采取彻底关停、转型发展、就地改造、域外搬迁等方式转型升级（3）长江干流及主要支流岸线延伸至陆域200米范围内基本消除畜禽养殖场（小区）</w:t>
                  </w:r>
                </w:p>
              </w:tc>
              <w:tc>
                <w:tcPr>
                  <w:tcW w:w="962" w:type="pct"/>
                  <w:noWrap w:val="0"/>
                  <w:vAlign w:val="center"/>
                </w:tcPr>
                <w:p>
                  <w:pPr>
                    <w:pStyle w:val="176"/>
                    <w:bidi w:val="0"/>
                    <w:rPr>
                      <w:rFonts w:hint="eastAsia"/>
                      <w:color w:val="auto"/>
                    </w:rPr>
                  </w:pPr>
                  <w:r>
                    <w:rPr>
                      <w:rFonts w:hint="eastAsia"/>
                      <w:color w:val="auto"/>
                    </w:rPr>
                    <w:t>本项目为宠物医院建设项目，位于中心城区，不属于不符合空间布局要求的项目</w:t>
                  </w:r>
                </w:p>
              </w:tc>
              <w:tc>
                <w:tcPr>
                  <w:tcW w:w="365" w:type="pct"/>
                  <w:noWrap w:val="0"/>
                  <w:vAlign w:val="center"/>
                </w:tcPr>
                <w:p>
                  <w:pPr>
                    <w:pStyle w:val="176"/>
                    <w:bidi w:val="0"/>
                    <w:rPr>
                      <w:rFonts w:hint="eastAsia"/>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671" w:type="pct"/>
                  <w:vMerge w:val="continue"/>
                  <w:noWrap w:val="0"/>
                  <w:vAlign w:val="center"/>
                </w:tcPr>
                <w:p>
                  <w:pPr>
                    <w:pStyle w:val="176"/>
                    <w:bidi w:val="0"/>
                    <w:rPr>
                      <w:color w:val="auto"/>
                    </w:rPr>
                  </w:pPr>
                </w:p>
              </w:tc>
              <w:tc>
                <w:tcPr>
                  <w:tcW w:w="278" w:type="pct"/>
                  <w:vMerge w:val="continue"/>
                  <w:noWrap w:val="0"/>
                  <w:vAlign w:val="center"/>
                </w:tcPr>
                <w:p>
                  <w:pPr>
                    <w:pStyle w:val="176"/>
                    <w:bidi w:val="0"/>
                    <w:rPr>
                      <w:color w:val="auto"/>
                    </w:rPr>
                  </w:pPr>
                </w:p>
              </w:tc>
              <w:tc>
                <w:tcPr>
                  <w:tcW w:w="383" w:type="pct"/>
                  <w:vMerge w:val="continue"/>
                  <w:noWrap w:val="0"/>
                  <w:vAlign w:val="center"/>
                </w:tcPr>
                <w:p>
                  <w:pPr>
                    <w:pStyle w:val="176"/>
                    <w:bidi w:val="0"/>
                    <w:rPr>
                      <w:color w:val="auto"/>
                    </w:rPr>
                  </w:pPr>
                </w:p>
              </w:tc>
              <w:tc>
                <w:tcPr>
                  <w:tcW w:w="503" w:type="pct"/>
                  <w:noWrap w:val="0"/>
                  <w:vAlign w:val="center"/>
                </w:tcPr>
                <w:p>
                  <w:pPr>
                    <w:pStyle w:val="176"/>
                    <w:bidi w:val="0"/>
                    <w:rPr>
                      <w:color w:val="auto"/>
                    </w:rPr>
                  </w:pPr>
                  <w:r>
                    <w:rPr>
                      <w:color w:val="auto"/>
                    </w:rPr>
                    <w:t>其他空间布局约束要求</w:t>
                  </w:r>
                </w:p>
              </w:tc>
              <w:tc>
                <w:tcPr>
                  <w:tcW w:w="1835" w:type="pct"/>
                  <w:noWrap w:val="0"/>
                  <w:vAlign w:val="center"/>
                </w:tcPr>
                <w:p>
                  <w:pPr>
                    <w:pStyle w:val="176"/>
                    <w:bidi w:val="0"/>
                    <w:rPr>
                      <w:color w:val="auto"/>
                    </w:rPr>
                  </w:pPr>
                  <w:r>
                    <w:rPr>
                      <w:color w:val="auto"/>
                    </w:rPr>
                    <w:t>（1）长江干流及主要支流重点管控岸线：加强滨水岸线管控，以生态保护为主基调，加快推进生态修复工作进程（2）加大交通运输结构优化调整力度，推动</w:t>
                  </w:r>
                  <w:r>
                    <w:rPr>
                      <w:rFonts w:hint="eastAsia"/>
                      <w:color w:val="auto"/>
                    </w:rPr>
                    <w:t>“</w:t>
                  </w:r>
                  <w:r>
                    <w:rPr>
                      <w:color w:val="auto"/>
                    </w:rPr>
                    <w:t>公转铁</w:t>
                  </w:r>
                  <w:r>
                    <w:rPr>
                      <w:rFonts w:hint="eastAsia"/>
                      <w:color w:val="auto"/>
                    </w:rPr>
                    <w:t>”“</w:t>
                  </w:r>
                  <w:r>
                    <w:rPr>
                      <w:color w:val="auto"/>
                    </w:rPr>
                    <w:t>公转水</w:t>
                  </w:r>
                  <w:r>
                    <w:rPr>
                      <w:rFonts w:hint="eastAsia"/>
                      <w:color w:val="auto"/>
                    </w:rPr>
                    <w:t>”</w:t>
                  </w:r>
                  <w:r>
                    <w:rPr>
                      <w:color w:val="auto"/>
                    </w:rPr>
                    <w:t>和多式联运，推广节能和新能源车辆</w:t>
                  </w:r>
                </w:p>
              </w:tc>
              <w:tc>
                <w:tcPr>
                  <w:tcW w:w="962" w:type="pct"/>
                  <w:noWrap w:val="0"/>
                  <w:vAlign w:val="center"/>
                </w:tcPr>
                <w:p>
                  <w:pPr>
                    <w:pStyle w:val="176"/>
                    <w:bidi w:val="0"/>
                    <w:rPr>
                      <w:rFonts w:hint="eastAsia"/>
                      <w:color w:val="auto"/>
                    </w:rPr>
                  </w:pPr>
                  <w:r>
                    <w:rPr>
                      <w:rFonts w:hint="eastAsia"/>
                      <w:color w:val="auto"/>
                    </w:rPr>
                    <w:t>本项目位于中心城区，项目运行不涉及大型交通运输</w:t>
                  </w:r>
                </w:p>
              </w:tc>
              <w:tc>
                <w:tcPr>
                  <w:tcW w:w="365" w:type="pct"/>
                  <w:noWrap w:val="0"/>
                  <w:vAlign w:val="center"/>
                </w:tcPr>
                <w:p>
                  <w:pPr>
                    <w:pStyle w:val="176"/>
                    <w:bidi w:val="0"/>
                    <w:rPr>
                      <w:rFonts w:hint="eastAsia"/>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671" w:type="pct"/>
                  <w:vMerge w:val="continue"/>
                  <w:noWrap w:val="0"/>
                  <w:vAlign w:val="center"/>
                </w:tcPr>
                <w:p>
                  <w:pPr>
                    <w:pStyle w:val="176"/>
                    <w:bidi w:val="0"/>
                    <w:rPr>
                      <w:color w:val="auto"/>
                    </w:rPr>
                  </w:pPr>
                </w:p>
              </w:tc>
              <w:tc>
                <w:tcPr>
                  <w:tcW w:w="278" w:type="pct"/>
                  <w:vMerge w:val="continue"/>
                  <w:noWrap w:val="0"/>
                  <w:vAlign w:val="center"/>
                </w:tcPr>
                <w:p>
                  <w:pPr>
                    <w:pStyle w:val="176"/>
                    <w:bidi w:val="0"/>
                    <w:rPr>
                      <w:color w:val="auto"/>
                    </w:rPr>
                  </w:pPr>
                </w:p>
              </w:tc>
              <w:tc>
                <w:tcPr>
                  <w:tcW w:w="383" w:type="pct"/>
                  <w:vMerge w:val="restart"/>
                  <w:noWrap w:val="0"/>
                  <w:vAlign w:val="center"/>
                </w:tcPr>
                <w:p>
                  <w:pPr>
                    <w:pStyle w:val="176"/>
                    <w:bidi w:val="0"/>
                    <w:rPr>
                      <w:color w:val="auto"/>
                    </w:rPr>
                  </w:pPr>
                  <w:r>
                    <w:rPr>
                      <w:color w:val="auto"/>
                    </w:rPr>
                    <w:t>污染物排放管控</w:t>
                  </w:r>
                </w:p>
              </w:tc>
              <w:tc>
                <w:tcPr>
                  <w:tcW w:w="503" w:type="pct"/>
                  <w:noWrap w:val="0"/>
                  <w:vAlign w:val="center"/>
                </w:tcPr>
                <w:p>
                  <w:pPr>
                    <w:pStyle w:val="176"/>
                    <w:bidi w:val="0"/>
                    <w:rPr>
                      <w:color w:val="auto"/>
                    </w:rPr>
                  </w:pPr>
                  <w:r>
                    <w:rPr>
                      <w:color w:val="auto"/>
                    </w:rPr>
                    <w:t>允许排放量要求</w:t>
                  </w:r>
                </w:p>
              </w:tc>
              <w:tc>
                <w:tcPr>
                  <w:tcW w:w="1835" w:type="pct"/>
                  <w:noWrap w:val="0"/>
                  <w:vAlign w:val="center"/>
                </w:tcPr>
                <w:p>
                  <w:pPr>
                    <w:pStyle w:val="176"/>
                    <w:bidi w:val="0"/>
                    <w:rPr>
                      <w:color w:val="auto"/>
                    </w:rPr>
                  </w:pPr>
                  <w:r>
                    <w:rPr>
                      <w:color w:val="auto"/>
                    </w:rPr>
                    <w:t> （1）上一年度水环境质量未完成目标的，新建排放水污染的建设项目按照总量管控要求进行倍量削减替代（2）对新建排放二氧化硫、氮氧化物、工业烟粉尘和挥发性有机物的项目实施现役源2倍削减替代（3）岷江干流及其支流执行总磷排放减量置换（4）水质超标的水功能区，应当实施更严格的污染物排放总量削减要求</w:t>
                  </w:r>
                </w:p>
              </w:tc>
              <w:tc>
                <w:tcPr>
                  <w:tcW w:w="962" w:type="pct"/>
                  <w:noWrap w:val="0"/>
                  <w:vAlign w:val="center"/>
                </w:tcPr>
                <w:p>
                  <w:pPr>
                    <w:pStyle w:val="176"/>
                    <w:bidi w:val="0"/>
                    <w:rPr>
                      <w:color w:val="auto"/>
                    </w:rPr>
                  </w:pPr>
                  <w:r>
                    <w:rPr>
                      <w:rFonts w:hint="eastAsia"/>
                      <w:color w:val="auto"/>
                    </w:rPr>
                    <w:t>本项目为宠物医院建设项目</w:t>
                  </w:r>
                </w:p>
              </w:tc>
              <w:tc>
                <w:tcPr>
                  <w:tcW w:w="365" w:type="pct"/>
                  <w:noWrap w:val="0"/>
                  <w:vAlign w:val="center"/>
                </w:tcPr>
                <w:p>
                  <w:pPr>
                    <w:pStyle w:val="176"/>
                    <w:bidi w:val="0"/>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671" w:type="pct"/>
                  <w:vMerge w:val="continue"/>
                  <w:noWrap w:val="0"/>
                  <w:vAlign w:val="center"/>
                </w:tcPr>
                <w:p>
                  <w:pPr>
                    <w:pStyle w:val="176"/>
                    <w:bidi w:val="0"/>
                    <w:rPr>
                      <w:color w:val="auto"/>
                    </w:rPr>
                  </w:pPr>
                </w:p>
              </w:tc>
              <w:tc>
                <w:tcPr>
                  <w:tcW w:w="278" w:type="pct"/>
                  <w:vMerge w:val="continue"/>
                  <w:noWrap w:val="0"/>
                  <w:vAlign w:val="center"/>
                </w:tcPr>
                <w:p>
                  <w:pPr>
                    <w:pStyle w:val="176"/>
                    <w:bidi w:val="0"/>
                    <w:rPr>
                      <w:color w:val="auto"/>
                    </w:rPr>
                  </w:pPr>
                </w:p>
              </w:tc>
              <w:tc>
                <w:tcPr>
                  <w:tcW w:w="383" w:type="pct"/>
                  <w:vMerge w:val="continue"/>
                  <w:noWrap w:val="0"/>
                  <w:vAlign w:val="center"/>
                </w:tcPr>
                <w:p>
                  <w:pPr>
                    <w:pStyle w:val="176"/>
                    <w:bidi w:val="0"/>
                    <w:rPr>
                      <w:color w:val="auto"/>
                    </w:rPr>
                  </w:pPr>
                </w:p>
              </w:tc>
              <w:tc>
                <w:tcPr>
                  <w:tcW w:w="503" w:type="pct"/>
                  <w:noWrap w:val="0"/>
                  <w:vAlign w:val="center"/>
                </w:tcPr>
                <w:p>
                  <w:pPr>
                    <w:pStyle w:val="176"/>
                    <w:bidi w:val="0"/>
                    <w:rPr>
                      <w:color w:val="auto"/>
                    </w:rPr>
                  </w:pPr>
                  <w:r>
                    <w:rPr>
                      <w:color w:val="auto"/>
                    </w:rPr>
                    <w:t>现有源提标升级改造</w:t>
                  </w:r>
                </w:p>
              </w:tc>
              <w:tc>
                <w:tcPr>
                  <w:tcW w:w="1835" w:type="pct"/>
                  <w:noWrap w:val="0"/>
                  <w:vAlign w:val="center"/>
                </w:tcPr>
                <w:p>
                  <w:pPr>
                    <w:pStyle w:val="176"/>
                    <w:bidi w:val="0"/>
                    <w:rPr>
                      <w:color w:val="auto"/>
                    </w:rPr>
                  </w:pPr>
                  <w:r>
                    <w:rPr>
                      <w:color w:val="auto"/>
                    </w:rPr>
                    <w:t> （1）现有及新建处理规模大于1000吨日的城镇生活污水处理厂执行《四川省岷江、沱江流域水污染物排放标准》（DB51 2311-2016）（2）市中区、五通桥区、沙湾区、犍为县、井研县、峨眉山市、夹江县属大气污染重点区域，执行大气污染物排放特别限值和特别管控要求  （3）全市燃煤锅炉稳定达到超低排放限值要求，烟粉尘低于10毫克立方米，二氧化硫低于35毫克立方米，氮氧化物低于50毫克立方米 </w:t>
                  </w:r>
                </w:p>
              </w:tc>
              <w:tc>
                <w:tcPr>
                  <w:tcW w:w="962" w:type="pct"/>
                  <w:noWrap w:val="0"/>
                  <w:vAlign w:val="center"/>
                </w:tcPr>
                <w:p>
                  <w:pPr>
                    <w:pStyle w:val="176"/>
                    <w:bidi w:val="0"/>
                    <w:rPr>
                      <w:color w:val="auto"/>
                    </w:rPr>
                  </w:pPr>
                  <w:r>
                    <w:rPr>
                      <w:rFonts w:hint="eastAsia"/>
                      <w:color w:val="auto"/>
                    </w:rPr>
                    <w:t>本项目为宠物医院建设项目</w:t>
                  </w:r>
                </w:p>
              </w:tc>
              <w:tc>
                <w:tcPr>
                  <w:tcW w:w="365" w:type="pct"/>
                  <w:noWrap w:val="0"/>
                  <w:vAlign w:val="center"/>
                </w:tcPr>
                <w:p>
                  <w:pPr>
                    <w:pStyle w:val="176"/>
                    <w:bidi w:val="0"/>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71" w:type="pct"/>
                  <w:vMerge w:val="continue"/>
                  <w:noWrap w:val="0"/>
                  <w:vAlign w:val="center"/>
                </w:tcPr>
                <w:p>
                  <w:pPr>
                    <w:pStyle w:val="176"/>
                    <w:bidi w:val="0"/>
                    <w:rPr>
                      <w:color w:val="auto"/>
                    </w:rPr>
                  </w:pPr>
                </w:p>
              </w:tc>
              <w:tc>
                <w:tcPr>
                  <w:tcW w:w="278" w:type="pct"/>
                  <w:vMerge w:val="continue"/>
                  <w:noWrap w:val="0"/>
                  <w:vAlign w:val="center"/>
                </w:tcPr>
                <w:p>
                  <w:pPr>
                    <w:pStyle w:val="176"/>
                    <w:bidi w:val="0"/>
                    <w:rPr>
                      <w:color w:val="auto"/>
                    </w:rPr>
                  </w:pPr>
                </w:p>
              </w:tc>
              <w:tc>
                <w:tcPr>
                  <w:tcW w:w="383" w:type="pct"/>
                  <w:vMerge w:val="continue"/>
                  <w:noWrap w:val="0"/>
                  <w:vAlign w:val="center"/>
                </w:tcPr>
                <w:p>
                  <w:pPr>
                    <w:pStyle w:val="176"/>
                    <w:bidi w:val="0"/>
                    <w:rPr>
                      <w:color w:val="auto"/>
                    </w:rPr>
                  </w:pPr>
                </w:p>
              </w:tc>
              <w:tc>
                <w:tcPr>
                  <w:tcW w:w="503" w:type="pct"/>
                  <w:noWrap w:val="0"/>
                  <w:vAlign w:val="center"/>
                </w:tcPr>
                <w:p>
                  <w:pPr>
                    <w:pStyle w:val="176"/>
                    <w:bidi w:val="0"/>
                    <w:rPr>
                      <w:color w:val="auto"/>
                    </w:rPr>
                  </w:pPr>
                  <w:r>
                    <w:rPr>
                      <w:color w:val="auto"/>
                    </w:rPr>
                    <w:t>其他污染物排放管控要求</w:t>
                  </w:r>
                </w:p>
              </w:tc>
              <w:tc>
                <w:tcPr>
                  <w:tcW w:w="1835" w:type="pct"/>
                  <w:noWrap w:val="0"/>
                  <w:vAlign w:val="center"/>
                </w:tcPr>
                <w:p>
                  <w:pPr>
                    <w:pStyle w:val="176"/>
                    <w:bidi w:val="0"/>
                    <w:rPr>
                      <w:rFonts w:hint="eastAsia"/>
                      <w:color w:val="auto"/>
                      <w:lang w:eastAsia="zh-CN"/>
                    </w:rPr>
                  </w:pPr>
                  <w:r>
                    <w:rPr>
                      <w:color w:val="auto"/>
                    </w:rPr>
                    <w:t> （1）到2030年，城市污水处理率达到100%（2）加快城市污水处理厂提标改造，推进人工湿地等深度处理设施配套建设，进一步降低人口密集区污染入河负荷（3）严格执行《关于实施第六阶段机动车排放标准的通告》、《四川省机动车和非道路移动机械排气污染防治办法》</w:t>
                  </w:r>
                  <w:r>
                    <w:rPr>
                      <w:rFonts w:hint="eastAsia"/>
                      <w:color w:val="auto"/>
                    </w:rPr>
                    <w:t>；</w:t>
                  </w:r>
                  <w:r>
                    <w:rPr>
                      <w:color w:val="auto"/>
                    </w:rPr>
                    <w:t> 加快淘汰老旧车辆</w:t>
                  </w:r>
                  <w:r>
                    <w:rPr>
                      <w:rFonts w:hint="eastAsia"/>
                      <w:color w:val="auto"/>
                    </w:rPr>
                    <w:t>；</w:t>
                  </w:r>
                  <w:r>
                    <w:rPr>
                      <w:color w:val="auto"/>
                    </w:rPr>
                    <w:t>严禁排放不达标车辆跨区域转移，鼓励、引导老旧车等高排放车辆提前报废更新</w:t>
                  </w:r>
                  <w:r>
                    <w:rPr>
                      <w:rFonts w:hint="eastAsia"/>
                      <w:color w:val="auto"/>
                    </w:rPr>
                    <w:t>；</w:t>
                  </w:r>
                  <w:r>
                    <w:rPr>
                      <w:color w:val="auto"/>
                    </w:rPr>
                    <w:t>开展非道路移动机械污染整治</w:t>
                  </w:r>
                  <w:r>
                    <w:rPr>
                      <w:rFonts w:hint="eastAsia"/>
                      <w:color w:val="auto"/>
                    </w:rPr>
                    <w:t>；</w:t>
                  </w:r>
                  <w:r>
                    <w:rPr>
                      <w:color w:val="auto"/>
                    </w:rPr>
                    <w:t>推进不达标工程机械清洁化改造和淘汰 （4）深化扬尘污染治理</w:t>
                  </w:r>
                  <w:r>
                    <w:rPr>
                      <w:rFonts w:hint="eastAsia"/>
                      <w:color w:val="auto"/>
                    </w:rPr>
                    <w:t>；</w:t>
                  </w:r>
                  <w:r>
                    <w:rPr>
                      <w:color w:val="auto"/>
                    </w:rPr>
                    <w:t>建筑施工工地全部做到工地周边围挡、物料堆放覆盖、土方开挖湿法作业、路面硬化、出入车辆清洗、渣土车辆密闭运输</w:t>
                  </w:r>
                  <w:r>
                    <w:rPr>
                      <w:rFonts w:hint="eastAsia"/>
                      <w:color w:val="auto"/>
                    </w:rPr>
                    <w:t>“</w:t>
                  </w:r>
                  <w:r>
                    <w:rPr>
                      <w:color w:val="auto"/>
                    </w:rPr>
                    <w:t>六个百分之百</w:t>
                  </w:r>
                  <w:r>
                    <w:rPr>
                      <w:rFonts w:hint="eastAsia"/>
                      <w:color w:val="auto"/>
                    </w:rPr>
                    <w:t>”；</w:t>
                  </w:r>
                </w:p>
                <w:p>
                  <w:pPr>
                    <w:pStyle w:val="176"/>
                    <w:bidi w:val="0"/>
                    <w:rPr>
                      <w:color w:val="auto"/>
                    </w:rPr>
                  </w:pPr>
                  <w:r>
                    <w:rPr>
                      <w:color w:val="auto"/>
                    </w:rPr>
                    <w:t>施工场地全部安装高空作业雾炮和围挡喷淋装置、在线监测和视频监控设备，监测数据与市、县主管部门联网</w:t>
                  </w:r>
                  <w:r>
                    <w:rPr>
                      <w:rFonts w:hint="eastAsia"/>
                      <w:color w:val="auto"/>
                    </w:rPr>
                    <w:t>；</w:t>
                  </w:r>
                  <w:r>
                    <w:rPr>
                      <w:color w:val="auto"/>
                    </w:rPr>
                    <w:t> 严格堆场规范化全封闭管理（5）强化挥发性有机物整治</w:t>
                  </w:r>
                  <w:r>
                    <w:rPr>
                      <w:rFonts w:hint="eastAsia"/>
                      <w:color w:val="auto"/>
                    </w:rPr>
                    <w:t>；</w:t>
                  </w:r>
                  <w:r>
                    <w:rPr>
                      <w:color w:val="auto"/>
                    </w:rPr>
                    <w:t>全面淘汰开启式干洗机</w:t>
                  </w:r>
                  <w:r>
                    <w:rPr>
                      <w:rFonts w:hint="eastAsia"/>
                      <w:color w:val="auto"/>
                    </w:rPr>
                    <w:t>；</w:t>
                  </w:r>
                  <w:r>
                    <w:rPr>
                      <w:color w:val="auto"/>
                    </w:rPr>
                    <w:t>推广使用符合环保要求的建筑涂料、油墨、木器涂料、胶黏剂等产品</w:t>
                  </w:r>
                  <w:r>
                    <w:rPr>
                      <w:rFonts w:hint="eastAsia"/>
                      <w:color w:val="auto"/>
                    </w:rPr>
                    <w:t>；</w:t>
                  </w:r>
                  <w:r>
                    <w:rPr>
                      <w:color w:val="auto"/>
                    </w:rPr>
                    <w:t>全面推广汽修行业使用低挥发性涂料，采用高效涂装工艺，完善有机废气收集和处理系统，取缔露天和敞开式汽修喷涂作业</w:t>
                  </w:r>
                  <w:r>
                    <w:rPr>
                      <w:rFonts w:hint="eastAsia"/>
                      <w:color w:val="auto"/>
                    </w:rPr>
                    <w:t>；</w:t>
                  </w:r>
                  <w:r>
                    <w:rPr>
                      <w:color w:val="auto"/>
                    </w:rPr>
                    <w:t> 全面推进储油库、油罐车、加油站油气回收改造，回收率提高到80%以上</w:t>
                  </w:r>
                  <w:r>
                    <w:rPr>
                      <w:rFonts w:hint="eastAsia"/>
                      <w:color w:val="auto"/>
                    </w:rPr>
                    <w:t>；</w:t>
                  </w:r>
                  <w:r>
                    <w:rPr>
                      <w:color w:val="auto"/>
                    </w:rPr>
                    <w:t>开展餐饮、食堂、露天烧烤专项整治（6）到2023年底，市级城市污泥无害化处置率达92%、县级城市达85%</w:t>
                  </w:r>
                  <w:r>
                    <w:rPr>
                      <w:rFonts w:hint="eastAsia"/>
                      <w:color w:val="auto"/>
                    </w:rPr>
                    <w:t>；</w:t>
                  </w:r>
                  <w:r>
                    <w:rPr>
                      <w:color w:val="auto"/>
                    </w:rPr>
                    <w:t>到2030年，城市生活垃圾无害化处置率达100%，工业固体废弃物综合利用率达100%，危废处理率100%</w:t>
                  </w:r>
                </w:p>
              </w:tc>
              <w:tc>
                <w:tcPr>
                  <w:tcW w:w="962" w:type="pct"/>
                  <w:noWrap w:val="0"/>
                  <w:vAlign w:val="center"/>
                </w:tcPr>
                <w:p>
                  <w:pPr>
                    <w:pStyle w:val="176"/>
                    <w:bidi w:val="0"/>
                    <w:rPr>
                      <w:rFonts w:hint="eastAsia"/>
                      <w:color w:val="auto"/>
                    </w:rPr>
                  </w:pPr>
                  <w:r>
                    <w:rPr>
                      <w:rFonts w:hint="eastAsia"/>
                      <w:color w:val="auto"/>
                    </w:rPr>
                    <w:t>本项目为宠物医院建设项目，项目已</w:t>
                  </w:r>
                  <w:r>
                    <w:rPr>
                      <w:rFonts w:hint="eastAsia"/>
                      <w:color w:val="auto"/>
                      <w:lang w:eastAsia="zh-CN"/>
                    </w:rPr>
                    <w:t>基本</w:t>
                  </w:r>
                  <w:r>
                    <w:rPr>
                      <w:rFonts w:hint="eastAsia"/>
                      <w:color w:val="auto"/>
                    </w:rPr>
                    <w:t>建成，运营过程中产生的固体废弃物均得到合理的处置，废水经污水处理设备处理后进入市政污水管网</w:t>
                  </w:r>
                </w:p>
              </w:tc>
              <w:tc>
                <w:tcPr>
                  <w:tcW w:w="365" w:type="pct"/>
                  <w:noWrap w:val="0"/>
                  <w:vAlign w:val="center"/>
                </w:tcPr>
                <w:p>
                  <w:pPr>
                    <w:pStyle w:val="176"/>
                    <w:bidi w:val="0"/>
                    <w:rPr>
                      <w:rFonts w:hint="eastAsia"/>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71" w:type="pct"/>
                  <w:vMerge w:val="continue"/>
                  <w:noWrap w:val="0"/>
                  <w:vAlign w:val="center"/>
                </w:tcPr>
                <w:p>
                  <w:pPr>
                    <w:pStyle w:val="176"/>
                    <w:bidi w:val="0"/>
                    <w:rPr>
                      <w:color w:val="auto"/>
                    </w:rPr>
                  </w:pPr>
                </w:p>
              </w:tc>
              <w:tc>
                <w:tcPr>
                  <w:tcW w:w="278" w:type="pct"/>
                  <w:vMerge w:val="continue"/>
                  <w:noWrap w:val="0"/>
                  <w:vAlign w:val="center"/>
                </w:tcPr>
                <w:p>
                  <w:pPr>
                    <w:pStyle w:val="176"/>
                    <w:bidi w:val="0"/>
                    <w:rPr>
                      <w:color w:val="auto"/>
                    </w:rPr>
                  </w:pPr>
                </w:p>
              </w:tc>
              <w:tc>
                <w:tcPr>
                  <w:tcW w:w="383" w:type="pct"/>
                  <w:vMerge w:val="restart"/>
                  <w:noWrap w:val="0"/>
                  <w:vAlign w:val="center"/>
                </w:tcPr>
                <w:p>
                  <w:pPr>
                    <w:pStyle w:val="176"/>
                    <w:bidi w:val="0"/>
                    <w:rPr>
                      <w:color w:val="auto"/>
                    </w:rPr>
                  </w:pPr>
                  <w:r>
                    <w:rPr>
                      <w:color w:val="auto"/>
                    </w:rPr>
                    <w:t>环境风险防控</w:t>
                  </w:r>
                </w:p>
              </w:tc>
              <w:tc>
                <w:tcPr>
                  <w:tcW w:w="503" w:type="pct"/>
                  <w:noWrap w:val="0"/>
                  <w:vAlign w:val="center"/>
                </w:tcPr>
                <w:p>
                  <w:pPr>
                    <w:pStyle w:val="176"/>
                    <w:bidi w:val="0"/>
                    <w:rPr>
                      <w:color w:val="auto"/>
                    </w:rPr>
                  </w:pPr>
                  <w:r>
                    <w:rPr>
                      <w:color w:val="auto"/>
                    </w:rPr>
                    <w:t>联防联控要求</w:t>
                  </w:r>
                </w:p>
              </w:tc>
              <w:tc>
                <w:tcPr>
                  <w:tcW w:w="1835" w:type="pct"/>
                  <w:noWrap w:val="0"/>
                  <w:vAlign w:val="center"/>
                </w:tcPr>
                <w:p>
                  <w:pPr>
                    <w:pStyle w:val="176"/>
                    <w:bidi w:val="0"/>
                    <w:rPr>
                      <w:rFonts w:hint="eastAsia"/>
                      <w:color w:val="auto"/>
                    </w:rPr>
                  </w:pPr>
                  <w:r>
                    <w:rPr>
                      <w:rFonts w:hint="eastAsia"/>
                      <w:color w:val="auto"/>
                    </w:rPr>
                    <w:t>/</w:t>
                  </w:r>
                </w:p>
              </w:tc>
              <w:tc>
                <w:tcPr>
                  <w:tcW w:w="962" w:type="pct"/>
                  <w:noWrap w:val="0"/>
                  <w:vAlign w:val="center"/>
                </w:tcPr>
                <w:p>
                  <w:pPr>
                    <w:pStyle w:val="176"/>
                    <w:bidi w:val="0"/>
                    <w:rPr>
                      <w:rFonts w:hint="eastAsia"/>
                      <w:color w:val="auto"/>
                    </w:rPr>
                  </w:pPr>
                  <w:r>
                    <w:rPr>
                      <w:rFonts w:hint="eastAsia"/>
                      <w:color w:val="auto"/>
                    </w:rPr>
                    <w:t>/</w:t>
                  </w:r>
                </w:p>
              </w:tc>
              <w:tc>
                <w:tcPr>
                  <w:tcW w:w="365" w:type="pct"/>
                  <w:noWrap w:val="0"/>
                  <w:vAlign w:val="center"/>
                </w:tcPr>
                <w:p>
                  <w:pPr>
                    <w:pStyle w:val="176"/>
                    <w:bidi w:val="0"/>
                    <w:rPr>
                      <w:rFonts w:hint="eastAsia"/>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671" w:type="pct"/>
                  <w:vMerge w:val="continue"/>
                  <w:noWrap w:val="0"/>
                  <w:vAlign w:val="center"/>
                </w:tcPr>
                <w:p>
                  <w:pPr>
                    <w:pStyle w:val="176"/>
                    <w:bidi w:val="0"/>
                    <w:rPr>
                      <w:color w:val="auto"/>
                    </w:rPr>
                  </w:pPr>
                </w:p>
              </w:tc>
              <w:tc>
                <w:tcPr>
                  <w:tcW w:w="278" w:type="pct"/>
                  <w:vMerge w:val="continue"/>
                  <w:noWrap w:val="0"/>
                  <w:vAlign w:val="center"/>
                </w:tcPr>
                <w:p>
                  <w:pPr>
                    <w:pStyle w:val="176"/>
                    <w:bidi w:val="0"/>
                    <w:rPr>
                      <w:color w:val="auto"/>
                    </w:rPr>
                  </w:pPr>
                </w:p>
              </w:tc>
              <w:tc>
                <w:tcPr>
                  <w:tcW w:w="383" w:type="pct"/>
                  <w:vMerge w:val="continue"/>
                  <w:noWrap w:val="0"/>
                  <w:vAlign w:val="center"/>
                </w:tcPr>
                <w:p>
                  <w:pPr>
                    <w:pStyle w:val="176"/>
                    <w:bidi w:val="0"/>
                    <w:rPr>
                      <w:color w:val="auto"/>
                    </w:rPr>
                  </w:pPr>
                </w:p>
              </w:tc>
              <w:tc>
                <w:tcPr>
                  <w:tcW w:w="503" w:type="pct"/>
                  <w:noWrap w:val="0"/>
                  <w:vAlign w:val="center"/>
                </w:tcPr>
                <w:p>
                  <w:pPr>
                    <w:pStyle w:val="176"/>
                    <w:bidi w:val="0"/>
                    <w:rPr>
                      <w:color w:val="auto"/>
                    </w:rPr>
                  </w:pPr>
                  <w:r>
                    <w:rPr>
                      <w:color w:val="auto"/>
                    </w:rPr>
                    <w:t>其他环境风险防控要求</w:t>
                  </w:r>
                </w:p>
              </w:tc>
              <w:tc>
                <w:tcPr>
                  <w:tcW w:w="1835" w:type="pct"/>
                  <w:noWrap w:val="0"/>
                  <w:vAlign w:val="center"/>
                </w:tcPr>
                <w:p>
                  <w:pPr>
                    <w:pStyle w:val="176"/>
                    <w:bidi w:val="0"/>
                    <w:rPr>
                      <w:color w:val="auto"/>
                    </w:rPr>
                  </w:pPr>
                  <w:r>
                    <w:rPr>
                      <w:color w:val="auto"/>
                    </w:rPr>
                    <w:t>（1）现有涉及五类重金属的企业，严控污染物排放，限时整治或搬迁 （2）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应按相关要求进行土壤环境状况调查评估，符合相应规划用地土壤环境质量要求的地块，方可进入用地程序</w:t>
                  </w:r>
                </w:p>
              </w:tc>
              <w:tc>
                <w:tcPr>
                  <w:tcW w:w="962" w:type="pct"/>
                  <w:noWrap w:val="0"/>
                  <w:vAlign w:val="center"/>
                </w:tcPr>
                <w:p>
                  <w:pPr>
                    <w:pStyle w:val="176"/>
                    <w:bidi w:val="0"/>
                    <w:rPr>
                      <w:color w:val="auto"/>
                    </w:rPr>
                  </w:pPr>
                  <w:r>
                    <w:rPr>
                      <w:rFonts w:hint="eastAsia"/>
                      <w:color w:val="auto"/>
                    </w:rPr>
                    <w:t>本项目为宠物医院建设项目，</w:t>
                  </w:r>
                  <w:r>
                    <w:rPr>
                      <w:rFonts w:hint="eastAsia"/>
                      <w:color w:val="auto"/>
                      <w:lang w:eastAsia="zh-CN"/>
                    </w:rPr>
                    <w:t>项目</w:t>
                  </w:r>
                  <w:r>
                    <w:rPr>
                      <w:rFonts w:hint="eastAsia"/>
                      <w:color w:val="auto"/>
                    </w:rPr>
                    <w:t>已</w:t>
                  </w:r>
                  <w:r>
                    <w:rPr>
                      <w:rFonts w:hint="eastAsia"/>
                      <w:color w:val="auto"/>
                      <w:lang w:eastAsia="zh-CN"/>
                    </w:rPr>
                    <w:t>基本</w:t>
                  </w:r>
                  <w:r>
                    <w:rPr>
                      <w:rFonts w:hint="eastAsia"/>
                      <w:color w:val="auto"/>
                    </w:rPr>
                    <w:t>建成，运营过程中不涉及重金属排放，项目用地为租用市中区城区临街商铺进行建设</w:t>
                  </w:r>
                </w:p>
              </w:tc>
              <w:tc>
                <w:tcPr>
                  <w:tcW w:w="365" w:type="pct"/>
                  <w:noWrap w:val="0"/>
                  <w:vAlign w:val="center"/>
                </w:tcPr>
                <w:p>
                  <w:pPr>
                    <w:pStyle w:val="176"/>
                    <w:bidi w:val="0"/>
                    <w:rPr>
                      <w:rFonts w:hint="eastAsia"/>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671" w:type="pct"/>
                  <w:vMerge w:val="continue"/>
                  <w:noWrap w:val="0"/>
                  <w:vAlign w:val="center"/>
                </w:tcPr>
                <w:p>
                  <w:pPr>
                    <w:pStyle w:val="176"/>
                    <w:bidi w:val="0"/>
                    <w:rPr>
                      <w:color w:val="auto"/>
                    </w:rPr>
                  </w:pPr>
                </w:p>
              </w:tc>
              <w:tc>
                <w:tcPr>
                  <w:tcW w:w="278" w:type="pct"/>
                  <w:vMerge w:val="continue"/>
                  <w:noWrap w:val="0"/>
                  <w:vAlign w:val="center"/>
                </w:tcPr>
                <w:p>
                  <w:pPr>
                    <w:pStyle w:val="176"/>
                    <w:bidi w:val="0"/>
                    <w:rPr>
                      <w:color w:val="auto"/>
                    </w:rPr>
                  </w:pPr>
                </w:p>
              </w:tc>
              <w:tc>
                <w:tcPr>
                  <w:tcW w:w="383" w:type="pct"/>
                  <w:vMerge w:val="restart"/>
                  <w:noWrap w:val="0"/>
                  <w:vAlign w:val="center"/>
                </w:tcPr>
                <w:p>
                  <w:pPr>
                    <w:pStyle w:val="176"/>
                    <w:bidi w:val="0"/>
                    <w:rPr>
                      <w:color w:val="auto"/>
                    </w:rPr>
                  </w:pPr>
                  <w:r>
                    <w:rPr>
                      <w:color w:val="auto"/>
                    </w:rPr>
                    <w:t>资源开发利用效率</w:t>
                  </w:r>
                </w:p>
              </w:tc>
              <w:tc>
                <w:tcPr>
                  <w:tcW w:w="503" w:type="pct"/>
                  <w:noWrap w:val="0"/>
                  <w:vAlign w:val="center"/>
                </w:tcPr>
                <w:p>
                  <w:pPr>
                    <w:pStyle w:val="176"/>
                    <w:bidi w:val="0"/>
                    <w:rPr>
                      <w:color w:val="auto"/>
                    </w:rPr>
                  </w:pPr>
                  <w:r>
                    <w:rPr>
                      <w:color w:val="auto"/>
                    </w:rPr>
                    <w:t>水资源利用总量要求</w:t>
                  </w:r>
                </w:p>
              </w:tc>
              <w:tc>
                <w:tcPr>
                  <w:tcW w:w="1835" w:type="pct"/>
                  <w:noWrap w:val="0"/>
                  <w:vAlign w:val="center"/>
                </w:tcPr>
                <w:p>
                  <w:pPr>
                    <w:pStyle w:val="176"/>
                    <w:bidi w:val="0"/>
                    <w:rPr>
                      <w:color w:val="auto"/>
                    </w:rPr>
                  </w:pPr>
                  <w:r>
                    <w:rPr>
                      <w:color w:val="auto"/>
                    </w:rPr>
                    <w:t>（1）城镇园林绿化、河湖景观、环境卫生、消防等市政用水应当优先使用再生水、雨水等非常规水源</w:t>
                  </w:r>
                  <w:r>
                    <w:rPr>
                      <w:rFonts w:hint="eastAsia"/>
                      <w:color w:val="auto"/>
                    </w:rPr>
                    <w:t>；</w:t>
                  </w:r>
                  <w:r>
                    <w:rPr>
                      <w:color w:val="auto"/>
                    </w:rPr>
                    <w:t>鼓励园林绿化采用喷灌、微灌等高效节水灌溉方式</w:t>
                  </w:r>
                  <w:r>
                    <w:rPr>
                      <w:rFonts w:hint="eastAsia"/>
                      <w:color w:val="auto"/>
                    </w:rPr>
                    <w:t>；</w:t>
                  </w:r>
                  <w:r>
                    <w:rPr>
                      <w:color w:val="auto"/>
                    </w:rPr>
                    <w:t>洗浴、洗车、游泳场馆等场所应当采用低耗水、循环用水等节水技术、设备和设施</w:t>
                  </w:r>
                  <w:r>
                    <w:rPr>
                      <w:rFonts w:hint="eastAsia"/>
                      <w:color w:val="auto"/>
                    </w:rPr>
                    <w:t>；</w:t>
                  </w:r>
                  <w:r>
                    <w:rPr>
                      <w:color w:val="auto"/>
                    </w:rPr>
                    <w:t>餐饮、娱乐、宾馆等服务型企业应当优先采用节水型器具和设备，逐步淘汰耗水量高的用水器具和设备（2）鼓励生活污水再生利用设施建设、鼓励经处理符合使用条件的生活污水用于城市杂用、工业生产、景观用水、河道补水等方面，提高生活污水再生利用效率</w:t>
                  </w:r>
                </w:p>
              </w:tc>
              <w:tc>
                <w:tcPr>
                  <w:tcW w:w="962" w:type="pct"/>
                  <w:noWrap w:val="0"/>
                  <w:vAlign w:val="center"/>
                </w:tcPr>
                <w:p>
                  <w:pPr>
                    <w:pStyle w:val="176"/>
                    <w:bidi w:val="0"/>
                    <w:rPr>
                      <w:color w:val="auto"/>
                    </w:rPr>
                  </w:pPr>
                  <w:r>
                    <w:rPr>
                      <w:rFonts w:hint="eastAsia"/>
                      <w:color w:val="auto"/>
                    </w:rPr>
                    <w:t>本项目为宠物医院建设项目，用水环节主要为职工生活用水、宠物医疗用水和地面清洁用水，综合年用水量较小</w:t>
                  </w:r>
                </w:p>
              </w:tc>
              <w:tc>
                <w:tcPr>
                  <w:tcW w:w="365" w:type="pct"/>
                  <w:noWrap w:val="0"/>
                  <w:vAlign w:val="center"/>
                </w:tcPr>
                <w:p>
                  <w:pPr>
                    <w:pStyle w:val="176"/>
                    <w:bidi w:val="0"/>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71" w:type="pct"/>
                  <w:vMerge w:val="continue"/>
                  <w:noWrap w:val="0"/>
                  <w:vAlign w:val="center"/>
                </w:tcPr>
                <w:p>
                  <w:pPr>
                    <w:pStyle w:val="176"/>
                    <w:bidi w:val="0"/>
                    <w:rPr>
                      <w:color w:val="auto"/>
                    </w:rPr>
                  </w:pPr>
                </w:p>
              </w:tc>
              <w:tc>
                <w:tcPr>
                  <w:tcW w:w="278" w:type="pct"/>
                  <w:vMerge w:val="continue"/>
                  <w:noWrap w:val="0"/>
                  <w:vAlign w:val="center"/>
                </w:tcPr>
                <w:p>
                  <w:pPr>
                    <w:pStyle w:val="176"/>
                    <w:bidi w:val="0"/>
                    <w:rPr>
                      <w:color w:val="auto"/>
                    </w:rPr>
                  </w:pPr>
                </w:p>
              </w:tc>
              <w:tc>
                <w:tcPr>
                  <w:tcW w:w="383" w:type="pct"/>
                  <w:vMerge w:val="continue"/>
                  <w:noWrap w:val="0"/>
                  <w:vAlign w:val="center"/>
                </w:tcPr>
                <w:p>
                  <w:pPr>
                    <w:pStyle w:val="176"/>
                    <w:bidi w:val="0"/>
                    <w:rPr>
                      <w:color w:val="auto"/>
                    </w:rPr>
                  </w:pPr>
                </w:p>
              </w:tc>
              <w:tc>
                <w:tcPr>
                  <w:tcW w:w="503" w:type="pct"/>
                  <w:noWrap w:val="0"/>
                  <w:vAlign w:val="center"/>
                </w:tcPr>
                <w:p>
                  <w:pPr>
                    <w:pStyle w:val="176"/>
                    <w:bidi w:val="0"/>
                    <w:rPr>
                      <w:color w:val="auto"/>
                    </w:rPr>
                  </w:pPr>
                  <w:r>
                    <w:rPr>
                      <w:color w:val="auto"/>
                    </w:rPr>
                    <w:t>地下水开采要求</w:t>
                  </w:r>
                </w:p>
              </w:tc>
              <w:tc>
                <w:tcPr>
                  <w:tcW w:w="1835" w:type="pct"/>
                  <w:noWrap w:val="0"/>
                  <w:vAlign w:val="center"/>
                </w:tcPr>
                <w:p>
                  <w:pPr>
                    <w:pStyle w:val="176"/>
                    <w:bidi w:val="0"/>
                    <w:rPr>
                      <w:rFonts w:hint="eastAsia"/>
                      <w:color w:val="auto"/>
                    </w:rPr>
                  </w:pPr>
                  <w:r>
                    <w:rPr>
                      <w:rFonts w:hint="eastAsia"/>
                      <w:color w:val="auto"/>
                    </w:rPr>
                    <w:t>/</w:t>
                  </w:r>
                </w:p>
              </w:tc>
              <w:tc>
                <w:tcPr>
                  <w:tcW w:w="962" w:type="pct"/>
                  <w:noWrap w:val="0"/>
                  <w:vAlign w:val="center"/>
                </w:tcPr>
                <w:p>
                  <w:pPr>
                    <w:pStyle w:val="176"/>
                    <w:bidi w:val="0"/>
                    <w:rPr>
                      <w:rFonts w:hint="eastAsia"/>
                      <w:color w:val="auto"/>
                    </w:rPr>
                  </w:pPr>
                  <w:r>
                    <w:rPr>
                      <w:rFonts w:hint="eastAsia"/>
                      <w:color w:val="auto"/>
                    </w:rPr>
                    <w:t>/</w:t>
                  </w:r>
                </w:p>
              </w:tc>
              <w:tc>
                <w:tcPr>
                  <w:tcW w:w="365" w:type="pct"/>
                  <w:noWrap w:val="0"/>
                  <w:vAlign w:val="center"/>
                </w:tcPr>
                <w:p>
                  <w:pPr>
                    <w:pStyle w:val="176"/>
                    <w:bidi w:val="0"/>
                    <w:rPr>
                      <w:rFonts w:hint="eastAsia"/>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1" w:type="pct"/>
                  <w:vMerge w:val="continue"/>
                  <w:noWrap w:val="0"/>
                  <w:vAlign w:val="center"/>
                </w:tcPr>
                <w:p>
                  <w:pPr>
                    <w:pStyle w:val="176"/>
                    <w:bidi w:val="0"/>
                    <w:rPr>
                      <w:color w:val="auto"/>
                    </w:rPr>
                  </w:pPr>
                </w:p>
              </w:tc>
              <w:tc>
                <w:tcPr>
                  <w:tcW w:w="278" w:type="pct"/>
                  <w:vMerge w:val="continue"/>
                  <w:noWrap w:val="0"/>
                  <w:vAlign w:val="center"/>
                </w:tcPr>
                <w:p>
                  <w:pPr>
                    <w:pStyle w:val="176"/>
                    <w:bidi w:val="0"/>
                    <w:rPr>
                      <w:color w:val="auto"/>
                    </w:rPr>
                  </w:pPr>
                </w:p>
              </w:tc>
              <w:tc>
                <w:tcPr>
                  <w:tcW w:w="383" w:type="pct"/>
                  <w:vMerge w:val="continue"/>
                  <w:noWrap w:val="0"/>
                  <w:vAlign w:val="center"/>
                </w:tcPr>
                <w:p>
                  <w:pPr>
                    <w:pStyle w:val="176"/>
                    <w:bidi w:val="0"/>
                    <w:rPr>
                      <w:color w:val="auto"/>
                    </w:rPr>
                  </w:pPr>
                </w:p>
              </w:tc>
              <w:tc>
                <w:tcPr>
                  <w:tcW w:w="503" w:type="pct"/>
                  <w:noWrap w:val="0"/>
                  <w:vAlign w:val="center"/>
                </w:tcPr>
                <w:p>
                  <w:pPr>
                    <w:pStyle w:val="176"/>
                    <w:bidi w:val="0"/>
                    <w:rPr>
                      <w:color w:val="auto"/>
                    </w:rPr>
                  </w:pPr>
                  <w:r>
                    <w:rPr>
                      <w:color w:val="auto"/>
                    </w:rPr>
                    <w:t>能源利用总量及效率要求</w:t>
                  </w:r>
                </w:p>
              </w:tc>
              <w:tc>
                <w:tcPr>
                  <w:tcW w:w="1835" w:type="pct"/>
                  <w:noWrap w:val="0"/>
                  <w:vAlign w:val="center"/>
                </w:tcPr>
                <w:p>
                  <w:pPr>
                    <w:pStyle w:val="176"/>
                    <w:bidi w:val="0"/>
                    <w:rPr>
                      <w:color w:val="auto"/>
                    </w:rPr>
                  </w:pPr>
                  <w:r>
                    <w:rPr>
                      <w:color w:val="auto"/>
                    </w:rPr>
                    <w:t>（1）依据大气污染治理和环境改善的目标，强化区域能源结构优化调整，科学合理地进行分阶段、分区域禁煤（2）实施煤炭消费总量控制：严格控制煤炭消费总量</w:t>
                  </w:r>
                  <w:r>
                    <w:rPr>
                      <w:rFonts w:hint="eastAsia"/>
                      <w:color w:val="auto"/>
                    </w:rPr>
                    <w:t>；</w:t>
                  </w:r>
                  <w:r>
                    <w:rPr>
                      <w:color w:val="auto"/>
                    </w:rPr>
                    <w:t>   严格控制新建、改建、扩建耗煤项目，新增耗煤项目实行当年煤炭消耗减量倍量替代</w:t>
                  </w:r>
                </w:p>
              </w:tc>
              <w:tc>
                <w:tcPr>
                  <w:tcW w:w="962" w:type="pct"/>
                  <w:noWrap w:val="0"/>
                  <w:vAlign w:val="center"/>
                </w:tcPr>
                <w:p>
                  <w:pPr>
                    <w:pStyle w:val="176"/>
                    <w:bidi w:val="0"/>
                    <w:rPr>
                      <w:rFonts w:hint="eastAsia"/>
                      <w:color w:val="auto"/>
                    </w:rPr>
                  </w:pPr>
                  <w:r>
                    <w:rPr>
                      <w:rFonts w:hint="eastAsia"/>
                      <w:color w:val="auto"/>
                    </w:rPr>
                    <w:t>不涉及</w:t>
                  </w:r>
                </w:p>
              </w:tc>
              <w:tc>
                <w:tcPr>
                  <w:tcW w:w="365" w:type="pct"/>
                  <w:noWrap w:val="0"/>
                  <w:vAlign w:val="center"/>
                </w:tcPr>
                <w:p>
                  <w:pPr>
                    <w:pStyle w:val="176"/>
                    <w:bidi w:val="0"/>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671" w:type="pct"/>
                  <w:vMerge w:val="continue"/>
                  <w:noWrap w:val="0"/>
                  <w:vAlign w:val="center"/>
                </w:tcPr>
                <w:p>
                  <w:pPr>
                    <w:pStyle w:val="176"/>
                    <w:bidi w:val="0"/>
                    <w:rPr>
                      <w:color w:val="auto"/>
                    </w:rPr>
                  </w:pPr>
                </w:p>
              </w:tc>
              <w:tc>
                <w:tcPr>
                  <w:tcW w:w="278" w:type="pct"/>
                  <w:vMerge w:val="continue"/>
                  <w:noWrap w:val="0"/>
                  <w:vAlign w:val="center"/>
                </w:tcPr>
                <w:p>
                  <w:pPr>
                    <w:pStyle w:val="176"/>
                    <w:bidi w:val="0"/>
                    <w:rPr>
                      <w:color w:val="auto"/>
                    </w:rPr>
                  </w:pPr>
                </w:p>
              </w:tc>
              <w:tc>
                <w:tcPr>
                  <w:tcW w:w="383" w:type="pct"/>
                  <w:vMerge w:val="continue"/>
                  <w:noWrap w:val="0"/>
                  <w:vAlign w:val="center"/>
                </w:tcPr>
                <w:p>
                  <w:pPr>
                    <w:pStyle w:val="176"/>
                    <w:bidi w:val="0"/>
                    <w:rPr>
                      <w:color w:val="auto"/>
                    </w:rPr>
                  </w:pPr>
                </w:p>
              </w:tc>
              <w:tc>
                <w:tcPr>
                  <w:tcW w:w="503" w:type="pct"/>
                  <w:noWrap w:val="0"/>
                  <w:vAlign w:val="center"/>
                </w:tcPr>
                <w:p>
                  <w:pPr>
                    <w:pStyle w:val="176"/>
                    <w:bidi w:val="0"/>
                    <w:rPr>
                      <w:color w:val="auto"/>
                    </w:rPr>
                  </w:pPr>
                  <w:r>
                    <w:rPr>
                      <w:color w:val="auto"/>
                    </w:rPr>
                    <w:t>禁燃区要求</w:t>
                  </w:r>
                </w:p>
              </w:tc>
              <w:tc>
                <w:tcPr>
                  <w:tcW w:w="1835" w:type="pct"/>
                  <w:noWrap w:val="0"/>
                  <w:vAlign w:val="center"/>
                </w:tcPr>
                <w:p>
                  <w:pPr>
                    <w:pStyle w:val="176"/>
                    <w:bidi w:val="0"/>
                    <w:rPr>
                      <w:color w:val="auto"/>
                    </w:rPr>
                  </w:pPr>
                  <w:r>
                    <w:rPr>
                      <w:color w:val="auto"/>
                    </w:rPr>
                    <w:t>（1）禁燃区禁止审批（核准、备案）、新建、扩建燃用高污染燃料的锅炉、炉窑等各类燃用高污染燃料的设施（2）禁止在高污染燃料禁燃区销售、燃用各类高污染燃料</w:t>
                  </w:r>
                </w:p>
              </w:tc>
              <w:tc>
                <w:tcPr>
                  <w:tcW w:w="962" w:type="pct"/>
                  <w:noWrap w:val="0"/>
                  <w:vAlign w:val="center"/>
                </w:tcPr>
                <w:p>
                  <w:pPr>
                    <w:pStyle w:val="176"/>
                    <w:bidi w:val="0"/>
                    <w:rPr>
                      <w:rFonts w:hint="eastAsia"/>
                      <w:color w:val="auto"/>
                    </w:rPr>
                  </w:pPr>
                  <w:r>
                    <w:rPr>
                      <w:rFonts w:hint="eastAsia"/>
                      <w:color w:val="auto"/>
                    </w:rPr>
                    <w:t>不涉及</w:t>
                  </w:r>
                </w:p>
              </w:tc>
              <w:tc>
                <w:tcPr>
                  <w:tcW w:w="365" w:type="pct"/>
                  <w:noWrap w:val="0"/>
                  <w:vAlign w:val="center"/>
                </w:tcPr>
                <w:p>
                  <w:pPr>
                    <w:pStyle w:val="176"/>
                    <w:bidi w:val="0"/>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671" w:type="pct"/>
                  <w:vMerge w:val="continue"/>
                  <w:noWrap w:val="0"/>
                  <w:vAlign w:val="center"/>
                </w:tcPr>
                <w:p>
                  <w:pPr>
                    <w:pStyle w:val="176"/>
                    <w:bidi w:val="0"/>
                    <w:rPr>
                      <w:color w:val="auto"/>
                    </w:rPr>
                  </w:pPr>
                </w:p>
              </w:tc>
              <w:tc>
                <w:tcPr>
                  <w:tcW w:w="278" w:type="pct"/>
                  <w:vMerge w:val="continue"/>
                  <w:noWrap w:val="0"/>
                  <w:vAlign w:val="center"/>
                </w:tcPr>
                <w:p>
                  <w:pPr>
                    <w:pStyle w:val="176"/>
                    <w:bidi w:val="0"/>
                    <w:rPr>
                      <w:color w:val="auto"/>
                    </w:rPr>
                  </w:pPr>
                </w:p>
              </w:tc>
              <w:tc>
                <w:tcPr>
                  <w:tcW w:w="383" w:type="pct"/>
                  <w:vMerge w:val="continue"/>
                  <w:noWrap w:val="0"/>
                  <w:vAlign w:val="center"/>
                </w:tcPr>
                <w:p>
                  <w:pPr>
                    <w:pStyle w:val="176"/>
                    <w:bidi w:val="0"/>
                    <w:rPr>
                      <w:color w:val="auto"/>
                    </w:rPr>
                  </w:pPr>
                </w:p>
              </w:tc>
              <w:tc>
                <w:tcPr>
                  <w:tcW w:w="503" w:type="pct"/>
                  <w:noWrap w:val="0"/>
                  <w:vAlign w:val="center"/>
                </w:tcPr>
                <w:p>
                  <w:pPr>
                    <w:pStyle w:val="176"/>
                    <w:bidi w:val="0"/>
                    <w:rPr>
                      <w:color w:val="auto"/>
                    </w:rPr>
                  </w:pPr>
                  <w:r>
                    <w:rPr>
                      <w:color w:val="auto"/>
                    </w:rPr>
                    <w:t>其他资源利用效率要求</w:t>
                  </w:r>
                </w:p>
              </w:tc>
              <w:tc>
                <w:tcPr>
                  <w:tcW w:w="1835" w:type="pct"/>
                  <w:noWrap w:val="0"/>
                  <w:vAlign w:val="center"/>
                </w:tcPr>
                <w:p>
                  <w:pPr>
                    <w:pStyle w:val="176"/>
                    <w:bidi w:val="0"/>
                    <w:rPr>
                      <w:rFonts w:hint="eastAsia"/>
                      <w:color w:val="auto"/>
                    </w:rPr>
                  </w:pPr>
                  <w:r>
                    <w:rPr>
                      <w:rFonts w:hint="eastAsia"/>
                      <w:color w:val="auto"/>
                    </w:rPr>
                    <w:t>/</w:t>
                  </w:r>
                </w:p>
              </w:tc>
              <w:tc>
                <w:tcPr>
                  <w:tcW w:w="962" w:type="pct"/>
                  <w:noWrap w:val="0"/>
                  <w:vAlign w:val="center"/>
                </w:tcPr>
                <w:p>
                  <w:pPr>
                    <w:pStyle w:val="176"/>
                    <w:bidi w:val="0"/>
                    <w:rPr>
                      <w:rFonts w:hint="eastAsia"/>
                      <w:color w:val="auto"/>
                    </w:rPr>
                  </w:pPr>
                  <w:r>
                    <w:rPr>
                      <w:rFonts w:hint="eastAsia"/>
                      <w:color w:val="auto"/>
                    </w:rPr>
                    <w:t>/</w:t>
                  </w:r>
                </w:p>
              </w:tc>
              <w:tc>
                <w:tcPr>
                  <w:tcW w:w="365" w:type="pct"/>
                  <w:noWrap w:val="0"/>
                  <w:vAlign w:val="center"/>
                </w:tcPr>
                <w:p>
                  <w:pPr>
                    <w:pStyle w:val="176"/>
                    <w:bidi w:val="0"/>
                    <w:rPr>
                      <w:rFonts w:hint="eastAsia"/>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671" w:type="pct"/>
                  <w:vMerge w:val="continue"/>
                  <w:noWrap w:val="0"/>
                  <w:vAlign w:val="center"/>
                </w:tcPr>
                <w:p>
                  <w:pPr>
                    <w:pStyle w:val="176"/>
                    <w:bidi w:val="0"/>
                    <w:rPr>
                      <w:color w:val="auto"/>
                    </w:rPr>
                  </w:pPr>
                </w:p>
              </w:tc>
              <w:tc>
                <w:tcPr>
                  <w:tcW w:w="278" w:type="pct"/>
                  <w:vMerge w:val="restart"/>
                  <w:noWrap w:val="0"/>
                  <w:vAlign w:val="center"/>
                </w:tcPr>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p>
                <w:p>
                  <w:pPr>
                    <w:pStyle w:val="176"/>
                    <w:bidi w:val="0"/>
                    <w:rPr>
                      <w:color w:val="auto"/>
                    </w:rPr>
                  </w:pPr>
                  <w:r>
                    <w:rPr>
                      <w:color w:val="auto"/>
                    </w:rPr>
                    <w:t>单元级清单管控要求</w:t>
                  </w:r>
                </w:p>
              </w:tc>
              <w:tc>
                <w:tcPr>
                  <w:tcW w:w="383" w:type="pct"/>
                  <w:vMerge w:val="restart"/>
                  <w:noWrap w:val="0"/>
                  <w:vAlign w:val="center"/>
                </w:tcPr>
                <w:p>
                  <w:pPr>
                    <w:pStyle w:val="176"/>
                    <w:bidi w:val="0"/>
                    <w:rPr>
                      <w:color w:val="auto"/>
                    </w:rPr>
                  </w:pPr>
                  <w:r>
                    <w:rPr>
                      <w:color w:val="auto"/>
                    </w:rPr>
                    <w:t>空间布局约束</w:t>
                  </w:r>
                </w:p>
              </w:tc>
              <w:tc>
                <w:tcPr>
                  <w:tcW w:w="503" w:type="pct"/>
                  <w:noWrap w:val="0"/>
                  <w:vAlign w:val="center"/>
                </w:tcPr>
                <w:p>
                  <w:pPr>
                    <w:pStyle w:val="176"/>
                    <w:bidi w:val="0"/>
                    <w:rPr>
                      <w:color w:val="auto"/>
                    </w:rPr>
                  </w:pPr>
                  <w:r>
                    <w:rPr>
                      <w:color w:val="auto"/>
                    </w:rPr>
                    <w:t>禁止开发建设活动的要求</w:t>
                  </w:r>
                </w:p>
              </w:tc>
              <w:tc>
                <w:tcPr>
                  <w:tcW w:w="1835" w:type="pct"/>
                  <w:noWrap w:val="0"/>
                  <w:vAlign w:val="center"/>
                </w:tcPr>
                <w:p>
                  <w:pPr>
                    <w:pStyle w:val="176"/>
                    <w:bidi w:val="0"/>
                    <w:rPr>
                      <w:color w:val="auto"/>
                    </w:rPr>
                  </w:pPr>
                  <w:r>
                    <w:rPr>
                      <w:color w:val="auto"/>
                    </w:rPr>
                    <w:t>禁止在城镇用地布局规划确定的公共绿地、生态廊道内进行规模化建设开发，只允许必要的公共性园林式景观点状服务休闲设施建设2、其他执行乐山市城镇重点管控单元普适性总体准入要求</w:t>
                  </w:r>
                </w:p>
              </w:tc>
              <w:tc>
                <w:tcPr>
                  <w:tcW w:w="962" w:type="pct"/>
                  <w:noWrap w:val="0"/>
                  <w:vAlign w:val="center"/>
                </w:tcPr>
                <w:p>
                  <w:pPr>
                    <w:pStyle w:val="176"/>
                    <w:bidi w:val="0"/>
                    <w:rPr>
                      <w:rFonts w:hint="eastAsia"/>
                      <w:color w:val="auto"/>
                    </w:rPr>
                  </w:pPr>
                  <w:r>
                    <w:rPr>
                      <w:rFonts w:hint="eastAsia"/>
                      <w:color w:val="auto"/>
                    </w:rPr>
                    <w:t>本项目</w:t>
                  </w:r>
                  <w:r>
                    <w:rPr>
                      <w:rFonts w:hint="eastAsia"/>
                      <w:color w:val="auto"/>
                      <w:lang w:eastAsia="zh-CN"/>
                    </w:rPr>
                    <w:t>采用</w:t>
                  </w:r>
                  <w:r>
                    <w:rPr>
                      <w:rFonts w:hint="eastAsia"/>
                      <w:color w:val="auto"/>
                    </w:rPr>
                    <w:t>临街商铺进行项目的实施</w:t>
                  </w:r>
                </w:p>
              </w:tc>
              <w:tc>
                <w:tcPr>
                  <w:tcW w:w="365" w:type="pct"/>
                  <w:noWrap w:val="0"/>
                  <w:vAlign w:val="center"/>
                </w:tcPr>
                <w:p>
                  <w:pPr>
                    <w:pStyle w:val="176"/>
                    <w:bidi w:val="0"/>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671" w:type="pct"/>
                  <w:vMerge w:val="continue"/>
                  <w:noWrap w:val="0"/>
                  <w:vAlign w:val="center"/>
                </w:tcPr>
                <w:p>
                  <w:pPr>
                    <w:pStyle w:val="176"/>
                    <w:bidi w:val="0"/>
                    <w:rPr>
                      <w:color w:val="auto"/>
                    </w:rPr>
                  </w:pPr>
                </w:p>
              </w:tc>
              <w:tc>
                <w:tcPr>
                  <w:tcW w:w="278" w:type="pct"/>
                  <w:vMerge w:val="continue"/>
                  <w:noWrap w:val="0"/>
                  <w:vAlign w:val="center"/>
                </w:tcPr>
                <w:p>
                  <w:pPr>
                    <w:pStyle w:val="176"/>
                    <w:bidi w:val="0"/>
                    <w:rPr>
                      <w:color w:val="auto"/>
                    </w:rPr>
                  </w:pPr>
                </w:p>
              </w:tc>
              <w:tc>
                <w:tcPr>
                  <w:tcW w:w="383" w:type="pct"/>
                  <w:vMerge w:val="continue"/>
                  <w:noWrap w:val="0"/>
                  <w:vAlign w:val="center"/>
                </w:tcPr>
                <w:p>
                  <w:pPr>
                    <w:pStyle w:val="176"/>
                    <w:bidi w:val="0"/>
                    <w:rPr>
                      <w:color w:val="auto"/>
                    </w:rPr>
                  </w:pPr>
                </w:p>
              </w:tc>
              <w:tc>
                <w:tcPr>
                  <w:tcW w:w="503" w:type="pct"/>
                  <w:noWrap w:val="0"/>
                  <w:vAlign w:val="center"/>
                </w:tcPr>
                <w:p>
                  <w:pPr>
                    <w:pStyle w:val="176"/>
                    <w:bidi w:val="0"/>
                    <w:rPr>
                      <w:color w:val="auto"/>
                    </w:rPr>
                  </w:pPr>
                  <w:r>
                    <w:rPr>
                      <w:color w:val="auto"/>
                    </w:rPr>
                    <w:t>限制开发建设活动的要求</w:t>
                  </w:r>
                </w:p>
              </w:tc>
              <w:tc>
                <w:tcPr>
                  <w:tcW w:w="1835" w:type="pct"/>
                  <w:noWrap w:val="0"/>
                  <w:vAlign w:val="center"/>
                </w:tcPr>
                <w:p>
                  <w:pPr>
                    <w:pStyle w:val="176"/>
                    <w:bidi w:val="0"/>
                    <w:rPr>
                      <w:color w:val="auto"/>
                    </w:rPr>
                  </w:pPr>
                  <w:r>
                    <w:rPr>
                      <w:color w:val="auto"/>
                    </w:rPr>
                    <w:t> 1、西进南拓、中心提升、优化西南、控制东部、完善北部 2、其他执行乐山市城镇重点管控单元普适性总体准入要求</w:t>
                  </w:r>
                </w:p>
              </w:tc>
              <w:tc>
                <w:tcPr>
                  <w:tcW w:w="962" w:type="pct"/>
                  <w:noWrap w:val="0"/>
                  <w:vAlign w:val="center"/>
                </w:tcPr>
                <w:p>
                  <w:pPr>
                    <w:pStyle w:val="176"/>
                    <w:bidi w:val="0"/>
                    <w:rPr>
                      <w:rFonts w:hint="eastAsia"/>
                      <w:color w:val="auto"/>
                    </w:rPr>
                  </w:pPr>
                  <w:r>
                    <w:rPr>
                      <w:rFonts w:hint="eastAsia"/>
                      <w:color w:val="auto"/>
                    </w:rPr>
                    <w:t>不涉及</w:t>
                  </w:r>
                </w:p>
              </w:tc>
              <w:tc>
                <w:tcPr>
                  <w:tcW w:w="365" w:type="pct"/>
                  <w:noWrap w:val="0"/>
                  <w:vAlign w:val="center"/>
                </w:tcPr>
                <w:p>
                  <w:pPr>
                    <w:pStyle w:val="176"/>
                    <w:bidi w:val="0"/>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671" w:type="pct"/>
                  <w:vMerge w:val="continue"/>
                  <w:noWrap w:val="0"/>
                  <w:vAlign w:val="center"/>
                </w:tcPr>
                <w:p>
                  <w:pPr>
                    <w:pStyle w:val="176"/>
                    <w:bidi w:val="0"/>
                    <w:rPr>
                      <w:color w:val="auto"/>
                    </w:rPr>
                  </w:pPr>
                </w:p>
              </w:tc>
              <w:tc>
                <w:tcPr>
                  <w:tcW w:w="278" w:type="pct"/>
                  <w:vMerge w:val="continue"/>
                  <w:noWrap w:val="0"/>
                  <w:vAlign w:val="center"/>
                </w:tcPr>
                <w:p>
                  <w:pPr>
                    <w:pStyle w:val="176"/>
                    <w:bidi w:val="0"/>
                    <w:rPr>
                      <w:color w:val="auto"/>
                    </w:rPr>
                  </w:pPr>
                </w:p>
              </w:tc>
              <w:tc>
                <w:tcPr>
                  <w:tcW w:w="383" w:type="pct"/>
                  <w:vMerge w:val="continue"/>
                  <w:noWrap w:val="0"/>
                  <w:vAlign w:val="center"/>
                </w:tcPr>
                <w:p>
                  <w:pPr>
                    <w:pStyle w:val="176"/>
                    <w:bidi w:val="0"/>
                    <w:rPr>
                      <w:color w:val="auto"/>
                    </w:rPr>
                  </w:pPr>
                </w:p>
              </w:tc>
              <w:tc>
                <w:tcPr>
                  <w:tcW w:w="503" w:type="pct"/>
                  <w:noWrap w:val="0"/>
                  <w:vAlign w:val="center"/>
                </w:tcPr>
                <w:p>
                  <w:pPr>
                    <w:pStyle w:val="176"/>
                    <w:bidi w:val="0"/>
                    <w:rPr>
                      <w:color w:val="auto"/>
                    </w:rPr>
                  </w:pPr>
                  <w:r>
                    <w:rPr>
                      <w:color w:val="auto"/>
                    </w:rPr>
                    <w:t>不符合空间布局要求活动的退出要求</w:t>
                  </w:r>
                </w:p>
              </w:tc>
              <w:tc>
                <w:tcPr>
                  <w:tcW w:w="1835" w:type="pct"/>
                  <w:noWrap w:val="0"/>
                  <w:vAlign w:val="center"/>
                </w:tcPr>
                <w:p>
                  <w:pPr>
                    <w:pStyle w:val="176"/>
                    <w:bidi w:val="0"/>
                    <w:rPr>
                      <w:color w:val="auto"/>
                    </w:rPr>
                  </w:pPr>
                  <w:r>
                    <w:rPr>
                      <w:color w:val="auto"/>
                    </w:rPr>
                    <w:t>  1、单元内既有合法手续的、且污染物排放和环境风险满足管控要求的企业可继续保留，不得新增污染物排放，并进一步加强监管</w:t>
                  </w:r>
                  <w:r>
                    <w:rPr>
                      <w:rFonts w:hint="eastAsia"/>
                      <w:color w:val="auto"/>
                    </w:rPr>
                    <w:t>；</w:t>
                  </w:r>
                  <w:r>
                    <w:rPr>
                      <w:color w:val="auto"/>
                    </w:rPr>
                    <w:t>否则限期进行整改，整改后任不能达到要求的，属地政府责令关停退出2、其他执行乐山市城镇重点管控单元普适性总体准入要求</w:t>
                  </w:r>
                </w:p>
              </w:tc>
              <w:tc>
                <w:tcPr>
                  <w:tcW w:w="962" w:type="pct"/>
                  <w:noWrap w:val="0"/>
                  <w:vAlign w:val="center"/>
                </w:tcPr>
                <w:p>
                  <w:pPr>
                    <w:pStyle w:val="176"/>
                    <w:bidi w:val="0"/>
                    <w:rPr>
                      <w:rFonts w:hint="eastAsia"/>
                      <w:color w:val="auto"/>
                    </w:rPr>
                  </w:pPr>
                  <w:r>
                    <w:rPr>
                      <w:rFonts w:hint="eastAsia"/>
                      <w:color w:val="auto"/>
                    </w:rPr>
                    <w:t>不涉及</w:t>
                  </w:r>
                </w:p>
              </w:tc>
              <w:tc>
                <w:tcPr>
                  <w:tcW w:w="365" w:type="pct"/>
                  <w:noWrap w:val="0"/>
                  <w:vAlign w:val="center"/>
                </w:tcPr>
                <w:p>
                  <w:pPr>
                    <w:pStyle w:val="176"/>
                    <w:bidi w:val="0"/>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671" w:type="pct"/>
                  <w:vMerge w:val="continue"/>
                  <w:noWrap w:val="0"/>
                  <w:vAlign w:val="center"/>
                </w:tcPr>
                <w:p>
                  <w:pPr>
                    <w:pStyle w:val="176"/>
                    <w:bidi w:val="0"/>
                    <w:rPr>
                      <w:color w:val="auto"/>
                    </w:rPr>
                  </w:pPr>
                </w:p>
              </w:tc>
              <w:tc>
                <w:tcPr>
                  <w:tcW w:w="278" w:type="pct"/>
                  <w:vMerge w:val="continue"/>
                  <w:noWrap w:val="0"/>
                  <w:vAlign w:val="center"/>
                </w:tcPr>
                <w:p>
                  <w:pPr>
                    <w:pStyle w:val="176"/>
                    <w:bidi w:val="0"/>
                    <w:rPr>
                      <w:color w:val="auto"/>
                    </w:rPr>
                  </w:pPr>
                </w:p>
              </w:tc>
              <w:tc>
                <w:tcPr>
                  <w:tcW w:w="383" w:type="pct"/>
                  <w:vMerge w:val="restart"/>
                  <w:noWrap w:val="0"/>
                  <w:vAlign w:val="center"/>
                </w:tcPr>
                <w:p>
                  <w:pPr>
                    <w:pStyle w:val="176"/>
                    <w:bidi w:val="0"/>
                    <w:rPr>
                      <w:color w:val="auto"/>
                    </w:rPr>
                  </w:pPr>
                  <w:r>
                    <w:rPr>
                      <w:color w:val="auto"/>
                    </w:rPr>
                    <w:t>污染物排放管控</w:t>
                  </w:r>
                </w:p>
              </w:tc>
              <w:tc>
                <w:tcPr>
                  <w:tcW w:w="503" w:type="pct"/>
                  <w:noWrap w:val="0"/>
                  <w:vAlign w:val="center"/>
                </w:tcPr>
                <w:p>
                  <w:pPr>
                    <w:pStyle w:val="176"/>
                    <w:bidi w:val="0"/>
                    <w:rPr>
                      <w:color w:val="auto"/>
                    </w:rPr>
                  </w:pPr>
                  <w:r>
                    <w:rPr>
                      <w:color w:val="auto"/>
                    </w:rPr>
                    <w:t>现有源提标升级改造</w:t>
                  </w:r>
                </w:p>
              </w:tc>
              <w:tc>
                <w:tcPr>
                  <w:tcW w:w="1835" w:type="pct"/>
                  <w:noWrap w:val="0"/>
                  <w:vAlign w:val="center"/>
                </w:tcPr>
                <w:p>
                  <w:pPr>
                    <w:pStyle w:val="176"/>
                    <w:bidi w:val="0"/>
                    <w:rPr>
                      <w:color w:val="auto"/>
                    </w:rPr>
                  </w:pPr>
                  <w:r>
                    <w:rPr>
                      <w:color w:val="auto"/>
                    </w:rPr>
                    <w:t>  执行乐山市城镇重点管控单元普适性总体准入要求;</w:t>
                  </w:r>
                </w:p>
              </w:tc>
              <w:tc>
                <w:tcPr>
                  <w:tcW w:w="962" w:type="pct"/>
                  <w:noWrap w:val="0"/>
                  <w:vAlign w:val="center"/>
                </w:tcPr>
                <w:p>
                  <w:pPr>
                    <w:pStyle w:val="176"/>
                    <w:bidi w:val="0"/>
                    <w:rPr>
                      <w:rFonts w:hint="eastAsia"/>
                      <w:color w:val="auto"/>
                    </w:rPr>
                  </w:pPr>
                  <w:r>
                    <w:rPr>
                      <w:rFonts w:hint="eastAsia"/>
                      <w:color w:val="auto"/>
                    </w:rPr>
                    <w:t>/</w:t>
                  </w:r>
                </w:p>
              </w:tc>
              <w:tc>
                <w:tcPr>
                  <w:tcW w:w="365" w:type="pct"/>
                  <w:noWrap w:val="0"/>
                  <w:vAlign w:val="center"/>
                </w:tcPr>
                <w:p>
                  <w:pPr>
                    <w:pStyle w:val="176"/>
                    <w:bidi w:val="0"/>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671" w:type="pct"/>
                  <w:vMerge w:val="continue"/>
                  <w:noWrap w:val="0"/>
                  <w:vAlign w:val="center"/>
                </w:tcPr>
                <w:p>
                  <w:pPr>
                    <w:pStyle w:val="176"/>
                    <w:bidi w:val="0"/>
                    <w:rPr>
                      <w:color w:val="auto"/>
                    </w:rPr>
                  </w:pPr>
                </w:p>
              </w:tc>
              <w:tc>
                <w:tcPr>
                  <w:tcW w:w="278" w:type="pct"/>
                  <w:vMerge w:val="continue"/>
                  <w:noWrap w:val="0"/>
                  <w:vAlign w:val="center"/>
                </w:tcPr>
                <w:p>
                  <w:pPr>
                    <w:pStyle w:val="176"/>
                    <w:bidi w:val="0"/>
                    <w:rPr>
                      <w:color w:val="auto"/>
                    </w:rPr>
                  </w:pPr>
                </w:p>
              </w:tc>
              <w:tc>
                <w:tcPr>
                  <w:tcW w:w="383" w:type="pct"/>
                  <w:vMerge w:val="continue"/>
                  <w:noWrap w:val="0"/>
                  <w:vAlign w:val="center"/>
                </w:tcPr>
                <w:p>
                  <w:pPr>
                    <w:pStyle w:val="176"/>
                    <w:bidi w:val="0"/>
                    <w:rPr>
                      <w:color w:val="auto"/>
                    </w:rPr>
                  </w:pPr>
                </w:p>
              </w:tc>
              <w:tc>
                <w:tcPr>
                  <w:tcW w:w="503" w:type="pct"/>
                  <w:noWrap w:val="0"/>
                  <w:vAlign w:val="center"/>
                </w:tcPr>
                <w:p>
                  <w:pPr>
                    <w:pStyle w:val="176"/>
                    <w:bidi w:val="0"/>
                    <w:rPr>
                      <w:color w:val="auto"/>
                    </w:rPr>
                  </w:pPr>
                  <w:r>
                    <w:rPr>
                      <w:color w:val="auto"/>
                    </w:rPr>
                    <w:t>新增源等量或倍量替代</w:t>
                  </w:r>
                </w:p>
              </w:tc>
              <w:tc>
                <w:tcPr>
                  <w:tcW w:w="1835" w:type="pct"/>
                  <w:noWrap w:val="0"/>
                  <w:vAlign w:val="center"/>
                </w:tcPr>
                <w:p>
                  <w:pPr>
                    <w:pStyle w:val="176"/>
                    <w:bidi w:val="0"/>
                    <w:rPr>
                      <w:color w:val="auto"/>
                    </w:rPr>
                  </w:pPr>
                  <w:r>
                    <w:rPr>
                      <w:color w:val="auto"/>
                    </w:rPr>
                    <w:t> 执行乐山市城镇重点管控单元普适性总体准入要求;</w:t>
                  </w:r>
                </w:p>
              </w:tc>
              <w:tc>
                <w:tcPr>
                  <w:tcW w:w="962" w:type="pct"/>
                  <w:noWrap w:val="0"/>
                  <w:vAlign w:val="center"/>
                </w:tcPr>
                <w:p>
                  <w:pPr>
                    <w:pStyle w:val="176"/>
                    <w:bidi w:val="0"/>
                    <w:rPr>
                      <w:rFonts w:hint="eastAsia"/>
                      <w:color w:val="auto"/>
                    </w:rPr>
                  </w:pPr>
                  <w:r>
                    <w:rPr>
                      <w:rFonts w:hint="eastAsia"/>
                      <w:color w:val="auto"/>
                    </w:rPr>
                    <w:t>/</w:t>
                  </w:r>
                </w:p>
              </w:tc>
              <w:tc>
                <w:tcPr>
                  <w:tcW w:w="365" w:type="pct"/>
                  <w:noWrap w:val="0"/>
                  <w:vAlign w:val="center"/>
                </w:tcPr>
                <w:p>
                  <w:pPr>
                    <w:pStyle w:val="176"/>
                    <w:bidi w:val="0"/>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671" w:type="pct"/>
                  <w:vMerge w:val="continue"/>
                  <w:noWrap w:val="0"/>
                  <w:vAlign w:val="center"/>
                </w:tcPr>
                <w:p>
                  <w:pPr>
                    <w:pStyle w:val="176"/>
                    <w:bidi w:val="0"/>
                    <w:rPr>
                      <w:color w:val="auto"/>
                    </w:rPr>
                  </w:pPr>
                </w:p>
              </w:tc>
              <w:tc>
                <w:tcPr>
                  <w:tcW w:w="278" w:type="pct"/>
                  <w:vMerge w:val="continue"/>
                  <w:noWrap w:val="0"/>
                  <w:vAlign w:val="center"/>
                </w:tcPr>
                <w:p>
                  <w:pPr>
                    <w:pStyle w:val="176"/>
                    <w:bidi w:val="0"/>
                    <w:rPr>
                      <w:color w:val="auto"/>
                    </w:rPr>
                  </w:pPr>
                </w:p>
              </w:tc>
              <w:tc>
                <w:tcPr>
                  <w:tcW w:w="383" w:type="pct"/>
                  <w:vMerge w:val="continue"/>
                  <w:noWrap w:val="0"/>
                  <w:vAlign w:val="center"/>
                </w:tcPr>
                <w:p>
                  <w:pPr>
                    <w:pStyle w:val="176"/>
                    <w:bidi w:val="0"/>
                    <w:rPr>
                      <w:color w:val="auto"/>
                    </w:rPr>
                  </w:pPr>
                </w:p>
              </w:tc>
              <w:tc>
                <w:tcPr>
                  <w:tcW w:w="503" w:type="pct"/>
                  <w:noWrap w:val="0"/>
                  <w:vAlign w:val="center"/>
                </w:tcPr>
                <w:p>
                  <w:pPr>
                    <w:pStyle w:val="176"/>
                    <w:bidi w:val="0"/>
                    <w:rPr>
                      <w:color w:val="auto"/>
                    </w:rPr>
                  </w:pPr>
                  <w:r>
                    <w:rPr>
                      <w:color w:val="auto"/>
                    </w:rPr>
                    <w:t>污染物排放绩效水平准入要求</w:t>
                  </w:r>
                </w:p>
              </w:tc>
              <w:tc>
                <w:tcPr>
                  <w:tcW w:w="1835" w:type="pct"/>
                  <w:noWrap w:val="0"/>
                  <w:vAlign w:val="center"/>
                </w:tcPr>
                <w:p>
                  <w:pPr>
                    <w:pStyle w:val="176"/>
                    <w:bidi w:val="0"/>
                    <w:rPr>
                      <w:color w:val="auto"/>
                    </w:rPr>
                  </w:pPr>
                  <w:r>
                    <w:rPr>
                      <w:color w:val="auto"/>
                    </w:rPr>
                    <w:t> 执行乐山市城镇重点管控单元普适性总体准入要求;</w:t>
                  </w:r>
                </w:p>
              </w:tc>
              <w:tc>
                <w:tcPr>
                  <w:tcW w:w="962" w:type="pct"/>
                  <w:noWrap w:val="0"/>
                  <w:vAlign w:val="center"/>
                </w:tcPr>
                <w:p>
                  <w:pPr>
                    <w:pStyle w:val="176"/>
                    <w:bidi w:val="0"/>
                    <w:rPr>
                      <w:rFonts w:hint="eastAsia"/>
                      <w:color w:val="auto"/>
                    </w:rPr>
                  </w:pPr>
                  <w:r>
                    <w:rPr>
                      <w:rFonts w:hint="eastAsia"/>
                      <w:color w:val="auto"/>
                    </w:rPr>
                    <w:t>/</w:t>
                  </w:r>
                </w:p>
              </w:tc>
              <w:tc>
                <w:tcPr>
                  <w:tcW w:w="365" w:type="pct"/>
                  <w:noWrap w:val="0"/>
                  <w:vAlign w:val="center"/>
                </w:tcPr>
                <w:p>
                  <w:pPr>
                    <w:pStyle w:val="176"/>
                    <w:bidi w:val="0"/>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1" w:type="pct"/>
                  <w:vMerge w:val="continue"/>
                  <w:noWrap w:val="0"/>
                  <w:vAlign w:val="center"/>
                </w:tcPr>
                <w:p>
                  <w:pPr>
                    <w:pStyle w:val="176"/>
                    <w:bidi w:val="0"/>
                    <w:rPr>
                      <w:color w:val="auto"/>
                    </w:rPr>
                  </w:pPr>
                </w:p>
              </w:tc>
              <w:tc>
                <w:tcPr>
                  <w:tcW w:w="278" w:type="pct"/>
                  <w:vMerge w:val="continue"/>
                  <w:noWrap w:val="0"/>
                  <w:vAlign w:val="center"/>
                </w:tcPr>
                <w:p>
                  <w:pPr>
                    <w:pStyle w:val="176"/>
                    <w:bidi w:val="0"/>
                    <w:rPr>
                      <w:color w:val="auto"/>
                    </w:rPr>
                  </w:pPr>
                </w:p>
              </w:tc>
              <w:tc>
                <w:tcPr>
                  <w:tcW w:w="383" w:type="pct"/>
                  <w:vMerge w:val="restart"/>
                  <w:noWrap w:val="0"/>
                  <w:vAlign w:val="center"/>
                </w:tcPr>
                <w:p>
                  <w:pPr>
                    <w:pStyle w:val="176"/>
                    <w:bidi w:val="0"/>
                    <w:rPr>
                      <w:color w:val="auto"/>
                    </w:rPr>
                  </w:pPr>
                  <w:r>
                    <w:rPr>
                      <w:color w:val="auto"/>
                    </w:rPr>
                    <w:t>环境风险防控</w:t>
                  </w:r>
                </w:p>
              </w:tc>
              <w:tc>
                <w:tcPr>
                  <w:tcW w:w="503" w:type="pct"/>
                  <w:noWrap w:val="0"/>
                  <w:vAlign w:val="center"/>
                </w:tcPr>
                <w:p>
                  <w:pPr>
                    <w:pStyle w:val="176"/>
                    <w:bidi w:val="0"/>
                    <w:rPr>
                      <w:color w:val="auto"/>
                    </w:rPr>
                  </w:pPr>
                  <w:r>
                    <w:rPr>
                      <w:color w:val="auto"/>
                    </w:rPr>
                    <w:t>企业环境风险防控要求</w:t>
                  </w:r>
                </w:p>
              </w:tc>
              <w:tc>
                <w:tcPr>
                  <w:tcW w:w="1835" w:type="pct"/>
                  <w:noWrap w:val="0"/>
                  <w:vAlign w:val="center"/>
                </w:tcPr>
                <w:p>
                  <w:pPr>
                    <w:pStyle w:val="176"/>
                    <w:bidi w:val="0"/>
                    <w:rPr>
                      <w:color w:val="auto"/>
                    </w:rPr>
                  </w:pPr>
                  <w:r>
                    <w:rPr>
                      <w:color w:val="auto"/>
                    </w:rPr>
                    <w:t>   1、加强涉危涉化企业管控，严控环境风险2、其他执行乐山市城镇重点管控单元普适性总体准入要求</w:t>
                  </w:r>
                </w:p>
              </w:tc>
              <w:tc>
                <w:tcPr>
                  <w:tcW w:w="962" w:type="pct"/>
                  <w:noWrap w:val="0"/>
                  <w:vAlign w:val="center"/>
                </w:tcPr>
                <w:p>
                  <w:pPr>
                    <w:pStyle w:val="176"/>
                    <w:bidi w:val="0"/>
                    <w:rPr>
                      <w:rFonts w:hint="eastAsia"/>
                      <w:color w:val="auto"/>
                    </w:rPr>
                  </w:pPr>
                  <w:r>
                    <w:rPr>
                      <w:rFonts w:hint="eastAsia"/>
                      <w:color w:val="auto"/>
                    </w:rPr>
                    <w:t>不属于涉危和涉化企业</w:t>
                  </w:r>
                </w:p>
              </w:tc>
              <w:tc>
                <w:tcPr>
                  <w:tcW w:w="365" w:type="pct"/>
                  <w:noWrap w:val="0"/>
                  <w:vAlign w:val="center"/>
                </w:tcPr>
                <w:p>
                  <w:pPr>
                    <w:pStyle w:val="176"/>
                    <w:bidi w:val="0"/>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671" w:type="pct"/>
                  <w:vMerge w:val="continue"/>
                  <w:noWrap w:val="0"/>
                  <w:vAlign w:val="center"/>
                </w:tcPr>
                <w:p>
                  <w:pPr>
                    <w:pStyle w:val="176"/>
                    <w:bidi w:val="0"/>
                    <w:rPr>
                      <w:color w:val="auto"/>
                    </w:rPr>
                  </w:pPr>
                </w:p>
              </w:tc>
              <w:tc>
                <w:tcPr>
                  <w:tcW w:w="278" w:type="pct"/>
                  <w:vMerge w:val="continue"/>
                  <w:noWrap w:val="0"/>
                  <w:vAlign w:val="center"/>
                </w:tcPr>
                <w:p>
                  <w:pPr>
                    <w:pStyle w:val="176"/>
                    <w:bidi w:val="0"/>
                    <w:rPr>
                      <w:color w:val="auto"/>
                    </w:rPr>
                  </w:pPr>
                </w:p>
              </w:tc>
              <w:tc>
                <w:tcPr>
                  <w:tcW w:w="383" w:type="pct"/>
                  <w:vMerge w:val="continue"/>
                  <w:noWrap w:val="0"/>
                  <w:vAlign w:val="center"/>
                </w:tcPr>
                <w:p>
                  <w:pPr>
                    <w:pStyle w:val="176"/>
                    <w:bidi w:val="0"/>
                    <w:rPr>
                      <w:color w:val="auto"/>
                    </w:rPr>
                  </w:pPr>
                </w:p>
              </w:tc>
              <w:tc>
                <w:tcPr>
                  <w:tcW w:w="503" w:type="pct"/>
                  <w:noWrap w:val="0"/>
                  <w:vAlign w:val="center"/>
                </w:tcPr>
                <w:p>
                  <w:pPr>
                    <w:pStyle w:val="176"/>
                    <w:bidi w:val="0"/>
                    <w:rPr>
                      <w:color w:val="auto"/>
                    </w:rPr>
                  </w:pPr>
                  <w:r>
                    <w:rPr>
                      <w:color w:val="auto"/>
                    </w:rPr>
                    <w:t>其他环境风险防控要求</w:t>
                  </w:r>
                </w:p>
              </w:tc>
              <w:tc>
                <w:tcPr>
                  <w:tcW w:w="1835" w:type="pct"/>
                  <w:noWrap w:val="0"/>
                  <w:vAlign w:val="center"/>
                </w:tcPr>
                <w:p>
                  <w:pPr>
                    <w:pStyle w:val="176"/>
                    <w:bidi w:val="0"/>
                    <w:rPr>
                      <w:color w:val="auto"/>
                    </w:rPr>
                  </w:pPr>
                  <w:r>
                    <w:rPr>
                      <w:color w:val="auto"/>
                    </w:rPr>
                    <w:t> 执行乐山市城镇重点管控单元普适性总体准入要求</w:t>
                  </w:r>
                </w:p>
              </w:tc>
              <w:tc>
                <w:tcPr>
                  <w:tcW w:w="962" w:type="pct"/>
                  <w:noWrap w:val="0"/>
                  <w:vAlign w:val="center"/>
                </w:tcPr>
                <w:p>
                  <w:pPr>
                    <w:pStyle w:val="176"/>
                    <w:bidi w:val="0"/>
                    <w:rPr>
                      <w:rFonts w:hint="eastAsia"/>
                      <w:color w:val="auto"/>
                    </w:rPr>
                  </w:pPr>
                  <w:r>
                    <w:rPr>
                      <w:rFonts w:hint="eastAsia"/>
                      <w:color w:val="auto"/>
                    </w:rPr>
                    <w:t>/</w:t>
                  </w:r>
                </w:p>
              </w:tc>
              <w:tc>
                <w:tcPr>
                  <w:tcW w:w="365" w:type="pct"/>
                  <w:noWrap w:val="0"/>
                  <w:vAlign w:val="center"/>
                </w:tcPr>
                <w:p>
                  <w:pPr>
                    <w:pStyle w:val="176"/>
                    <w:bidi w:val="0"/>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71" w:type="pct"/>
                  <w:vMerge w:val="continue"/>
                  <w:noWrap w:val="0"/>
                  <w:vAlign w:val="center"/>
                </w:tcPr>
                <w:p>
                  <w:pPr>
                    <w:pStyle w:val="176"/>
                    <w:bidi w:val="0"/>
                    <w:rPr>
                      <w:color w:val="auto"/>
                    </w:rPr>
                  </w:pPr>
                </w:p>
              </w:tc>
              <w:tc>
                <w:tcPr>
                  <w:tcW w:w="278" w:type="pct"/>
                  <w:vMerge w:val="continue"/>
                  <w:noWrap w:val="0"/>
                  <w:vAlign w:val="center"/>
                </w:tcPr>
                <w:p>
                  <w:pPr>
                    <w:pStyle w:val="176"/>
                    <w:bidi w:val="0"/>
                    <w:rPr>
                      <w:color w:val="auto"/>
                    </w:rPr>
                  </w:pPr>
                </w:p>
              </w:tc>
              <w:tc>
                <w:tcPr>
                  <w:tcW w:w="383" w:type="pct"/>
                  <w:vMerge w:val="restart"/>
                  <w:noWrap w:val="0"/>
                  <w:vAlign w:val="center"/>
                </w:tcPr>
                <w:p>
                  <w:pPr>
                    <w:pStyle w:val="176"/>
                    <w:bidi w:val="0"/>
                    <w:rPr>
                      <w:color w:val="auto"/>
                    </w:rPr>
                  </w:pPr>
                  <w:r>
                    <w:rPr>
                      <w:color w:val="auto"/>
                    </w:rPr>
                    <w:t>资源开发利用效率</w:t>
                  </w:r>
                </w:p>
              </w:tc>
              <w:tc>
                <w:tcPr>
                  <w:tcW w:w="503" w:type="pct"/>
                  <w:noWrap w:val="0"/>
                  <w:vAlign w:val="center"/>
                </w:tcPr>
                <w:p>
                  <w:pPr>
                    <w:pStyle w:val="176"/>
                    <w:bidi w:val="0"/>
                    <w:rPr>
                      <w:color w:val="auto"/>
                    </w:rPr>
                  </w:pPr>
                  <w:r>
                    <w:rPr>
                      <w:color w:val="auto"/>
                    </w:rPr>
                    <w:t>水资源利用效率要求</w:t>
                  </w:r>
                </w:p>
              </w:tc>
              <w:tc>
                <w:tcPr>
                  <w:tcW w:w="1835" w:type="pct"/>
                  <w:noWrap w:val="0"/>
                  <w:vAlign w:val="center"/>
                </w:tcPr>
                <w:p>
                  <w:pPr>
                    <w:pStyle w:val="176"/>
                    <w:bidi w:val="0"/>
                    <w:rPr>
                      <w:color w:val="auto"/>
                    </w:rPr>
                  </w:pPr>
                  <w:r>
                    <w:rPr>
                      <w:color w:val="auto"/>
                    </w:rPr>
                    <w:t> 执行乐山市城镇重点管控单元普适性总体准入要求</w:t>
                  </w:r>
                </w:p>
              </w:tc>
              <w:tc>
                <w:tcPr>
                  <w:tcW w:w="962" w:type="pct"/>
                  <w:noWrap w:val="0"/>
                  <w:vAlign w:val="center"/>
                </w:tcPr>
                <w:p>
                  <w:pPr>
                    <w:pStyle w:val="176"/>
                    <w:bidi w:val="0"/>
                    <w:rPr>
                      <w:rFonts w:hint="eastAsia"/>
                      <w:color w:val="auto"/>
                    </w:rPr>
                  </w:pPr>
                  <w:r>
                    <w:rPr>
                      <w:rFonts w:hint="eastAsia"/>
                      <w:color w:val="auto"/>
                    </w:rPr>
                    <w:t>/</w:t>
                  </w:r>
                </w:p>
              </w:tc>
              <w:tc>
                <w:tcPr>
                  <w:tcW w:w="365" w:type="pct"/>
                  <w:noWrap w:val="0"/>
                  <w:vAlign w:val="center"/>
                </w:tcPr>
                <w:p>
                  <w:pPr>
                    <w:pStyle w:val="176"/>
                    <w:bidi w:val="0"/>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671" w:type="pct"/>
                  <w:vMerge w:val="continue"/>
                  <w:noWrap w:val="0"/>
                  <w:vAlign w:val="center"/>
                </w:tcPr>
                <w:p>
                  <w:pPr>
                    <w:pStyle w:val="176"/>
                    <w:bidi w:val="0"/>
                    <w:rPr>
                      <w:color w:val="auto"/>
                    </w:rPr>
                  </w:pPr>
                </w:p>
              </w:tc>
              <w:tc>
                <w:tcPr>
                  <w:tcW w:w="278" w:type="pct"/>
                  <w:vMerge w:val="continue"/>
                  <w:noWrap w:val="0"/>
                  <w:vAlign w:val="center"/>
                </w:tcPr>
                <w:p>
                  <w:pPr>
                    <w:pStyle w:val="176"/>
                    <w:bidi w:val="0"/>
                    <w:rPr>
                      <w:color w:val="auto"/>
                    </w:rPr>
                  </w:pPr>
                </w:p>
              </w:tc>
              <w:tc>
                <w:tcPr>
                  <w:tcW w:w="383" w:type="pct"/>
                  <w:vMerge w:val="continue"/>
                  <w:noWrap w:val="0"/>
                  <w:vAlign w:val="center"/>
                </w:tcPr>
                <w:p>
                  <w:pPr>
                    <w:pStyle w:val="176"/>
                    <w:bidi w:val="0"/>
                    <w:rPr>
                      <w:color w:val="auto"/>
                    </w:rPr>
                  </w:pPr>
                </w:p>
              </w:tc>
              <w:tc>
                <w:tcPr>
                  <w:tcW w:w="503" w:type="pct"/>
                  <w:noWrap w:val="0"/>
                  <w:vAlign w:val="center"/>
                </w:tcPr>
                <w:p>
                  <w:pPr>
                    <w:pStyle w:val="176"/>
                    <w:bidi w:val="0"/>
                    <w:rPr>
                      <w:color w:val="auto"/>
                    </w:rPr>
                  </w:pPr>
                  <w:r>
                    <w:rPr>
                      <w:color w:val="auto"/>
                    </w:rPr>
                    <w:t>能源利用效率要求</w:t>
                  </w:r>
                </w:p>
              </w:tc>
              <w:tc>
                <w:tcPr>
                  <w:tcW w:w="1835" w:type="pct"/>
                  <w:noWrap w:val="0"/>
                  <w:vAlign w:val="center"/>
                </w:tcPr>
                <w:p>
                  <w:pPr>
                    <w:pStyle w:val="176"/>
                    <w:bidi w:val="0"/>
                    <w:rPr>
                      <w:color w:val="auto"/>
                    </w:rPr>
                  </w:pPr>
                  <w:r>
                    <w:rPr>
                      <w:color w:val="auto"/>
                    </w:rPr>
                    <w:t>   1、禁燃区内禁止审批（核准、备案）、新建、扩建燃用高污染燃料的锅炉、炉窑等各类燃用高污染燃料的设施  2、其他执行乐山市城镇重点管控单元普适性总体准入要求</w:t>
                  </w:r>
                </w:p>
              </w:tc>
              <w:tc>
                <w:tcPr>
                  <w:tcW w:w="962" w:type="pct"/>
                  <w:noWrap w:val="0"/>
                  <w:vAlign w:val="center"/>
                </w:tcPr>
                <w:p>
                  <w:pPr>
                    <w:pStyle w:val="176"/>
                    <w:bidi w:val="0"/>
                    <w:rPr>
                      <w:rFonts w:hint="eastAsia"/>
                      <w:color w:val="auto"/>
                    </w:rPr>
                  </w:pPr>
                  <w:r>
                    <w:rPr>
                      <w:rFonts w:hint="eastAsia"/>
                      <w:color w:val="auto"/>
                    </w:rPr>
                    <w:t>不涉及</w:t>
                  </w:r>
                </w:p>
              </w:tc>
              <w:tc>
                <w:tcPr>
                  <w:tcW w:w="365" w:type="pct"/>
                  <w:noWrap w:val="0"/>
                  <w:vAlign w:val="center"/>
                </w:tcPr>
                <w:p>
                  <w:pPr>
                    <w:pStyle w:val="176"/>
                    <w:bidi w:val="0"/>
                    <w:rPr>
                      <w:color w:val="auto"/>
                    </w:rPr>
                  </w:pPr>
                  <w:r>
                    <w:rPr>
                      <w:rFonts w:hint="eastAsia"/>
                      <w:color w:val="auto"/>
                    </w:rPr>
                    <w:t>符合</w:t>
                  </w:r>
                </w:p>
              </w:tc>
            </w:tr>
          </w:tbl>
          <w:p>
            <w:pPr>
              <w:pStyle w:val="110"/>
              <w:bidi w:val="0"/>
              <w:rPr>
                <w:color w:val="auto"/>
              </w:rPr>
            </w:pPr>
            <w:r>
              <w:rPr>
                <w:color w:val="auto"/>
              </w:rPr>
              <w:t>本项目位于</w:t>
            </w:r>
            <w:r>
              <w:rPr>
                <w:rFonts w:hint="eastAsia"/>
                <w:color w:val="auto"/>
              </w:rPr>
              <w:t>乐山市市中区</w:t>
            </w:r>
            <w:r>
              <w:rPr>
                <w:color w:val="auto"/>
              </w:rPr>
              <w:t>，</w:t>
            </w:r>
            <w:r>
              <w:rPr>
                <w:rFonts w:hint="eastAsia"/>
                <w:color w:val="auto"/>
              </w:rPr>
              <w:t>所在位置属于城镇重点管控单元，项目</w:t>
            </w:r>
            <w:r>
              <w:rPr>
                <w:color w:val="auto"/>
              </w:rPr>
              <w:t>属于</w:t>
            </w:r>
            <w:r>
              <w:rPr>
                <w:rFonts w:hint="eastAsia"/>
                <w:color w:val="auto"/>
              </w:rPr>
              <w:t>宠物医院服务项目</w:t>
            </w:r>
            <w:r>
              <w:rPr>
                <w:color w:val="auto"/>
              </w:rPr>
              <w:t>。根据《四川省人民政府关于印发四川省生态保护红线方案的通知》（川府发[2018]24 号），项目建设不涉及川府发[2018]24 号文件划定的生态红线区城</w:t>
            </w:r>
            <w:r>
              <w:rPr>
                <w:rFonts w:hint="eastAsia"/>
                <w:color w:val="auto"/>
              </w:rPr>
              <w:t>，不属于生产性企业，不属于冶炼、焦化、化工、铅蓄电池制造行业，项目不涉及重金属排放，不属于禁止开发建设活动，</w:t>
            </w:r>
            <w:r>
              <w:rPr>
                <w:color w:val="auto"/>
              </w:rPr>
              <w:t>符合空间布局约束管控要求</w:t>
            </w:r>
            <w:r>
              <w:rPr>
                <w:rFonts w:hint="eastAsia"/>
                <w:color w:val="auto"/>
              </w:rPr>
              <w:t>，</w:t>
            </w:r>
            <w:r>
              <w:rPr>
                <w:color w:val="auto"/>
              </w:rPr>
              <w:t>符合污染物排放管控要求</w:t>
            </w:r>
            <w:r>
              <w:rPr>
                <w:rFonts w:hint="eastAsia"/>
                <w:color w:val="auto"/>
              </w:rPr>
              <w:t>，</w:t>
            </w:r>
            <w:r>
              <w:rPr>
                <w:color w:val="auto"/>
              </w:rPr>
              <w:t>符合环境风险防控要求。 综上，本项目的建设与</w:t>
            </w:r>
            <w:r>
              <w:rPr>
                <w:rFonts w:hint="eastAsia"/>
                <w:color w:val="auto"/>
              </w:rPr>
              <w:t>乐山</w:t>
            </w:r>
            <w:r>
              <w:rPr>
                <w:color w:val="auto"/>
              </w:rPr>
              <w:t>市</w:t>
            </w:r>
            <w:r>
              <w:rPr>
                <w:rFonts w:hint="eastAsia"/>
                <w:color w:val="auto"/>
              </w:rPr>
              <w:t>“</w:t>
            </w:r>
            <w:r>
              <w:rPr>
                <w:color w:val="auto"/>
              </w:rPr>
              <w:t>三线一单</w:t>
            </w:r>
            <w:r>
              <w:rPr>
                <w:rFonts w:hint="eastAsia"/>
                <w:color w:val="auto"/>
              </w:rPr>
              <w:t>”</w:t>
            </w:r>
            <w:r>
              <w:rPr>
                <w:color w:val="auto"/>
              </w:rPr>
              <w:t>相符。</w:t>
            </w:r>
          </w:p>
        </w:tc>
      </w:tr>
    </w:tbl>
    <w:p>
      <w:pPr>
        <w:pStyle w:val="30"/>
        <w:rPr>
          <w:color w:val="auto"/>
        </w:rPr>
        <w:sectPr>
          <w:headerReference r:id="rId11" w:type="default"/>
          <w:pgSz w:w="16838" w:h="11906" w:orient="landscape"/>
          <w:pgMar w:top="1531" w:right="1701" w:bottom="1531" w:left="1701" w:header="851" w:footer="1077" w:gutter="0"/>
          <w:pgNumType w:start="1"/>
          <w:cols w:space="720" w:num="1"/>
          <w:docGrid w:linePitch="312" w:charSpace="0"/>
        </w:sect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4"/>
        <w:gridCol w:w="7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noWrap w:val="0"/>
            <w:vAlign w:val="center"/>
          </w:tcPr>
          <w:p>
            <w:pPr>
              <w:pStyle w:val="108"/>
              <w:bidi w:val="0"/>
              <w:ind w:left="0" w:leftChars="0" w:firstLine="0" w:firstLineChars="0"/>
              <w:jc w:val="center"/>
              <w:rPr>
                <w:color w:val="auto"/>
              </w:rPr>
            </w:pPr>
            <w:r>
              <w:rPr>
                <w:rFonts w:hint="eastAsia"/>
                <w:color w:val="auto"/>
              </w:rPr>
              <w:t>其他符合性分析</w:t>
            </w:r>
          </w:p>
        </w:tc>
        <w:tc>
          <w:tcPr>
            <w:tcW w:w="7796" w:type="dxa"/>
            <w:noWrap w:val="0"/>
            <w:vAlign w:val="top"/>
          </w:tcPr>
          <w:p>
            <w:pPr>
              <w:pStyle w:val="5"/>
              <w:numPr>
                <w:ilvl w:val="0"/>
                <w:numId w:val="0"/>
              </w:numPr>
              <w:rPr>
                <w:color w:val="auto"/>
              </w:rPr>
            </w:pPr>
            <w:r>
              <w:rPr>
                <w:rFonts w:hint="eastAsia"/>
                <w:color w:val="auto"/>
                <w:lang w:val="en-US" w:eastAsia="zh-CN"/>
              </w:rPr>
              <w:t>3、</w:t>
            </w:r>
            <w:r>
              <w:rPr>
                <w:color w:val="auto"/>
              </w:rPr>
              <w:t>项目选址符合性分析</w:t>
            </w:r>
          </w:p>
          <w:p>
            <w:pPr>
              <w:pStyle w:val="110"/>
              <w:ind w:firstLine="480"/>
              <w:rPr>
                <w:rFonts w:hint="eastAsia"/>
                <w:color w:val="auto"/>
              </w:rPr>
            </w:pPr>
            <w:r>
              <w:rPr>
                <w:rFonts w:hint="eastAsia"/>
                <w:color w:val="auto"/>
              </w:rPr>
              <w:t>本项目位于</w:t>
            </w:r>
            <w:r>
              <w:rPr>
                <w:rFonts w:hint="eastAsia"/>
                <w:color w:val="auto"/>
                <w:lang w:eastAsia="zh-CN"/>
              </w:rPr>
              <w:t>乐山市市中区凤洲路2028号2楼2号</w:t>
            </w:r>
            <w:r>
              <w:rPr>
                <w:rFonts w:hint="eastAsia"/>
                <w:color w:val="auto"/>
              </w:rPr>
              <w:t>，</w:t>
            </w:r>
            <w:r>
              <w:rPr>
                <w:rFonts w:hint="eastAsia"/>
                <w:color w:val="auto"/>
                <w:lang w:eastAsia="zh-CN"/>
              </w:rPr>
              <w:t>采用</w:t>
            </w:r>
            <w:r>
              <w:rPr>
                <w:rFonts w:hint="eastAsia"/>
                <w:color w:val="auto"/>
              </w:rPr>
              <w:t>中心城区</w:t>
            </w:r>
            <w:r>
              <w:rPr>
                <w:rFonts w:hint="eastAsia"/>
                <w:color w:val="auto"/>
                <w:lang w:eastAsia="zh-CN"/>
              </w:rPr>
              <w:t>邦泰国际社区</w:t>
            </w:r>
            <w:r>
              <w:rPr>
                <w:rFonts w:hint="eastAsia"/>
                <w:color w:val="auto"/>
              </w:rPr>
              <w:t>临街商铺，用于开展宠物医院服务项目，根据该商铺所有权不动产权证：川（201</w:t>
            </w:r>
            <w:r>
              <w:rPr>
                <w:rFonts w:hint="eastAsia"/>
                <w:color w:val="auto"/>
                <w:lang w:val="en-US" w:eastAsia="zh-CN"/>
              </w:rPr>
              <w:t>9</w:t>
            </w:r>
            <w:r>
              <w:rPr>
                <w:rFonts w:hint="eastAsia"/>
                <w:color w:val="auto"/>
              </w:rPr>
              <w:t>）乐山市不动产权第00</w:t>
            </w:r>
            <w:r>
              <w:rPr>
                <w:rFonts w:hint="eastAsia"/>
                <w:color w:val="auto"/>
                <w:lang w:val="en-US" w:eastAsia="zh-CN"/>
              </w:rPr>
              <w:t>23208</w:t>
            </w:r>
            <w:r>
              <w:rPr>
                <w:rFonts w:hint="eastAsia"/>
                <w:color w:val="auto"/>
              </w:rPr>
              <w:t>号：该房屋用途为批发零售用地/商业服务，因此该房屋可作为经营场所供本项目使用。因此，本项目的实施符合房屋的使用功能。</w:t>
            </w:r>
          </w:p>
          <w:p>
            <w:pPr>
              <w:pStyle w:val="110"/>
              <w:ind w:firstLine="480"/>
              <w:rPr>
                <w:rFonts w:hint="eastAsia"/>
                <w:color w:val="auto"/>
              </w:rPr>
            </w:pPr>
            <w:r>
              <w:rPr>
                <w:rFonts w:hint="eastAsia"/>
                <w:color w:val="auto"/>
              </w:rPr>
              <w:t>同时根据《动物诊疗机构管理办法》（动物诊疗机构管理办法），“（二）</w:t>
            </w:r>
          </w:p>
          <w:p>
            <w:pPr>
              <w:pStyle w:val="110"/>
              <w:ind w:firstLine="0" w:firstLineChars="0"/>
              <w:rPr>
                <w:rFonts w:hint="eastAsia"/>
                <w:color w:val="auto"/>
              </w:rPr>
            </w:pPr>
            <w:r>
              <w:rPr>
                <w:rFonts w:hint="eastAsia"/>
                <w:color w:val="auto"/>
              </w:rPr>
              <w:t>动物诊疗场所选址距离畜禽养殖场、屠宰加工厂、动物交易所不少于 200m”；“（三）动物诊疗场所设有独立的出入口，出入口不得设在居住住宅楼内或者院内，不得与同一建筑物的其他用户共用通道”。根据现场调查，本项目选址在</w:t>
            </w:r>
            <w:r>
              <w:rPr>
                <w:rFonts w:hint="eastAsia"/>
                <w:color w:val="auto"/>
                <w:lang w:eastAsia="zh-CN"/>
              </w:rPr>
              <w:t>乐山市市中区凤洲路2028号2楼2号</w:t>
            </w:r>
            <w:r>
              <w:rPr>
                <w:rFonts w:hint="eastAsia"/>
                <w:color w:val="auto"/>
              </w:rPr>
              <w:t>商业用房，地处中心城区，周边无畜禽养殖场、屠宰加工厂、动物交易所等。</w:t>
            </w:r>
          </w:p>
          <w:p>
            <w:pPr>
              <w:pStyle w:val="110"/>
              <w:ind w:firstLine="480"/>
              <w:rPr>
                <w:rFonts w:hint="eastAsia"/>
                <w:color w:val="auto"/>
              </w:rPr>
            </w:pPr>
            <w:r>
              <w:rPr>
                <w:rFonts w:hint="eastAsia"/>
                <w:color w:val="auto"/>
              </w:rPr>
              <w:t>项目设有一个出入口，开口正面朝向</w:t>
            </w:r>
            <w:r>
              <w:rPr>
                <w:rFonts w:hint="eastAsia"/>
                <w:color w:val="auto"/>
                <w:lang w:eastAsia="zh-CN"/>
              </w:rPr>
              <w:t>凤洲路</w:t>
            </w:r>
            <w:r>
              <w:rPr>
                <w:rFonts w:hint="eastAsia"/>
                <w:color w:val="auto"/>
              </w:rPr>
              <w:t>（</w:t>
            </w:r>
            <w:r>
              <w:rPr>
                <w:rFonts w:hint="eastAsia"/>
                <w:color w:val="auto"/>
                <w:lang w:eastAsia="zh-CN"/>
              </w:rPr>
              <w:t>东</w:t>
            </w:r>
            <w:r>
              <w:rPr>
                <w:rFonts w:hint="eastAsia"/>
                <w:color w:val="auto"/>
              </w:rPr>
              <w:t xml:space="preserve">南侧），该出入口为本项目专用且唯一出入口，不与项目所在的小区住宅楼及其它商户和居民共用。 </w:t>
            </w:r>
          </w:p>
          <w:p>
            <w:pPr>
              <w:pStyle w:val="110"/>
              <w:ind w:firstLine="480"/>
              <w:rPr>
                <w:rFonts w:hint="eastAsia"/>
                <w:color w:val="auto"/>
              </w:rPr>
            </w:pPr>
            <w:r>
              <w:rPr>
                <w:rFonts w:hint="eastAsia"/>
                <w:color w:val="auto"/>
              </w:rPr>
              <w:t>综上所述，项目选址合理。</w:t>
            </w:r>
          </w:p>
          <w:p>
            <w:pPr>
              <w:pStyle w:val="5"/>
              <w:numPr>
                <w:ilvl w:val="0"/>
                <w:numId w:val="0"/>
              </w:numPr>
              <w:rPr>
                <w:color w:val="auto"/>
              </w:rPr>
            </w:pPr>
            <w:r>
              <w:rPr>
                <w:rFonts w:hint="eastAsia"/>
                <w:color w:val="auto"/>
                <w:lang w:val="en-US" w:eastAsia="zh-CN"/>
              </w:rPr>
              <w:t>4、</w:t>
            </w:r>
            <w:r>
              <w:rPr>
                <w:color w:val="auto"/>
              </w:rPr>
              <w:t>项目外环境相容性分析</w:t>
            </w:r>
          </w:p>
          <w:p>
            <w:pPr>
              <w:pStyle w:val="110"/>
              <w:ind w:firstLine="480"/>
              <w:rPr>
                <w:rFonts w:hint="eastAsia"/>
                <w:color w:val="auto"/>
              </w:rPr>
            </w:pPr>
            <w:r>
              <w:rPr>
                <w:rFonts w:hint="eastAsia"/>
                <w:color w:val="auto"/>
              </w:rPr>
              <w:t>本项目位于</w:t>
            </w:r>
            <w:r>
              <w:rPr>
                <w:rFonts w:hint="eastAsia"/>
                <w:color w:val="auto"/>
                <w:lang w:eastAsia="zh-CN"/>
              </w:rPr>
              <w:t>乐山市市中区凤洲路2028号2楼2号</w:t>
            </w:r>
            <w:r>
              <w:rPr>
                <w:rFonts w:hint="eastAsia"/>
                <w:color w:val="auto"/>
              </w:rPr>
              <w:t>，项目场地交通便利，道路、给排水、光纤等设施已经建设完毕，可为本项目提供完备的配套服务，以项目场地中心为起点，周边500m范围内主要分布了商业、住宅、学校等，临近项目场界四周主要</w:t>
            </w:r>
            <w:r>
              <w:rPr>
                <w:rFonts w:hint="eastAsia"/>
                <w:color w:val="auto"/>
                <w:lang w:eastAsia="zh-CN"/>
              </w:rPr>
              <w:t>分布了</w:t>
            </w:r>
            <w:r>
              <w:rPr>
                <w:rFonts w:hint="eastAsia"/>
                <w:color w:val="auto"/>
              </w:rPr>
              <w:t>商业、住宅</w:t>
            </w:r>
            <w:r>
              <w:rPr>
                <w:rFonts w:hint="eastAsia"/>
                <w:color w:val="auto"/>
                <w:lang w:eastAsia="zh-CN"/>
              </w:rPr>
              <w:t>、学校及医院等</w:t>
            </w:r>
            <w:r>
              <w:rPr>
                <w:rFonts w:hint="eastAsia"/>
                <w:color w:val="auto"/>
              </w:rPr>
              <w:t>。项目外环境关系见附图3。</w:t>
            </w:r>
          </w:p>
          <w:p>
            <w:pPr>
              <w:pStyle w:val="110"/>
              <w:ind w:firstLine="480"/>
              <w:rPr>
                <w:rFonts w:hint="eastAsia" w:eastAsia="宋体"/>
                <w:color w:val="auto"/>
                <w:lang w:eastAsia="zh-CN"/>
              </w:rPr>
            </w:pPr>
            <w:r>
              <w:rPr>
                <w:rFonts w:hint="eastAsia"/>
                <w:color w:val="auto"/>
              </w:rPr>
              <w:t>根据现场踏勘，项目</w:t>
            </w:r>
            <w:r>
              <w:rPr>
                <w:rFonts w:hint="eastAsia"/>
                <w:color w:val="auto"/>
                <w:lang w:eastAsia="zh-CN"/>
              </w:rPr>
              <w:t>所在位置位于邦泰国际社区</w:t>
            </w:r>
            <w:r>
              <w:rPr>
                <w:rFonts w:hint="eastAsia"/>
                <w:color w:val="auto"/>
                <w:lang w:val="en-US" w:eastAsia="zh-CN"/>
              </w:rPr>
              <w:t>17栋住宅楼沿凤洲路商铺二、三楼</w:t>
            </w:r>
            <w:r>
              <w:rPr>
                <w:rFonts w:hint="eastAsia"/>
                <w:color w:val="auto"/>
              </w:rPr>
              <w:t>，项目</w:t>
            </w:r>
            <w:r>
              <w:rPr>
                <w:rFonts w:hint="eastAsia"/>
                <w:color w:val="auto"/>
                <w:lang w:eastAsia="zh-CN"/>
              </w:rPr>
              <w:t>三</w:t>
            </w:r>
            <w:r>
              <w:rPr>
                <w:rFonts w:hint="eastAsia"/>
                <w:color w:val="auto"/>
              </w:rPr>
              <w:t>楼楼顶为</w:t>
            </w:r>
            <w:r>
              <w:rPr>
                <w:rFonts w:hint="eastAsia"/>
                <w:color w:val="auto"/>
                <w:lang w:eastAsia="zh-CN"/>
              </w:rPr>
              <w:t>居民</w:t>
            </w:r>
            <w:r>
              <w:rPr>
                <w:rFonts w:hint="eastAsia"/>
                <w:color w:val="auto"/>
              </w:rPr>
              <w:t>平台，</w:t>
            </w:r>
            <w:r>
              <w:rPr>
                <w:rFonts w:hint="eastAsia"/>
                <w:color w:val="auto"/>
                <w:lang w:eastAsia="zh-CN"/>
              </w:rPr>
              <w:t>平台凹进去处为住户，住户</w:t>
            </w:r>
            <w:r>
              <w:rPr>
                <w:rFonts w:hint="eastAsia"/>
                <w:color w:val="auto"/>
              </w:rPr>
              <w:t>与背后的住户不存在直接的上下楼关系，项目</w:t>
            </w:r>
            <w:r>
              <w:rPr>
                <w:rFonts w:hint="eastAsia"/>
                <w:color w:val="auto"/>
                <w:lang w:eastAsia="zh-CN"/>
              </w:rPr>
              <w:t>整体</w:t>
            </w:r>
            <w:r>
              <w:rPr>
                <w:rFonts w:hint="eastAsia"/>
                <w:color w:val="auto"/>
              </w:rPr>
              <w:t>朝向为坐</w:t>
            </w:r>
            <w:r>
              <w:rPr>
                <w:rFonts w:hint="eastAsia"/>
                <w:color w:val="auto"/>
                <w:lang w:eastAsia="zh-CN"/>
              </w:rPr>
              <w:t>西北</w:t>
            </w:r>
            <w:r>
              <w:rPr>
                <w:rFonts w:hint="eastAsia"/>
                <w:color w:val="auto"/>
              </w:rPr>
              <w:t>朝</w:t>
            </w:r>
            <w:r>
              <w:rPr>
                <w:rFonts w:hint="eastAsia"/>
                <w:color w:val="auto"/>
                <w:lang w:eastAsia="zh-CN"/>
              </w:rPr>
              <w:t>东</w:t>
            </w:r>
            <w:r>
              <w:rPr>
                <w:rFonts w:hint="eastAsia"/>
                <w:color w:val="auto"/>
              </w:rPr>
              <w:t>南</w:t>
            </w:r>
            <w:r>
              <w:rPr>
                <w:rFonts w:hint="eastAsia"/>
                <w:color w:val="auto"/>
                <w:lang w:eastAsia="zh-CN"/>
              </w:rPr>
              <w:t>，本项目</w:t>
            </w:r>
            <w:r>
              <w:rPr>
                <w:rFonts w:hint="eastAsia"/>
                <w:color w:val="auto"/>
                <w:lang w:val="en-US" w:eastAsia="zh-CN"/>
              </w:rPr>
              <w:t>500m范围内</w:t>
            </w:r>
            <w:r>
              <w:rPr>
                <w:rFonts w:hint="eastAsia"/>
                <w:color w:val="auto"/>
                <w:lang w:eastAsia="zh-CN"/>
              </w:rPr>
              <w:t>外环境基本情况如下：</w:t>
            </w:r>
          </w:p>
          <w:p>
            <w:pPr>
              <w:pStyle w:val="110"/>
              <w:ind w:firstLine="482"/>
              <w:rPr>
                <w:rFonts w:hint="default" w:eastAsia="宋体"/>
                <w:b w:val="0"/>
                <w:bCs w:val="0"/>
                <w:color w:val="auto"/>
                <w:lang w:val="en-US" w:eastAsia="zh-CN"/>
              </w:rPr>
            </w:pPr>
            <w:r>
              <w:rPr>
                <w:rFonts w:hint="eastAsia"/>
                <w:b w:val="0"/>
                <w:bCs w:val="0"/>
                <w:color w:val="auto"/>
                <w:lang w:eastAsia="zh-CN"/>
              </w:rPr>
              <w:t>项目北侧</w:t>
            </w:r>
            <w:r>
              <w:rPr>
                <w:rFonts w:hint="eastAsia"/>
                <w:b w:val="0"/>
                <w:bCs w:val="0"/>
                <w:color w:val="auto"/>
                <w:lang w:val="en-US" w:eastAsia="zh-CN"/>
              </w:rPr>
              <w:t>55m处为金苹果幼儿园，东北侧206m处为时代青江二期住宅区，项目东侧隔凤洲路约40m处为乐山市嘉州学校，270m处为时代青江一期住宅小区，东南侧283m处为邦泰中心住宅小区及写字楼，南侧155m处为华泰梧桐公馆住宅小区，南侧294m处为世豪广场住宅小区，西南侧300m处为阳光青江壹号住宅小区建设工地，359m处为乐山市妇幼保健院，项目西至北侧500m范围内为邦泰国际社区住宅小区。</w:t>
            </w:r>
          </w:p>
          <w:p>
            <w:pPr>
              <w:pStyle w:val="110"/>
              <w:ind w:firstLine="480"/>
              <w:rPr>
                <w:rFonts w:hint="eastAsia"/>
                <w:color w:val="auto"/>
              </w:rPr>
            </w:pPr>
            <w:r>
              <w:rPr>
                <w:rFonts w:hint="eastAsia"/>
                <w:color w:val="auto"/>
              </w:rPr>
              <w:t>根据以上</w:t>
            </w:r>
            <w:r>
              <w:rPr>
                <w:color w:val="auto"/>
              </w:rPr>
              <w:t>外环境分析可知，项目周边主要是商业用房、居民住宅</w:t>
            </w:r>
            <w:r>
              <w:rPr>
                <w:rFonts w:hint="eastAsia"/>
                <w:color w:val="auto"/>
              </w:rPr>
              <w:t>、学校</w:t>
            </w:r>
            <w:r>
              <w:rPr>
                <w:rFonts w:hint="eastAsia"/>
                <w:color w:val="auto"/>
                <w:lang w:eastAsia="zh-CN"/>
              </w:rPr>
              <w:t>、医院</w:t>
            </w:r>
            <w:r>
              <w:rPr>
                <w:color w:val="auto"/>
              </w:rPr>
              <w:t>等，无重大污染企业，周围环境质量较好，运营时的能源主要采用电，项目取水、排水方便，</w:t>
            </w:r>
            <w:r>
              <w:rPr>
                <w:rFonts w:hint="eastAsia"/>
                <w:color w:val="auto"/>
              </w:rPr>
              <w:t>能满足项目基本的运行需求，</w:t>
            </w:r>
            <w:r>
              <w:rPr>
                <w:color w:val="auto"/>
              </w:rPr>
              <w:t>选址符合</w:t>
            </w:r>
            <w:r>
              <w:rPr>
                <w:rFonts w:hint="eastAsia"/>
                <w:color w:val="auto"/>
              </w:rPr>
              <w:t>相关</w:t>
            </w:r>
            <w:r>
              <w:rPr>
                <w:color w:val="auto"/>
              </w:rPr>
              <w:t>规定要求，因此</w:t>
            </w:r>
            <w:r>
              <w:rPr>
                <w:rFonts w:hint="eastAsia"/>
                <w:color w:val="auto"/>
              </w:rPr>
              <w:t>周边</w:t>
            </w:r>
            <w:r>
              <w:rPr>
                <w:color w:val="auto"/>
              </w:rPr>
              <w:t>外环境对本项目</w:t>
            </w:r>
            <w:r>
              <w:rPr>
                <w:rFonts w:hint="eastAsia"/>
                <w:color w:val="auto"/>
              </w:rPr>
              <w:t>的</w:t>
            </w:r>
            <w:r>
              <w:rPr>
                <w:color w:val="auto"/>
              </w:rPr>
              <w:t>影响</w:t>
            </w:r>
            <w:r>
              <w:rPr>
                <w:rFonts w:hint="eastAsia"/>
                <w:color w:val="auto"/>
              </w:rPr>
              <w:t>极小。</w:t>
            </w:r>
          </w:p>
          <w:p>
            <w:pPr>
              <w:pStyle w:val="110"/>
              <w:ind w:firstLine="480"/>
              <w:rPr>
                <w:rFonts w:hint="eastAsia"/>
                <w:color w:val="auto"/>
              </w:rPr>
            </w:pPr>
            <w:r>
              <w:rPr>
                <w:rFonts w:hint="eastAsia"/>
                <w:color w:val="auto"/>
              </w:rPr>
              <w:t>本项目外环境关系具体情况如下表。</w:t>
            </w:r>
          </w:p>
          <w:p>
            <w:pPr>
              <w:pStyle w:val="123"/>
              <w:rPr>
                <w:rFonts w:hint="eastAsia"/>
                <w:color w:val="auto"/>
              </w:rPr>
            </w:pPr>
            <w:r>
              <w:rPr>
                <w:rFonts w:hint="eastAsia"/>
                <w:color w:val="auto"/>
              </w:rPr>
              <w:t>表1-</w:t>
            </w:r>
            <w:r>
              <w:rPr>
                <w:rFonts w:hint="eastAsia"/>
                <w:color w:val="auto"/>
                <w:lang w:val="en-US" w:eastAsia="zh-CN"/>
              </w:rPr>
              <w:t>5</w:t>
            </w:r>
            <w:r>
              <w:rPr>
                <w:rFonts w:hint="eastAsia"/>
                <w:color w:val="auto"/>
              </w:rPr>
              <w:t xml:space="preserve">  项目外环境情况一览表</w:t>
            </w:r>
          </w:p>
          <w:tbl>
            <w:tblPr>
              <w:tblStyle w:val="3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2587"/>
              <w:gridCol w:w="1331"/>
              <w:gridCol w:w="1416"/>
              <w:gridCol w:w="1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475" w:type="pct"/>
                  <w:noWrap w:val="0"/>
                  <w:vAlign w:val="center"/>
                </w:tcPr>
                <w:p>
                  <w:pPr>
                    <w:pStyle w:val="176"/>
                    <w:rPr>
                      <w:rFonts w:hint="eastAsia"/>
                      <w:color w:val="auto"/>
                    </w:rPr>
                  </w:pPr>
                  <w:r>
                    <w:rPr>
                      <w:rFonts w:hint="eastAsia"/>
                      <w:color w:val="auto"/>
                    </w:rPr>
                    <w:t>序号</w:t>
                  </w:r>
                </w:p>
              </w:tc>
              <w:tc>
                <w:tcPr>
                  <w:tcW w:w="1709" w:type="pct"/>
                  <w:noWrap w:val="0"/>
                  <w:vAlign w:val="center"/>
                </w:tcPr>
                <w:p>
                  <w:pPr>
                    <w:pStyle w:val="176"/>
                    <w:rPr>
                      <w:rFonts w:hint="eastAsia"/>
                      <w:color w:val="auto"/>
                    </w:rPr>
                  </w:pPr>
                  <w:r>
                    <w:rPr>
                      <w:rFonts w:hint="eastAsia"/>
                      <w:color w:val="auto"/>
                    </w:rPr>
                    <w:t>外环境情况</w:t>
                  </w:r>
                </w:p>
              </w:tc>
              <w:tc>
                <w:tcPr>
                  <w:tcW w:w="879" w:type="pct"/>
                  <w:noWrap w:val="0"/>
                  <w:vAlign w:val="center"/>
                </w:tcPr>
                <w:p>
                  <w:pPr>
                    <w:pStyle w:val="176"/>
                    <w:rPr>
                      <w:rFonts w:hint="eastAsia"/>
                      <w:color w:val="auto"/>
                    </w:rPr>
                  </w:pPr>
                  <w:r>
                    <w:rPr>
                      <w:rFonts w:hint="eastAsia"/>
                      <w:color w:val="auto"/>
                    </w:rPr>
                    <w:t>类型</w:t>
                  </w:r>
                </w:p>
              </w:tc>
              <w:tc>
                <w:tcPr>
                  <w:tcW w:w="935" w:type="pct"/>
                  <w:noWrap w:val="0"/>
                  <w:vAlign w:val="center"/>
                </w:tcPr>
                <w:p>
                  <w:pPr>
                    <w:pStyle w:val="176"/>
                    <w:rPr>
                      <w:rFonts w:hint="eastAsia"/>
                      <w:color w:val="auto"/>
                    </w:rPr>
                  </w:pPr>
                  <w:r>
                    <w:rPr>
                      <w:rFonts w:hint="eastAsia"/>
                      <w:color w:val="auto"/>
                    </w:rPr>
                    <w:t>方位</w:t>
                  </w:r>
                </w:p>
              </w:tc>
              <w:tc>
                <w:tcPr>
                  <w:tcW w:w="1000" w:type="pct"/>
                  <w:noWrap w:val="0"/>
                  <w:vAlign w:val="center"/>
                </w:tcPr>
                <w:p>
                  <w:pPr>
                    <w:pStyle w:val="176"/>
                    <w:rPr>
                      <w:rFonts w:hint="eastAsia"/>
                      <w:color w:val="auto"/>
                    </w:rPr>
                  </w:pPr>
                  <w:r>
                    <w:rPr>
                      <w:rFonts w:hint="eastAsia"/>
                      <w:color w:val="auto"/>
                    </w:rPr>
                    <w:t>与本项目场界最近距离（m）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noWrap w:val="0"/>
                  <w:vAlign w:val="center"/>
                </w:tcPr>
                <w:p>
                  <w:pPr>
                    <w:pStyle w:val="176"/>
                    <w:rPr>
                      <w:rFonts w:hint="eastAsia"/>
                      <w:color w:val="auto"/>
                    </w:rPr>
                  </w:pPr>
                  <w:r>
                    <w:rPr>
                      <w:rFonts w:hint="eastAsia"/>
                      <w:color w:val="auto"/>
                    </w:rPr>
                    <w:t>1</w:t>
                  </w:r>
                </w:p>
              </w:tc>
              <w:tc>
                <w:tcPr>
                  <w:tcW w:w="1709" w:type="pct"/>
                  <w:noWrap w:val="0"/>
                  <w:vAlign w:val="center"/>
                </w:tcPr>
                <w:p>
                  <w:pPr>
                    <w:pStyle w:val="176"/>
                    <w:rPr>
                      <w:rFonts w:hint="eastAsia" w:eastAsia="宋体"/>
                      <w:color w:val="auto"/>
                      <w:lang w:eastAsia="zh-CN"/>
                    </w:rPr>
                  </w:pPr>
                  <w:r>
                    <w:rPr>
                      <w:rFonts w:hint="eastAsia"/>
                      <w:color w:val="auto"/>
                      <w:lang w:eastAsia="zh-CN"/>
                    </w:rPr>
                    <w:t>金苹果幼儿园</w:t>
                  </w:r>
                </w:p>
              </w:tc>
              <w:tc>
                <w:tcPr>
                  <w:tcW w:w="879" w:type="pct"/>
                  <w:noWrap w:val="0"/>
                  <w:vAlign w:val="center"/>
                </w:tcPr>
                <w:p>
                  <w:pPr>
                    <w:pStyle w:val="176"/>
                    <w:rPr>
                      <w:rFonts w:hint="eastAsia" w:eastAsia="宋体"/>
                      <w:color w:val="auto"/>
                      <w:lang w:eastAsia="zh-CN"/>
                    </w:rPr>
                  </w:pPr>
                  <w:r>
                    <w:rPr>
                      <w:rFonts w:hint="eastAsia"/>
                      <w:color w:val="auto"/>
                      <w:lang w:eastAsia="zh-CN"/>
                    </w:rPr>
                    <w:t>学校</w:t>
                  </w:r>
                </w:p>
              </w:tc>
              <w:tc>
                <w:tcPr>
                  <w:tcW w:w="935" w:type="pct"/>
                  <w:noWrap w:val="0"/>
                  <w:vAlign w:val="center"/>
                </w:tcPr>
                <w:p>
                  <w:pPr>
                    <w:pStyle w:val="176"/>
                    <w:rPr>
                      <w:rFonts w:hint="eastAsia"/>
                      <w:color w:val="auto"/>
                    </w:rPr>
                  </w:pPr>
                  <w:r>
                    <w:rPr>
                      <w:rFonts w:hint="eastAsia"/>
                      <w:color w:val="auto"/>
                    </w:rPr>
                    <w:t>北侧</w:t>
                  </w:r>
                </w:p>
              </w:tc>
              <w:tc>
                <w:tcPr>
                  <w:tcW w:w="1000" w:type="pct"/>
                  <w:noWrap w:val="0"/>
                  <w:vAlign w:val="center"/>
                </w:tcPr>
                <w:p>
                  <w:pPr>
                    <w:pStyle w:val="176"/>
                    <w:rPr>
                      <w:rFonts w:hint="default" w:eastAsia="宋体"/>
                      <w:color w:val="auto"/>
                      <w:lang w:val="en-US" w:eastAsia="zh-CN"/>
                    </w:rPr>
                  </w:pPr>
                  <w:r>
                    <w:rPr>
                      <w:rFonts w:hint="eastAsia"/>
                      <w:color w:val="auto"/>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noWrap w:val="0"/>
                  <w:vAlign w:val="center"/>
                </w:tcPr>
                <w:p>
                  <w:pPr>
                    <w:pStyle w:val="176"/>
                    <w:rPr>
                      <w:rFonts w:hint="eastAsia"/>
                      <w:color w:val="auto"/>
                    </w:rPr>
                  </w:pPr>
                  <w:r>
                    <w:rPr>
                      <w:rFonts w:hint="eastAsia"/>
                      <w:color w:val="auto"/>
                    </w:rPr>
                    <w:t>2</w:t>
                  </w:r>
                </w:p>
              </w:tc>
              <w:tc>
                <w:tcPr>
                  <w:tcW w:w="1709" w:type="pct"/>
                  <w:noWrap w:val="0"/>
                  <w:vAlign w:val="center"/>
                </w:tcPr>
                <w:p>
                  <w:pPr>
                    <w:pStyle w:val="176"/>
                    <w:rPr>
                      <w:rFonts w:hint="default" w:eastAsia="宋体"/>
                      <w:color w:val="auto"/>
                      <w:lang w:val="en-US" w:eastAsia="zh-CN"/>
                    </w:rPr>
                  </w:pPr>
                  <w:r>
                    <w:rPr>
                      <w:rFonts w:hint="eastAsia"/>
                      <w:color w:val="auto"/>
                      <w:lang w:eastAsia="zh-CN"/>
                    </w:rPr>
                    <w:t>时代青江</w:t>
                  </w:r>
                  <w:r>
                    <w:rPr>
                      <w:rFonts w:hint="eastAsia"/>
                      <w:color w:val="auto"/>
                      <w:lang w:val="en-US" w:eastAsia="zh-CN"/>
                    </w:rPr>
                    <w:t>2期</w:t>
                  </w:r>
                </w:p>
              </w:tc>
              <w:tc>
                <w:tcPr>
                  <w:tcW w:w="879" w:type="pct"/>
                  <w:noWrap w:val="0"/>
                  <w:vAlign w:val="center"/>
                </w:tcPr>
                <w:p>
                  <w:pPr>
                    <w:pStyle w:val="176"/>
                    <w:rPr>
                      <w:rFonts w:hint="eastAsia"/>
                      <w:color w:val="auto"/>
                    </w:rPr>
                  </w:pPr>
                  <w:r>
                    <w:rPr>
                      <w:rFonts w:hint="eastAsia"/>
                      <w:color w:val="auto"/>
                    </w:rPr>
                    <w:t>住宅</w:t>
                  </w:r>
                </w:p>
              </w:tc>
              <w:tc>
                <w:tcPr>
                  <w:tcW w:w="935" w:type="pct"/>
                  <w:noWrap w:val="0"/>
                  <w:vAlign w:val="center"/>
                </w:tcPr>
                <w:p>
                  <w:pPr>
                    <w:pStyle w:val="176"/>
                    <w:rPr>
                      <w:rFonts w:hint="eastAsia" w:eastAsia="宋体"/>
                      <w:color w:val="auto"/>
                      <w:lang w:eastAsia="zh-CN"/>
                    </w:rPr>
                  </w:pPr>
                  <w:r>
                    <w:rPr>
                      <w:rFonts w:hint="eastAsia"/>
                      <w:color w:val="auto"/>
                      <w:lang w:eastAsia="zh-CN"/>
                    </w:rPr>
                    <w:t>东北侧</w:t>
                  </w:r>
                </w:p>
              </w:tc>
              <w:tc>
                <w:tcPr>
                  <w:tcW w:w="1000" w:type="pct"/>
                  <w:noWrap w:val="0"/>
                  <w:vAlign w:val="center"/>
                </w:tcPr>
                <w:p>
                  <w:pPr>
                    <w:pStyle w:val="176"/>
                    <w:rPr>
                      <w:rFonts w:hint="default" w:eastAsia="宋体"/>
                      <w:color w:val="auto"/>
                      <w:lang w:val="en-US" w:eastAsia="zh-CN"/>
                    </w:rPr>
                  </w:pPr>
                  <w:r>
                    <w:rPr>
                      <w:rFonts w:hint="eastAsia"/>
                      <w:color w:val="auto"/>
                      <w:lang w:val="en-US" w:eastAsia="zh-CN"/>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noWrap w:val="0"/>
                  <w:vAlign w:val="center"/>
                </w:tcPr>
                <w:p>
                  <w:pPr>
                    <w:pStyle w:val="176"/>
                    <w:rPr>
                      <w:rFonts w:hint="eastAsia"/>
                      <w:color w:val="auto"/>
                    </w:rPr>
                  </w:pPr>
                  <w:r>
                    <w:rPr>
                      <w:rFonts w:hint="eastAsia"/>
                      <w:color w:val="auto"/>
                    </w:rPr>
                    <w:t>3</w:t>
                  </w:r>
                </w:p>
              </w:tc>
              <w:tc>
                <w:tcPr>
                  <w:tcW w:w="1709" w:type="pct"/>
                  <w:noWrap w:val="0"/>
                  <w:vAlign w:val="center"/>
                </w:tcPr>
                <w:p>
                  <w:pPr>
                    <w:pStyle w:val="176"/>
                    <w:rPr>
                      <w:rFonts w:hint="eastAsia" w:eastAsia="宋体"/>
                      <w:color w:val="auto"/>
                      <w:lang w:eastAsia="zh-CN"/>
                    </w:rPr>
                  </w:pPr>
                  <w:r>
                    <w:rPr>
                      <w:rFonts w:hint="eastAsia"/>
                      <w:color w:val="auto"/>
                      <w:lang w:eastAsia="zh-CN"/>
                    </w:rPr>
                    <w:t>乐山市嘉州学校</w:t>
                  </w:r>
                </w:p>
              </w:tc>
              <w:tc>
                <w:tcPr>
                  <w:tcW w:w="879" w:type="pct"/>
                  <w:noWrap w:val="0"/>
                  <w:vAlign w:val="center"/>
                </w:tcPr>
                <w:p>
                  <w:pPr>
                    <w:pStyle w:val="176"/>
                    <w:rPr>
                      <w:rFonts w:hint="eastAsia"/>
                      <w:color w:val="auto"/>
                    </w:rPr>
                  </w:pPr>
                  <w:r>
                    <w:rPr>
                      <w:rFonts w:hint="eastAsia"/>
                      <w:color w:val="auto"/>
                      <w:lang w:eastAsia="zh-CN"/>
                    </w:rPr>
                    <w:t>学校</w:t>
                  </w:r>
                </w:p>
              </w:tc>
              <w:tc>
                <w:tcPr>
                  <w:tcW w:w="935" w:type="pct"/>
                  <w:vMerge w:val="restart"/>
                  <w:noWrap w:val="0"/>
                  <w:vAlign w:val="center"/>
                </w:tcPr>
                <w:p>
                  <w:pPr>
                    <w:pStyle w:val="176"/>
                    <w:rPr>
                      <w:rFonts w:hint="eastAsia" w:eastAsia="宋体"/>
                      <w:color w:val="auto"/>
                      <w:lang w:eastAsia="zh-CN"/>
                    </w:rPr>
                  </w:pPr>
                  <w:r>
                    <w:rPr>
                      <w:rFonts w:hint="eastAsia"/>
                      <w:color w:val="auto"/>
                      <w:lang w:eastAsia="zh-CN"/>
                    </w:rPr>
                    <w:t>东侧</w:t>
                  </w:r>
                </w:p>
              </w:tc>
              <w:tc>
                <w:tcPr>
                  <w:tcW w:w="1000" w:type="pct"/>
                  <w:noWrap w:val="0"/>
                  <w:vAlign w:val="center"/>
                </w:tcPr>
                <w:p>
                  <w:pPr>
                    <w:pStyle w:val="176"/>
                    <w:rPr>
                      <w:rFonts w:hint="default" w:eastAsia="宋体"/>
                      <w:color w:val="auto"/>
                      <w:lang w:val="en-US" w:eastAsia="zh-CN"/>
                    </w:rPr>
                  </w:pPr>
                  <w:r>
                    <w:rPr>
                      <w:rFonts w:hint="eastAsia"/>
                      <w:color w:val="auto"/>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noWrap w:val="0"/>
                  <w:vAlign w:val="center"/>
                </w:tcPr>
                <w:p>
                  <w:pPr>
                    <w:pStyle w:val="176"/>
                    <w:rPr>
                      <w:color w:val="auto"/>
                    </w:rPr>
                  </w:pPr>
                  <w:r>
                    <w:rPr>
                      <w:rFonts w:hint="eastAsia"/>
                      <w:color w:val="auto"/>
                    </w:rPr>
                    <w:t>4</w:t>
                  </w:r>
                </w:p>
              </w:tc>
              <w:tc>
                <w:tcPr>
                  <w:tcW w:w="1709" w:type="pct"/>
                  <w:noWrap w:val="0"/>
                  <w:vAlign w:val="center"/>
                </w:tcPr>
                <w:p>
                  <w:pPr>
                    <w:pStyle w:val="176"/>
                    <w:rPr>
                      <w:rFonts w:hint="default" w:eastAsia="宋体"/>
                      <w:color w:val="auto"/>
                      <w:lang w:val="en-US" w:eastAsia="zh-CN"/>
                    </w:rPr>
                  </w:pPr>
                  <w:r>
                    <w:rPr>
                      <w:rFonts w:hint="eastAsia"/>
                      <w:color w:val="auto"/>
                      <w:lang w:eastAsia="zh-CN"/>
                    </w:rPr>
                    <w:t>时代青江</w:t>
                  </w:r>
                  <w:r>
                    <w:rPr>
                      <w:rFonts w:hint="eastAsia"/>
                      <w:color w:val="auto"/>
                      <w:lang w:val="en-US" w:eastAsia="zh-CN"/>
                    </w:rPr>
                    <w:t>1期</w:t>
                  </w:r>
                </w:p>
              </w:tc>
              <w:tc>
                <w:tcPr>
                  <w:tcW w:w="879" w:type="pct"/>
                  <w:noWrap w:val="0"/>
                  <w:vAlign w:val="center"/>
                </w:tcPr>
                <w:p>
                  <w:pPr>
                    <w:pStyle w:val="176"/>
                    <w:rPr>
                      <w:rFonts w:hint="eastAsia"/>
                      <w:color w:val="auto"/>
                    </w:rPr>
                  </w:pPr>
                  <w:r>
                    <w:rPr>
                      <w:rFonts w:hint="eastAsia"/>
                      <w:color w:val="auto"/>
                    </w:rPr>
                    <w:t>住宅</w:t>
                  </w:r>
                </w:p>
              </w:tc>
              <w:tc>
                <w:tcPr>
                  <w:tcW w:w="935" w:type="pct"/>
                  <w:vMerge w:val="continue"/>
                  <w:noWrap w:val="0"/>
                  <w:vAlign w:val="center"/>
                </w:tcPr>
                <w:p>
                  <w:pPr>
                    <w:pStyle w:val="176"/>
                    <w:rPr>
                      <w:rFonts w:hint="eastAsia"/>
                      <w:color w:val="auto"/>
                    </w:rPr>
                  </w:pPr>
                </w:p>
              </w:tc>
              <w:tc>
                <w:tcPr>
                  <w:tcW w:w="1000" w:type="pct"/>
                  <w:noWrap w:val="0"/>
                  <w:vAlign w:val="center"/>
                </w:tcPr>
                <w:p>
                  <w:pPr>
                    <w:pStyle w:val="176"/>
                    <w:rPr>
                      <w:rFonts w:hint="default" w:eastAsia="宋体"/>
                      <w:color w:val="auto"/>
                      <w:lang w:val="en-US" w:eastAsia="zh-CN"/>
                    </w:rPr>
                  </w:pPr>
                  <w:r>
                    <w:rPr>
                      <w:rFonts w:hint="eastAsia"/>
                      <w:color w:val="auto"/>
                      <w:lang w:val="en-US" w:eastAsia="zh-CN"/>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noWrap w:val="0"/>
                  <w:vAlign w:val="center"/>
                </w:tcPr>
                <w:p>
                  <w:pPr>
                    <w:pStyle w:val="176"/>
                    <w:rPr>
                      <w:color w:val="auto"/>
                    </w:rPr>
                  </w:pPr>
                  <w:r>
                    <w:rPr>
                      <w:rFonts w:hint="eastAsia"/>
                      <w:color w:val="auto"/>
                    </w:rPr>
                    <w:t>5</w:t>
                  </w:r>
                </w:p>
              </w:tc>
              <w:tc>
                <w:tcPr>
                  <w:tcW w:w="1709" w:type="pct"/>
                  <w:noWrap w:val="0"/>
                  <w:vAlign w:val="center"/>
                </w:tcPr>
                <w:p>
                  <w:pPr>
                    <w:pStyle w:val="176"/>
                    <w:rPr>
                      <w:rFonts w:hint="eastAsia" w:eastAsia="宋体"/>
                      <w:color w:val="auto"/>
                      <w:lang w:eastAsia="zh-CN"/>
                    </w:rPr>
                  </w:pPr>
                  <w:r>
                    <w:rPr>
                      <w:rFonts w:hint="eastAsia"/>
                      <w:color w:val="auto"/>
                      <w:lang w:eastAsia="zh-CN"/>
                    </w:rPr>
                    <w:t>邦泰中心</w:t>
                  </w:r>
                </w:p>
              </w:tc>
              <w:tc>
                <w:tcPr>
                  <w:tcW w:w="879" w:type="pct"/>
                  <w:noWrap w:val="0"/>
                  <w:vAlign w:val="center"/>
                </w:tcPr>
                <w:p>
                  <w:pPr>
                    <w:pStyle w:val="176"/>
                    <w:rPr>
                      <w:rFonts w:hint="eastAsia"/>
                      <w:color w:val="auto"/>
                    </w:rPr>
                  </w:pPr>
                  <w:r>
                    <w:rPr>
                      <w:rFonts w:hint="eastAsia"/>
                      <w:color w:val="auto"/>
                    </w:rPr>
                    <w:t>住宅</w:t>
                  </w:r>
                </w:p>
              </w:tc>
              <w:tc>
                <w:tcPr>
                  <w:tcW w:w="935" w:type="pct"/>
                  <w:noWrap w:val="0"/>
                  <w:vAlign w:val="center"/>
                </w:tcPr>
                <w:p>
                  <w:pPr>
                    <w:pStyle w:val="176"/>
                    <w:rPr>
                      <w:rFonts w:hint="eastAsia" w:eastAsia="宋体"/>
                      <w:color w:val="auto"/>
                      <w:lang w:eastAsia="zh-CN"/>
                    </w:rPr>
                  </w:pPr>
                  <w:r>
                    <w:rPr>
                      <w:rFonts w:hint="eastAsia"/>
                      <w:color w:val="auto"/>
                      <w:lang w:eastAsia="zh-CN"/>
                    </w:rPr>
                    <w:t>东南侧</w:t>
                  </w:r>
                </w:p>
              </w:tc>
              <w:tc>
                <w:tcPr>
                  <w:tcW w:w="1000" w:type="pct"/>
                  <w:noWrap w:val="0"/>
                  <w:vAlign w:val="center"/>
                </w:tcPr>
                <w:p>
                  <w:pPr>
                    <w:pStyle w:val="176"/>
                    <w:rPr>
                      <w:rFonts w:hint="default" w:eastAsia="宋体"/>
                      <w:color w:val="auto"/>
                      <w:lang w:val="en-US" w:eastAsia="zh-CN"/>
                    </w:rPr>
                  </w:pPr>
                  <w:r>
                    <w:rPr>
                      <w:rFonts w:hint="eastAsia"/>
                      <w:color w:val="auto"/>
                      <w:lang w:val="en-US" w:eastAsia="zh-CN"/>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475" w:type="pct"/>
                  <w:noWrap w:val="0"/>
                  <w:vAlign w:val="center"/>
                </w:tcPr>
                <w:p>
                  <w:pPr>
                    <w:pStyle w:val="176"/>
                    <w:rPr>
                      <w:color w:val="auto"/>
                    </w:rPr>
                  </w:pPr>
                  <w:r>
                    <w:rPr>
                      <w:rFonts w:hint="eastAsia"/>
                      <w:color w:val="auto"/>
                    </w:rPr>
                    <w:t>6</w:t>
                  </w:r>
                </w:p>
              </w:tc>
              <w:tc>
                <w:tcPr>
                  <w:tcW w:w="1709" w:type="pct"/>
                  <w:noWrap w:val="0"/>
                  <w:vAlign w:val="center"/>
                </w:tcPr>
                <w:p>
                  <w:pPr>
                    <w:pStyle w:val="176"/>
                    <w:rPr>
                      <w:rFonts w:hint="eastAsia" w:eastAsia="宋体"/>
                      <w:color w:val="auto"/>
                      <w:lang w:eastAsia="zh-CN"/>
                    </w:rPr>
                  </w:pPr>
                  <w:r>
                    <w:rPr>
                      <w:rFonts w:hint="eastAsia"/>
                      <w:color w:val="auto"/>
                      <w:lang w:eastAsia="zh-CN"/>
                    </w:rPr>
                    <w:t>梧桐公馆</w:t>
                  </w:r>
                </w:p>
              </w:tc>
              <w:tc>
                <w:tcPr>
                  <w:tcW w:w="879" w:type="pct"/>
                  <w:noWrap w:val="0"/>
                  <w:vAlign w:val="center"/>
                </w:tcPr>
                <w:p>
                  <w:pPr>
                    <w:pStyle w:val="176"/>
                    <w:rPr>
                      <w:rFonts w:hint="eastAsia"/>
                      <w:color w:val="auto"/>
                    </w:rPr>
                  </w:pPr>
                  <w:r>
                    <w:rPr>
                      <w:rFonts w:hint="eastAsia"/>
                      <w:color w:val="auto"/>
                    </w:rPr>
                    <w:t>住宅</w:t>
                  </w:r>
                </w:p>
              </w:tc>
              <w:tc>
                <w:tcPr>
                  <w:tcW w:w="935" w:type="pct"/>
                  <w:vMerge w:val="restart"/>
                  <w:noWrap w:val="0"/>
                  <w:vAlign w:val="center"/>
                </w:tcPr>
                <w:p>
                  <w:pPr>
                    <w:pStyle w:val="176"/>
                    <w:rPr>
                      <w:rFonts w:hint="eastAsia" w:eastAsia="宋体"/>
                      <w:color w:val="auto"/>
                      <w:lang w:eastAsia="zh-CN"/>
                    </w:rPr>
                  </w:pPr>
                  <w:r>
                    <w:rPr>
                      <w:rFonts w:hint="eastAsia"/>
                      <w:color w:val="auto"/>
                      <w:lang w:eastAsia="zh-CN"/>
                    </w:rPr>
                    <w:t>南侧</w:t>
                  </w:r>
                </w:p>
              </w:tc>
              <w:tc>
                <w:tcPr>
                  <w:tcW w:w="1000" w:type="pct"/>
                  <w:noWrap w:val="0"/>
                  <w:vAlign w:val="center"/>
                </w:tcPr>
                <w:p>
                  <w:pPr>
                    <w:pStyle w:val="176"/>
                    <w:rPr>
                      <w:rFonts w:hint="default" w:eastAsia="宋体"/>
                      <w:color w:val="auto"/>
                      <w:lang w:val="en-US" w:eastAsia="zh-CN"/>
                    </w:rPr>
                  </w:pPr>
                  <w:r>
                    <w:rPr>
                      <w:rFonts w:hint="eastAsia"/>
                      <w:color w:val="auto"/>
                      <w:lang w:val="en-US" w:eastAsia="zh-CN"/>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475" w:type="pct"/>
                  <w:noWrap w:val="0"/>
                  <w:vAlign w:val="center"/>
                </w:tcPr>
                <w:p>
                  <w:pPr>
                    <w:pStyle w:val="176"/>
                    <w:rPr>
                      <w:color w:val="auto"/>
                    </w:rPr>
                  </w:pPr>
                  <w:r>
                    <w:rPr>
                      <w:rFonts w:hint="eastAsia"/>
                      <w:color w:val="auto"/>
                    </w:rPr>
                    <w:t>7</w:t>
                  </w:r>
                </w:p>
              </w:tc>
              <w:tc>
                <w:tcPr>
                  <w:tcW w:w="1709" w:type="pct"/>
                  <w:noWrap w:val="0"/>
                  <w:vAlign w:val="center"/>
                </w:tcPr>
                <w:p>
                  <w:pPr>
                    <w:pStyle w:val="176"/>
                    <w:rPr>
                      <w:rFonts w:hint="eastAsia" w:eastAsia="宋体"/>
                      <w:color w:val="auto"/>
                      <w:lang w:eastAsia="zh-CN"/>
                    </w:rPr>
                  </w:pPr>
                  <w:r>
                    <w:rPr>
                      <w:rFonts w:hint="eastAsia"/>
                      <w:color w:val="auto"/>
                      <w:lang w:eastAsia="zh-CN"/>
                    </w:rPr>
                    <w:t>世豪广场</w:t>
                  </w:r>
                </w:p>
              </w:tc>
              <w:tc>
                <w:tcPr>
                  <w:tcW w:w="879" w:type="pct"/>
                  <w:noWrap w:val="0"/>
                  <w:vAlign w:val="center"/>
                </w:tcPr>
                <w:p>
                  <w:pPr>
                    <w:pStyle w:val="176"/>
                    <w:rPr>
                      <w:rFonts w:hint="eastAsia"/>
                      <w:color w:val="auto"/>
                    </w:rPr>
                  </w:pPr>
                  <w:r>
                    <w:rPr>
                      <w:rFonts w:hint="eastAsia"/>
                      <w:color w:val="auto"/>
                    </w:rPr>
                    <w:t>住宅</w:t>
                  </w:r>
                </w:p>
              </w:tc>
              <w:tc>
                <w:tcPr>
                  <w:tcW w:w="935" w:type="pct"/>
                  <w:vMerge w:val="continue"/>
                  <w:noWrap w:val="0"/>
                  <w:vAlign w:val="center"/>
                </w:tcPr>
                <w:p>
                  <w:pPr>
                    <w:pStyle w:val="176"/>
                    <w:rPr>
                      <w:rFonts w:hint="eastAsia"/>
                      <w:color w:val="auto"/>
                    </w:rPr>
                  </w:pPr>
                </w:p>
              </w:tc>
              <w:tc>
                <w:tcPr>
                  <w:tcW w:w="1000" w:type="pct"/>
                  <w:noWrap w:val="0"/>
                  <w:vAlign w:val="center"/>
                </w:tcPr>
                <w:p>
                  <w:pPr>
                    <w:pStyle w:val="176"/>
                    <w:rPr>
                      <w:rFonts w:hint="default" w:eastAsia="宋体"/>
                      <w:color w:val="auto"/>
                      <w:lang w:val="en-US" w:eastAsia="zh-CN"/>
                    </w:rPr>
                  </w:pPr>
                  <w:r>
                    <w:rPr>
                      <w:rFonts w:hint="eastAsia"/>
                      <w:color w:val="auto"/>
                      <w:lang w:val="en-US" w:eastAsia="zh-CN"/>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4" w:hRule="atLeast"/>
              </w:trPr>
              <w:tc>
                <w:tcPr>
                  <w:tcW w:w="475" w:type="pct"/>
                  <w:noWrap w:val="0"/>
                  <w:vAlign w:val="center"/>
                </w:tcPr>
                <w:p>
                  <w:pPr>
                    <w:pStyle w:val="176"/>
                    <w:rPr>
                      <w:color w:val="auto"/>
                    </w:rPr>
                  </w:pPr>
                  <w:r>
                    <w:rPr>
                      <w:rFonts w:hint="eastAsia"/>
                      <w:color w:val="auto"/>
                    </w:rPr>
                    <w:t>8</w:t>
                  </w:r>
                </w:p>
              </w:tc>
              <w:tc>
                <w:tcPr>
                  <w:tcW w:w="1709" w:type="pct"/>
                  <w:noWrap w:val="0"/>
                  <w:vAlign w:val="center"/>
                </w:tcPr>
                <w:p>
                  <w:pPr>
                    <w:pStyle w:val="176"/>
                    <w:rPr>
                      <w:rFonts w:hint="eastAsia" w:eastAsia="宋体"/>
                      <w:color w:val="auto"/>
                      <w:lang w:eastAsia="zh-CN"/>
                    </w:rPr>
                  </w:pPr>
                  <w:r>
                    <w:rPr>
                      <w:rFonts w:hint="eastAsia"/>
                      <w:color w:val="auto"/>
                      <w:lang w:eastAsia="zh-CN"/>
                    </w:rPr>
                    <w:t>阳光青江壹号</w:t>
                  </w:r>
                </w:p>
              </w:tc>
              <w:tc>
                <w:tcPr>
                  <w:tcW w:w="879" w:type="pct"/>
                  <w:noWrap w:val="0"/>
                  <w:vAlign w:val="center"/>
                </w:tcPr>
                <w:p>
                  <w:pPr>
                    <w:pStyle w:val="176"/>
                    <w:rPr>
                      <w:rFonts w:hint="eastAsia"/>
                      <w:color w:val="auto"/>
                    </w:rPr>
                  </w:pPr>
                  <w:r>
                    <w:rPr>
                      <w:rFonts w:hint="eastAsia"/>
                      <w:color w:val="auto"/>
                    </w:rPr>
                    <w:t>住宅</w:t>
                  </w:r>
                </w:p>
              </w:tc>
              <w:tc>
                <w:tcPr>
                  <w:tcW w:w="935" w:type="pct"/>
                  <w:vMerge w:val="restart"/>
                  <w:noWrap w:val="0"/>
                  <w:vAlign w:val="center"/>
                </w:tcPr>
                <w:p>
                  <w:pPr>
                    <w:pStyle w:val="176"/>
                    <w:rPr>
                      <w:rFonts w:hint="eastAsia" w:eastAsia="宋体"/>
                      <w:color w:val="auto"/>
                      <w:lang w:eastAsia="zh-CN"/>
                    </w:rPr>
                  </w:pPr>
                  <w:r>
                    <w:rPr>
                      <w:rFonts w:hint="eastAsia"/>
                      <w:color w:val="auto"/>
                      <w:lang w:eastAsia="zh-CN"/>
                    </w:rPr>
                    <w:t>西南侧</w:t>
                  </w:r>
                </w:p>
              </w:tc>
              <w:tc>
                <w:tcPr>
                  <w:tcW w:w="1000" w:type="pct"/>
                  <w:noWrap w:val="0"/>
                  <w:vAlign w:val="center"/>
                </w:tcPr>
                <w:p>
                  <w:pPr>
                    <w:pStyle w:val="176"/>
                    <w:rPr>
                      <w:rFonts w:hint="default" w:eastAsia="宋体"/>
                      <w:color w:val="auto"/>
                      <w:lang w:val="en-US" w:eastAsia="zh-CN"/>
                    </w:rPr>
                  </w:pPr>
                  <w:r>
                    <w:rPr>
                      <w:rFonts w:hint="eastAsia"/>
                      <w:color w:val="auto"/>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475" w:type="pct"/>
                  <w:noWrap w:val="0"/>
                  <w:vAlign w:val="center"/>
                </w:tcPr>
                <w:p>
                  <w:pPr>
                    <w:pStyle w:val="176"/>
                    <w:rPr>
                      <w:rFonts w:hint="eastAsia" w:eastAsia="宋体"/>
                      <w:color w:val="auto"/>
                      <w:lang w:val="en-US" w:eastAsia="zh-CN"/>
                    </w:rPr>
                  </w:pPr>
                  <w:r>
                    <w:rPr>
                      <w:rFonts w:hint="eastAsia"/>
                      <w:color w:val="auto"/>
                      <w:lang w:val="en-US" w:eastAsia="zh-CN"/>
                    </w:rPr>
                    <w:t>9</w:t>
                  </w:r>
                </w:p>
              </w:tc>
              <w:tc>
                <w:tcPr>
                  <w:tcW w:w="1709" w:type="pct"/>
                  <w:noWrap w:val="0"/>
                  <w:vAlign w:val="center"/>
                </w:tcPr>
                <w:p>
                  <w:pPr>
                    <w:pStyle w:val="176"/>
                    <w:rPr>
                      <w:rFonts w:hint="eastAsia"/>
                      <w:color w:val="auto"/>
                      <w:lang w:eastAsia="zh-CN"/>
                    </w:rPr>
                  </w:pPr>
                  <w:r>
                    <w:rPr>
                      <w:rFonts w:hint="eastAsia"/>
                      <w:color w:val="auto"/>
                      <w:lang w:eastAsia="zh-CN"/>
                    </w:rPr>
                    <w:t>乐山市妇幼保健院</w:t>
                  </w:r>
                </w:p>
              </w:tc>
              <w:tc>
                <w:tcPr>
                  <w:tcW w:w="879" w:type="pct"/>
                  <w:noWrap w:val="0"/>
                  <w:vAlign w:val="center"/>
                </w:tcPr>
                <w:p>
                  <w:pPr>
                    <w:pStyle w:val="176"/>
                    <w:rPr>
                      <w:rFonts w:hint="eastAsia" w:eastAsia="宋体"/>
                      <w:color w:val="auto"/>
                      <w:lang w:eastAsia="zh-CN"/>
                    </w:rPr>
                  </w:pPr>
                  <w:r>
                    <w:rPr>
                      <w:rFonts w:hint="eastAsia"/>
                      <w:color w:val="auto"/>
                      <w:lang w:eastAsia="zh-CN"/>
                    </w:rPr>
                    <w:t>医院</w:t>
                  </w:r>
                </w:p>
              </w:tc>
              <w:tc>
                <w:tcPr>
                  <w:tcW w:w="935" w:type="pct"/>
                  <w:vMerge w:val="continue"/>
                  <w:noWrap w:val="0"/>
                  <w:vAlign w:val="center"/>
                </w:tcPr>
                <w:p>
                  <w:pPr>
                    <w:pStyle w:val="176"/>
                    <w:rPr>
                      <w:rFonts w:hint="eastAsia"/>
                      <w:color w:val="auto"/>
                    </w:rPr>
                  </w:pPr>
                </w:p>
              </w:tc>
              <w:tc>
                <w:tcPr>
                  <w:tcW w:w="1000" w:type="pct"/>
                  <w:noWrap w:val="0"/>
                  <w:vAlign w:val="center"/>
                </w:tcPr>
                <w:p>
                  <w:pPr>
                    <w:pStyle w:val="176"/>
                    <w:rPr>
                      <w:rFonts w:hint="default" w:eastAsia="宋体"/>
                      <w:color w:val="auto"/>
                      <w:lang w:val="en-US" w:eastAsia="zh-CN"/>
                    </w:rPr>
                  </w:pPr>
                  <w:r>
                    <w:rPr>
                      <w:rFonts w:hint="eastAsia"/>
                      <w:color w:val="auto"/>
                      <w:lang w:val="en-US" w:eastAsia="zh-CN"/>
                    </w:rPr>
                    <w:t>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475" w:type="pct"/>
                  <w:noWrap w:val="0"/>
                  <w:vAlign w:val="center"/>
                </w:tcPr>
                <w:p>
                  <w:pPr>
                    <w:pStyle w:val="176"/>
                    <w:rPr>
                      <w:rFonts w:hint="default" w:eastAsia="宋体"/>
                      <w:color w:val="auto"/>
                      <w:lang w:val="en-US" w:eastAsia="zh-CN"/>
                    </w:rPr>
                  </w:pPr>
                  <w:r>
                    <w:rPr>
                      <w:rFonts w:hint="eastAsia"/>
                      <w:color w:val="auto"/>
                      <w:lang w:val="en-US" w:eastAsia="zh-CN"/>
                    </w:rPr>
                    <w:t>10</w:t>
                  </w:r>
                </w:p>
              </w:tc>
              <w:tc>
                <w:tcPr>
                  <w:tcW w:w="1709" w:type="pct"/>
                  <w:noWrap w:val="0"/>
                  <w:vAlign w:val="center"/>
                </w:tcPr>
                <w:p>
                  <w:pPr>
                    <w:pStyle w:val="176"/>
                    <w:rPr>
                      <w:rFonts w:hint="eastAsia"/>
                      <w:color w:val="auto"/>
                      <w:lang w:eastAsia="zh-CN"/>
                    </w:rPr>
                  </w:pPr>
                  <w:r>
                    <w:rPr>
                      <w:rFonts w:hint="eastAsia"/>
                      <w:color w:val="auto"/>
                      <w:lang w:eastAsia="zh-CN"/>
                    </w:rPr>
                    <w:t>邦泰国际社区</w:t>
                  </w:r>
                </w:p>
              </w:tc>
              <w:tc>
                <w:tcPr>
                  <w:tcW w:w="879" w:type="pct"/>
                  <w:noWrap w:val="0"/>
                  <w:vAlign w:val="center"/>
                </w:tcPr>
                <w:p>
                  <w:pPr>
                    <w:pStyle w:val="176"/>
                    <w:rPr>
                      <w:rFonts w:hint="eastAsia"/>
                      <w:color w:val="auto"/>
                    </w:rPr>
                  </w:pPr>
                  <w:r>
                    <w:rPr>
                      <w:rFonts w:hint="eastAsia"/>
                      <w:color w:val="auto"/>
                    </w:rPr>
                    <w:t>住宅</w:t>
                  </w:r>
                </w:p>
              </w:tc>
              <w:tc>
                <w:tcPr>
                  <w:tcW w:w="935" w:type="pct"/>
                  <w:noWrap w:val="0"/>
                  <w:vAlign w:val="center"/>
                </w:tcPr>
                <w:p>
                  <w:pPr>
                    <w:pStyle w:val="176"/>
                    <w:rPr>
                      <w:rFonts w:hint="default" w:eastAsia="宋体"/>
                      <w:color w:val="auto"/>
                      <w:lang w:val="en-US" w:eastAsia="zh-CN"/>
                    </w:rPr>
                  </w:pPr>
                  <w:r>
                    <w:rPr>
                      <w:rFonts w:hint="eastAsia"/>
                      <w:color w:val="auto"/>
                      <w:lang w:eastAsia="zh-CN"/>
                    </w:rPr>
                    <w:t>西</w:t>
                  </w:r>
                  <w:r>
                    <w:rPr>
                      <w:rFonts w:hint="eastAsia"/>
                      <w:color w:val="auto"/>
                      <w:lang w:val="en-US" w:eastAsia="zh-CN"/>
                    </w:rPr>
                    <w:t>~西北侧</w:t>
                  </w:r>
                </w:p>
              </w:tc>
              <w:tc>
                <w:tcPr>
                  <w:tcW w:w="1000" w:type="pct"/>
                  <w:noWrap w:val="0"/>
                  <w:vAlign w:val="center"/>
                </w:tcPr>
                <w:p>
                  <w:pPr>
                    <w:pStyle w:val="176"/>
                    <w:rPr>
                      <w:rFonts w:hint="default" w:eastAsia="宋体"/>
                      <w:color w:val="auto"/>
                      <w:lang w:val="en-US" w:eastAsia="zh-CN"/>
                    </w:rPr>
                  </w:pPr>
                  <w:r>
                    <w:rPr>
                      <w:rFonts w:hint="eastAsia"/>
                      <w:color w:val="auto"/>
                      <w:lang w:val="en-US" w:eastAsia="zh-CN"/>
                    </w:rPr>
                    <w:t>500</w:t>
                  </w:r>
                </w:p>
              </w:tc>
            </w:tr>
          </w:tbl>
          <w:p>
            <w:pPr>
              <w:pStyle w:val="110"/>
              <w:ind w:firstLine="480"/>
              <w:rPr>
                <w:rFonts w:hint="eastAsia"/>
                <w:color w:val="auto"/>
              </w:rPr>
            </w:pPr>
            <w:r>
              <w:rPr>
                <w:rFonts w:hint="eastAsia"/>
                <w:color w:val="auto"/>
              </w:rPr>
              <w:t>同时，该项目为宠物医院服务项目，该项目的实施，能够满足周边百姓对宠物医疗的需求。项目在运营过程中，对环境影响的表现为废水、废气、固废、噪声，其中项目产生的医疗废水经一体化污水处理设施处理后同生活污水一同进入</w:t>
            </w:r>
            <w:r>
              <w:rPr>
                <w:rFonts w:hint="eastAsia"/>
                <w:color w:val="auto"/>
                <w:lang w:eastAsia="zh-CN"/>
              </w:rPr>
              <w:t>邦泰国际社区</w:t>
            </w:r>
            <w:r>
              <w:rPr>
                <w:rFonts w:hint="eastAsia"/>
                <w:color w:val="auto"/>
              </w:rPr>
              <w:t>商住小区污水预处理池，经</w:t>
            </w:r>
            <w:r>
              <w:rPr>
                <w:rFonts w:hint="eastAsia"/>
                <w:color w:val="auto"/>
                <w:lang w:eastAsia="zh-CN"/>
              </w:rPr>
              <w:t>邦泰国际社区</w:t>
            </w:r>
            <w:r>
              <w:rPr>
                <w:rFonts w:hint="eastAsia"/>
                <w:color w:val="auto"/>
              </w:rPr>
              <w:t>商住小区污水预处理池处理后进入市政污水管网，最终经乐山市第一污水处理厂处理达标后排入岷江；项目产生的废气主要为在诊疗过程中动物自身散发出的少量异味、医疗废物暂存间异味及带菌医疗废气，定期开窗通风加强院内空气流通，日常采用移动式紫外线灯及臭氧消毒机加强对院内环境消毒来降低废气对周边环境的影响；项目产生的固废主要为生活垃圾、宠物粪便</w:t>
            </w:r>
            <w:r>
              <w:rPr>
                <w:rFonts w:hint="eastAsia"/>
                <w:color w:val="auto"/>
                <w:lang w:eastAsia="zh-CN"/>
              </w:rPr>
              <w:t>及垫料</w:t>
            </w:r>
            <w:r>
              <w:rPr>
                <w:rFonts w:hint="eastAsia"/>
                <w:color w:val="auto"/>
              </w:rPr>
              <w:t>、宠物毛发、</w:t>
            </w:r>
            <w:r>
              <w:rPr>
                <w:rFonts w:hint="eastAsia"/>
                <w:color w:val="auto"/>
                <w:lang w:val="en-US" w:eastAsia="zh-CN"/>
              </w:rPr>
              <w:t>废外包材、</w:t>
            </w:r>
            <w:r>
              <w:rPr>
                <w:rFonts w:hint="eastAsia"/>
                <w:color w:val="auto"/>
              </w:rPr>
              <w:t>宠物尸体</w:t>
            </w:r>
            <w:r>
              <w:rPr>
                <w:rFonts w:hint="eastAsia"/>
                <w:color w:val="auto"/>
                <w:lang w:eastAsia="zh-CN"/>
              </w:rPr>
              <w:t>、</w:t>
            </w:r>
            <w:r>
              <w:rPr>
                <w:rFonts w:hint="eastAsia"/>
                <w:color w:val="auto"/>
              </w:rPr>
              <w:t>医疗</w:t>
            </w:r>
            <w:r>
              <w:rPr>
                <w:rFonts w:hint="eastAsia"/>
                <w:color w:val="auto"/>
                <w:lang w:eastAsia="zh-CN"/>
              </w:rPr>
              <w:t>废物、废紫外线灯管、废活性炭及污水处理器污泥</w:t>
            </w:r>
            <w:r>
              <w:rPr>
                <w:rFonts w:hint="eastAsia"/>
                <w:color w:val="auto"/>
              </w:rPr>
              <w:t>，其中宠物粪便及</w:t>
            </w:r>
            <w:r>
              <w:rPr>
                <w:rFonts w:hint="eastAsia"/>
                <w:color w:val="auto"/>
                <w:lang w:eastAsia="zh-CN"/>
              </w:rPr>
              <w:t>垫料、</w:t>
            </w:r>
            <w:r>
              <w:rPr>
                <w:rFonts w:hint="eastAsia"/>
                <w:color w:val="auto"/>
              </w:rPr>
              <w:t>宠物毛发经消毒杀菌后同生活垃圾收集堆放至片区垃圾桶，由街道环卫部门清运处理，</w:t>
            </w:r>
            <w:r>
              <w:rPr>
                <w:rFonts w:hint="eastAsia"/>
                <w:color w:val="auto"/>
                <w:lang w:eastAsia="zh-CN"/>
              </w:rPr>
              <w:t>废外包材</w:t>
            </w:r>
            <w:r>
              <w:rPr>
                <w:rFonts w:hint="eastAsia"/>
                <w:color w:val="auto"/>
                <w:lang w:val="en-US" w:eastAsia="zh-CN"/>
              </w:rPr>
              <w:t>集中收集后定期外售废品收购站，</w:t>
            </w:r>
            <w:r>
              <w:rPr>
                <w:rFonts w:hint="eastAsia"/>
                <w:color w:val="auto"/>
              </w:rPr>
              <w:t>医疗废物收集后暂存于医疗废物暂存间，定期交由成都市科农动物无害化处置有限公司转运处置，废紫外线灯管</w:t>
            </w:r>
            <w:r>
              <w:rPr>
                <w:rFonts w:hint="eastAsia"/>
                <w:color w:val="auto"/>
                <w:lang w:val="en-US" w:eastAsia="zh-CN"/>
              </w:rPr>
              <w:t>采用专用包装容器收集，</w:t>
            </w:r>
            <w:r>
              <w:rPr>
                <w:rFonts w:hint="eastAsia"/>
                <w:color w:val="auto"/>
                <w:lang w:eastAsia="zh-CN"/>
              </w:rPr>
              <w:t>暂存于危废暂存间，定期交由资质单位处置，</w:t>
            </w:r>
            <w:r>
              <w:rPr>
                <w:rFonts w:hint="eastAsia"/>
                <w:color w:val="auto"/>
                <w:lang w:val="en-US" w:eastAsia="zh-CN"/>
              </w:rPr>
              <w:t>废活性炭采用专用包装袋收集，暂存于危废暂存间，定期交由资质单位处置，污水处理器污泥采用专用容器包装，暂存于危废暂存间，定期交由资质单位处置</w:t>
            </w:r>
            <w:r>
              <w:rPr>
                <w:rFonts w:hint="eastAsia"/>
                <w:color w:val="auto"/>
              </w:rPr>
              <w:t>；项目运营过程中产生的噪声主要表现为</w:t>
            </w:r>
            <w:r>
              <w:rPr>
                <w:rFonts w:hint="eastAsia"/>
                <w:color w:val="auto"/>
                <w:lang w:eastAsia="zh-CN"/>
              </w:rPr>
              <w:t>设备</w:t>
            </w:r>
            <w:r>
              <w:rPr>
                <w:rFonts w:hint="eastAsia"/>
                <w:color w:val="auto"/>
              </w:rPr>
              <w:t>噪声和宠物叫声，噪声经墙体隔音及日常加强对宠物的管理后，噪声对声环境的影响较小。</w:t>
            </w:r>
          </w:p>
          <w:p>
            <w:pPr>
              <w:pStyle w:val="110"/>
              <w:ind w:firstLine="480"/>
              <w:rPr>
                <w:color w:val="auto"/>
              </w:rPr>
            </w:pPr>
            <w:r>
              <w:rPr>
                <w:rFonts w:hint="eastAsia"/>
                <w:color w:val="auto"/>
              </w:rPr>
              <w:t>综上，项目在对运营期产生的污染物采取合理措施后，本项目的建设运营对区域环境影响较小，项目周边主要以商业及居住为主，因此，项目周边</w:t>
            </w:r>
            <w:r>
              <w:rPr>
                <w:color w:val="auto"/>
              </w:rPr>
              <w:t>不存在明显的环境制约因素</w:t>
            </w:r>
            <w:r>
              <w:rPr>
                <w:rFonts w:hint="eastAsia"/>
                <w:color w:val="auto"/>
              </w:rPr>
              <w:t>。本项目</w:t>
            </w:r>
            <w:r>
              <w:rPr>
                <w:rFonts w:hint="eastAsia"/>
                <w:color w:val="auto"/>
                <w:lang w:eastAsia="zh-CN"/>
              </w:rPr>
              <w:t>与</w:t>
            </w:r>
            <w:r>
              <w:rPr>
                <w:rFonts w:hint="eastAsia"/>
                <w:color w:val="auto"/>
              </w:rPr>
              <w:t>周边外环境基本相容。</w:t>
            </w:r>
          </w:p>
        </w:tc>
      </w:tr>
    </w:tbl>
    <w:p>
      <w:pPr>
        <w:pStyle w:val="176"/>
        <w:rPr>
          <w:color w:val="auto"/>
        </w:rPr>
        <w:sectPr>
          <w:headerReference r:id="rId12" w:type="default"/>
          <w:pgSz w:w="11906" w:h="16838"/>
          <w:pgMar w:top="1701" w:right="1531" w:bottom="1701" w:left="1531" w:header="851" w:footer="1077" w:gutter="0"/>
          <w:cols w:space="720" w:num="1"/>
          <w:docGrid w:linePitch="312" w:charSpace="0"/>
        </w:sectPr>
      </w:pPr>
    </w:p>
    <w:p>
      <w:pPr>
        <w:pStyle w:val="4"/>
        <w:ind w:firstLine="602"/>
        <w:rPr>
          <w:color w:val="auto"/>
        </w:rPr>
      </w:pPr>
      <w:bookmarkStart w:id="3" w:name="_Toc10655"/>
      <w:r>
        <w:rPr>
          <w:rFonts w:hint="eastAsia"/>
          <w:color w:val="auto"/>
        </w:rPr>
        <w:t>二、建设项目工程分析</w:t>
      </w:r>
      <w:bookmarkEnd w:id="3"/>
    </w:p>
    <w:tbl>
      <w:tblPr>
        <w:tblStyle w:val="3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86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2" w:hRule="atLeast"/>
          <w:jc w:val="center"/>
        </w:trPr>
        <w:tc>
          <w:tcPr>
            <w:tcW w:w="627" w:type="dxa"/>
            <w:noWrap w:val="0"/>
            <w:vAlign w:val="center"/>
          </w:tcPr>
          <w:p>
            <w:pPr>
              <w:pStyle w:val="108"/>
              <w:ind w:firstLine="0" w:firstLineChars="0"/>
              <w:jc w:val="center"/>
              <w:rPr>
                <w:rFonts w:hint="eastAsia"/>
                <w:color w:val="auto"/>
              </w:rPr>
            </w:pPr>
            <w:r>
              <w:rPr>
                <w:rFonts w:hint="eastAsia"/>
                <w:color w:val="auto"/>
              </w:rPr>
              <w:t>建</w:t>
            </w:r>
          </w:p>
          <w:p>
            <w:pPr>
              <w:pStyle w:val="108"/>
              <w:ind w:firstLine="0" w:firstLineChars="0"/>
              <w:jc w:val="center"/>
              <w:rPr>
                <w:rFonts w:hint="eastAsia"/>
                <w:color w:val="auto"/>
              </w:rPr>
            </w:pPr>
            <w:r>
              <w:rPr>
                <w:rFonts w:hint="eastAsia"/>
                <w:color w:val="auto"/>
              </w:rPr>
              <w:t>设</w:t>
            </w:r>
          </w:p>
          <w:p>
            <w:pPr>
              <w:pStyle w:val="108"/>
              <w:ind w:firstLine="0" w:firstLineChars="0"/>
              <w:jc w:val="center"/>
              <w:rPr>
                <w:rFonts w:hint="eastAsia"/>
                <w:color w:val="auto"/>
              </w:rPr>
            </w:pPr>
            <w:r>
              <w:rPr>
                <w:rFonts w:hint="eastAsia"/>
                <w:color w:val="auto"/>
              </w:rPr>
              <w:t>内</w:t>
            </w:r>
          </w:p>
          <w:p>
            <w:pPr>
              <w:pStyle w:val="108"/>
              <w:ind w:firstLine="0" w:firstLineChars="0"/>
              <w:jc w:val="center"/>
              <w:rPr>
                <w:rFonts w:cs="宋体"/>
                <w:color w:val="auto"/>
                <w:szCs w:val="21"/>
              </w:rPr>
            </w:pPr>
            <w:r>
              <w:rPr>
                <w:rFonts w:hint="eastAsia"/>
                <w:color w:val="auto"/>
              </w:rPr>
              <w:t>容</w:t>
            </w:r>
          </w:p>
        </w:tc>
        <w:tc>
          <w:tcPr>
            <w:tcW w:w="8433" w:type="dxa"/>
            <w:noWrap w:val="0"/>
            <w:vAlign w:val="top"/>
          </w:tcPr>
          <w:p>
            <w:pPr>
              <w:pStyle w:val="5"/>
              <w:numPr>
                <w:ilvl w:val="0"/>
                <w:numId w:val="0"/>
              </w:numPr>
              <w:spacing w:after="120"/>
              <w:rPr>
                <w:color w:val="auto"/>
              </w:rPr>
            </w:pPr>
            <w:r>
              <w:rPr>
                <w:rFonts w:hint="eastAsia"/>
                <w:color w:val="auto"/>
                <w:lang w:val="en-US" w:eastAsia="zh-CN"/>
              </w:rPr>
              <w:t>1、</w:t>
            </w:r>
            <w:r>
              <w:rPr>
                <w:color w:val="auto"/>
              </w:rPr>
              <w:t>项目背景</w:t>
            </w:r>
          </w:p>
          <w:p>
            <w:pPr>
              <w:pStyle w:val="110"/>
              <w:ind w:firstLine="480"/>
              <w:rPr>
                <w:color w:val="auto"/>
              </w:rPr>
            </w:pPr>
            <w:r>
              <w:rPr>
                <w:rFonts w:hint="eastAsia"/>
                <w:color w:val="auto"/>
                <w:lang w:eastAsia="zh-CN"/>
              </w:rPr>
              <w:t>乐山市市中区乐嘉宠物医院</w:t>
            </w:r>
            <w:r>
              <w:rPr>
                <w:rFonts w:hint="eastAsia"/>
                <w:color w:val="auto"/>
              </w:rPr>
              <w:t>于201</w:t>
            </w:r>
            <w:r>
              <w:rPr>
                <w:rFonts w:hint="eastAsia"/>
                <w:color w:val="auto"/>
                <w:lang w:val="en-US" w:eastAsia="zh-CN"/>
              </w:rPr>
              <w:t>9</w:t>
            </w:r>
            <w:r>
              <w:rPr>
                <w:rFonts w:hint="eastAsia"/>
                <w:color w:val="auto"/>
              </w:rPr>
              <w:t>年</w:t>
            </w:r>
            <w:r>
              <w:rPr>
                <w:rFonts w:hint="eastAsia"/>
                <w:color w:val="auto"/>
                <w:lang w:val="en-US" w:eastAsia="zh-CN"/>
              </w:rPr>
              <w:t>3</w:t>
            </w:r>
            <w:r>
              <w:rPr>
                <w:rFonts w:hint="eastAsia"/>
                <w:color w:val="auto"/>
              </w:rPr>
              <w:t>月在乐山市市中区市场和质量监督管理局登记注册成立，于201</w:t>
            </w:r>
            <w:r>
              <w:rPr>
                <w:rFonts w:hint="eastAsia"/>
                <w:color w:val="auto"/>
                <w:lang w:val="en-US" w:eastAsia="zh-CN"/>
              </w:rPr>
              <w:t>9</w:t>
            </w:r>
            <w:r>
              <w:rPr>
                <w:rFonts w:hint="eastAsia"/>
                <w:color w:val="auto"/>
              </w:rPr>
              <w:t>年</w:t>
            </w:r>
            <w:r>
              <w:rPr>
                <w:rFonts w:hint="eastAsia"/>
                <w:color w:val="auto"/>
                <w:lang w:val="en-US" w:eastAsia="zh-CN"/>
              </w:rPr>
              <w:t>6</w:t>
            </w:r>
            <w:r>
              <w:rPr>
                <w:rFonts w:hint="eastAsia"/>
                <w:color w:val="auto"/>
              </w:rPr>
              <w:t>月</w:t>
            </w:r>
            <w:r>
              <w:rPr>
                <w:rFonts w:hint="eastAsia"/>
                <w:color w:val="auto"/>
                <w:lang w:val="en-US" w:eastAsia="zh-CN"/>
              </w:rPr>
              <w:t>12</w:t>
            </w:r>
            <w:r>
              <w:rPr>
                <w:rFonts w:hint="eastAsia"/>
                <w:color w:val="auto"/>
              </w:rPr>
              <w:t>日取得了由乐山市市中区行政审批局颁发的动物诊疗许可证[动诊证(201</w:t>
            </w:r>
            <w:r>
              <w:rPr>
                <w:rFonts w:hint="eastAsia"/>
                <w:color w:val="auto"/>
                <w:lang w:val="en-US" w:eastAsia="zh-CN"/>
              </w:rPr>
              <w:t>9</w:t>
            </w:r>
            <w:r>
              <w:rPr>
                <w:rFonts w:hint="eastAsia"/>
                <w:color w:val="auto"/>
              </w:rPr>
              <w:t>)第00</w:t>
            </w:r>
            <w:r>
              <w:rPr>
                <w:rFonts w:hint="eastAsia"/>
                <w:color w:val="auto"/>
                <w:lang w:val="en-US" w:eastAsia="zh-CN"/>
              </w:rPr>
              <w:t>2</w:t>
            </w:r>
            <w:r>
              <w:rPr>
                <w:rFonts w:hint="eastAsia"/>
                <w:color w:val="auto"/>
              </w:rPr>
              <w:t>号]，</w:t>
            </w:r>
            <w:r>
              <w:rPr>
                <w:rFonts w:hint="eastAsia"/>
                <w:color w:val="auto"/>
                <w:lang w:eastAsia="zh-CN"/>
              </w:rPr>
              <w:t>批准</w:t>
            </w:r>
            <w:r>
              <w:rPr>
                <w:rFonts w:hint="eastAsia"/>
                <w:color w:val="auto"/>
              </w:rPr>
              <w:t>了该项目，项目</w:t>
            </w:r>
            <w:r>
              <w:rPr>
                <w:rFonts w:hint="eastAsia"/>
                <w:color w:val="auto"/>
                <w:lang w:eastAsia="zh-CN"/>
              </w:rPr>
              <w:t>现已</w:t>
            </w:r>
            <w:r>
              <w:rPr>
                <w:rFonts w:hint="eastAsia"/>
                <w:color w:val="auto"/>
                <w:lang w:val="en-US" w:eastAsia="zh-CN"/>
              </w:rPr>
              <w:t>基本建成</w:t>
            </w:r>
            <w:r>
              <w:rPr>
                <w:rFonts w:hint="eastAsia"/>
                <w:color w:val="auto"/>
              </w:rPr>
              <w:t>。根据现场调查，项目</w:t>
            </w:r>
            <w:r>
              <w:rPr>
                <w:rFonts w:hint="eastAsia"/>
                <w:color w:val="auto"/>
                <w:lang w:eastAsia="zh-CN"/>
              </w:rPr>
              <w:t>实际</w:t>
            </w:r>
            <w:r>
              <w:rPr>
                <w:rFonts w:hint="eastAsia"/>
                <w:color w:val="auto"/>
              </w:rPr>
              <w:t>实施的医疗行为包括了动物疾病诊疗、疫病预防、三腔手术、常规检验化验等，项目安装了手术台、心电监护仪、麻醉机、DR机、B超仪等设备，按照《建设项目环境影响评价分类管理名录（2021年版）》第123项“设有动物颅腔、胸腔或腹腔手术设施的动物医院，应组织编制环境影响报告表”的要求，建设单位违反了相关要求。</w:t>
            </w:r>
          </w:p>
          <w:p>
            <w:pPr>
              <w:pStyle w:val="110"/>
              <w:ind w:firstLine="480"/>
              <w:rPr>
                <w:rFonts w:hint="eastAsia"/>
                <w:color w:val="auto"/>
              </w:rPr>
            </w:pPr>
            <w:r>
              <w:rPr>
                <w:rFonts w:hint="eastAsia"/>
                <w:color w:val="auto"/>
              </w:rPr>
              <w:t>2022年</w:t>
            </w:r>
            <w:r>
              <w:rPr>
                <w:rFonts w:hint="eastAsia"/>
                <w:color w:val="auto"/>
                <w:lang w:val="en-US" w:eastAsia="zh-CN"/>
              </w:rPr>
              <w:t>11</w:t>
            </w:r>
            <w:r>
              <w:rPr>
                <w:rFonts w:hint="eastAsia"/>
                <w:color w:val="auto"/>
              </w:rPr>
              <w:t>月</w:t>
            </w:r>
            <w:r>
              <w:rPr>
                <w:rFonts w:hint="eastAsia"/>
                <w:color w:val="auto"/>
                <w:lang w:val="en-US" w:eastAsia="zh-CN"/>
              </w:rPr>
              <w:t>1</w:t>
            </w:r>
            <w:r>
              <w:rPr>
                <w:rFonts w:hint="eastAsia"/>
                <w:color w:val="auto"/>
              </w:rPr>
              <w:t>日，乐山市生态环境局对建设单位现场进行了调查，发现项目实施了相关环境违法行为</w:t>
            </w:r>
            <w:r>
              <w:rPr>
                <w:rFonts w:hint="eastAsia"/>
                <w:color w:val="auto"/>
                <w:lang w:eastAsia="zh-CN"/>
              </w:rPr>
              <w:t>，乐山市生态环境局下达</w:t>
            </w:r>
            <w:r>
              <w:rPr>
                <w:rFonts w:hint="eastAsia"/>
                <w:color w:val="auto"/>
              </w:rPr>
              <w:t>了责令改正违法行为决定书（乐中环责改字[2022]16号）</w:t>
            </w:r>
            <w:r>
              <w:rPr>
                <w:rFonts w:hint="eastAsia"/>
                <w:color w:val="auto"/>
                <w:lang w:eastAsia="zh-CN"/>
              </w:rPr>
              <w:t>和</w:t>
            </w:r>
            <w:r>
              <w:rPr>
                <w:rFonts w:hint="eastAsia"/>
                <w:color w:val="auto"/>
                <w:lang w:val="en-US" w:eastAsia="zh-CN"/>
              </w:rPr>
              <w:t>行政处罚决定书（乐中环罚[2022]25号），</w:t>
            </w:r>
            <w:r>
              <w:rPr>
                <w:rFonts w:hint="eastAsia"/>
                <w:color w:val="auto"/>
              </w:rPr>
              <w:t>对建设单位处以人民币</w:t>
            </w:r>
            <w:r>
              <w:rPr>
                <w:rFonts w:hint="eastAsia"/>
                <w:color w:val="auto"/>
                <w:lang w:val="en-US" w:eastAsia="zh-CN"/>
              </w:rPr>
              <w:t>35</w:t>
            </w:r>
            <w:r>
              <w:rPr>
                <w:rFonts w:hint="eastAsia"/>
                <w:color w:val="auto"/>
              </w:rPr>
              <w:t>00元罚款，建设单位于2022年</w:t>
            </w:r>
            <w:r>
              <w:rPr>
                <w:rFonts w:hint="eastAsia"/>
                <w:color w:val="auto"/>
                <w:lang w:val="en-US" w:eastAsia="zh-CN"/>
              </w:rPr>
              <w:t>12</w:t>
            </w:r>
            <w:r>
              <w:rPr>
                <w:rFonts w:hint="eastAsia"/>
                <w:color w:val="auto"/>
              </w:rPr>
              <w:t>月</w:t>
            </w:r>
            <w:r>
              <w:rPr>
                <w:rFonts w:hint="eastAsia"/>
                <w:color w:val="auto"/>
                <w:lang w:val="en-US" w:eastAsia="zh-CN"/>
              </w:rPr>
              <w:t>7</w:t>
            </w:r>
            <w:r>
              <w:rPr>
                <w:rFonts w:hint="eastAsia"/>
                <w:color w:val="auto"/>
              </w:rPr>
              <w:t>日缴纳了相关罚款</w:t>
            </w:r>
            <w:r>
              <w:rPr>
                <w:rFonts w:hint="eastAsia"/>
                <w:color w:val="auto"/>
                <w:lang w:eastAsia="zh-CN"/>
              </w:rPr>
              <w:t>，并开始环境影响评价编制工作，本次评价属于补评。</w:t>
            </w:r>
          </w:p>
          <w:p>
            <w:pPr>
              <w:pStyle w:val="110"/>
              <w:ind w:firstLine="480"/>
              <w:rPr>
                <w:rFonts w:hint="eastAsia"/>
                <w:color w:val="auto"/>
              </w:rPr>
            </w:pPr>
            <w:r>
              <w:rPr>
                <w:rFonts w:hint="eastAsia"/>
                <w:color w:val="auto"/>
              </w:rPr>
              <w:t>根据动物诊疗许可证，</w:t>
            </w:r>
            <w:r>
              <w:rPr>
                <w:rFonts w:hint="eastAsia"/>
                <w:color w:val="auto"/>
                <w:lang w:eastAsia="zh-CN"/>
              </w:rPr>
              <w:t>乐山市市中区乐嘉宠物医院</w:t>
            </w:r>
            <w:r>
              <w:rPr>
                <w:rFonts w:hint="eastAsia"/>
                <w:color w:val="auto"/>
              </w:rPr>
              <w:t>诊疗范围为宠物疾病诊疗及预防保健，具体包括动物疾病诊疗、疫病预防、三腔手术、常规检验化验及仅针对手术后的宠物留院观察服务，不涉及传染病宠物的收治，不涉及人畜共生病治科目。</w:t>
            </w:r>
          </w:p>
          <w:p>
            <w:pPr>
              <w:pStyle w:val="110"/>
              <w:ind w:firstLine="480"/>
              <w:rPr>
                <w:rFonts w:hint="eastAsia"/>
                <w:b/>
                <w:bCs/>
                <w:color w:val="auto"/>
              </w:rPr>
            </w:pPr>
            <w:r>
              <w:rPr>
                <w:rFonts w:hint="eastAsia"/>
                <w:b/>
                <w:bCs/>
                <w:color w:val="auto"/>
                <w:lang w:val="en-US" w:eastAsia="zh-CN"/>
              </w:rPr>
              <w:t>项目设置DR室1间，内设置 DR机1台，该部分内容涉及辐射，应另行环评，按相关环保要求另行申报，办理相关手续，不在本次评价范围内。</w:t>
            </w:r>
          </w:p>
          <w:p>
            <w:pPr>
              <w:pStyle w:val="110"/>
              <w:ind w:firstLine="480"/>
              <w:rPr>
                <w:rFonts w:hint="eastAsia"/>
                <w:color w:val="auto"/>
              </w:rPr>
            </w:pPr>
            <w:r>
              <w:rPr>
                <w:rFonts w:hint="eastAsia"/>
                <w:color w:val="auto"/>
              </w:rPr>
              <w:t>根据《中华人民共和国环境影响评价法》和《建设项目环境保护管理条例》的有关规定，本项目需进行环境影响评价工作。根据《建设项目环境影响评价分类管理名录》， 本项目属于“五十、社会事业与服务业 123 动物医院</w:t>
            </w:r>
            <w:r>
              <w:rPr>
                <w:rFonts w:hint="eastAsia"/>
                <w:color w:val="auto"/>
                <w:lang w:val="en-US" w:eastAsia="zh-CN"/>
              </w:rPr>
              <w:t>-设有动物颅腔、胸腔或腹腔手术设施的”，应编制环境影响报告表。为此，乐山市市中区乐嘉宠物医院特委托我公司对本项目进行环境影响评价工作。在接受委托后，我公司组织专业技术人员对本项目进行实地踏勘和资料收集，并根据现场收集资料和有关技术规范及相关规定，结合本项目的污染特征，编制完成了本项目的环境影响评价报告表。</w:t>
            </w:r>
          </w:p>
          <w:p>
            <w:pPr>
              <w:pStyle w:val="5"/>
              <w:spacing w:after="120"/>
              <w:rPr>
                <w:color w:val="auto"/>
              </w:rPr>
            </w:pPr>
            <w:r>
              <w:rPr>
                <w:rFonts w:hint="eastAsia"/>
                <w:color w:val="auto"/>
                <w:lang w:val="en-US" w:eastAsia="zh-CN"/>
              </w:rPr>
              <w:t>2</w:t>
            </w:r>
            <w:r>
              <w:rPr>
                <w:color w:val="auto"/>
              </w:rPr>
              <w:t>、项目基本情况</w:t>
            </w:r>
          </w:p>
          <w:p>
            <w:pPr>
              <w:pStyle w:val="110"/>
              <w:ind w:firstLine="482"/>
              <w:rPr>
                <w:rFonts w:hint="eastAsia" w:eastAsia="宋体"/>
                <w:color w:val="auto"/>
                <w:lang w:eastAsia="zh-CN"/>
              </w:rPr>
            </w:pPr>
            <w:r>
              <w:rPr>
                <w:rFonts w:hint="eastAsia"/>
                <w:b/>
                <w:bCs/>
                <w:color w:val="auto"/>
              </w:rPr>
              <w:t>项目名称：</w:t>
            </w:r>
            <w:r>
              <w:rPr>
                <w:rFonts w:hint="eastAsia"/>
                <w:color w:val="auto"/>
                <w:lang w:eastAsia="zh-CN"/>
              </w:rPr>
              <w:t>乐山市市中区乐嘉宠物医院</w:t>
            </w:r>
          </w:p>
          <w:p>
            <w:pPr>
              <w:pStyle w:val="110"/>
              <w:ind w:firstLine="482"/>
              <w:rPr>
                <w:rFonts w:hint="eastAsia" w:eastAsia="宋体"/>
                <w:color w:val="auto"/>
                <w:lang w:eastAsia="zh-CN"/>
              </w:rPr>
            </w:pPr>
            <w:r>
              <w:rPr>
                <w:rFonts w:hint="eastAsia"/>
                <w:b/>
                <w:bCs/>
                <w:color w:val="auto"/>
              </w:rPr>
              <w:t>建设单位：</w:t>
            </w:r>
            <w:r>
              <w:rPr>
                <w:rFonts w:hint="eastAsia"/>
                <w:color w:val="auto"/>
                <w:lang w:eastAsia="zh-CN"/>
              </w:rPr>
              <w:t>乐山市市中区乐嘉宠物医院</w:t>
            </w:r>
          </w:p>
          <w:p>
            <w:pPr>
              <w:pStyle w:val="110"/>
              <w:ind w:firstLine="482"/>
              <w:rPr>
                <w:rFonts w:hint="eastAsia"/>
                <w:color w:val="auto"/>
              </w:rPr>
            </w:pPr>
            <w:r>
              <w:rPr>
                <w:rFonts w:hint="eastAsia"/>
                <w:b/>
                <w:bCs/>
                <w:color w:val="auto"/>
              </w:rPr>
              <w:t>项目性质：</w:t>
            </w:r>
            <w:r>
              <w:rPr>
                <w:rFonts w:hint="eastAsia"/>
                <w:color w:val="auto"/>
              </w:rPr>
              <w:t>新建</w:t>
            </w:r>
          </w:p>
          <w:p>
            <w:pPr>
              <w:pStyle w:val="110"/>
              <w:ind w:firstLine="482"/>
              <w:rPr>
                <w:rFonts w:hint="eastAsia" w:eastAsia="宋体"/>
                <w:color w:val="auto"/>
                <w:lang w:eastAsia="zh-CN"/>
              </w:rPr>
            </w:pPr>
            <w:r>
              <w:rPr>
                <w:rFonts w:hint="eastAsia"/>
                <w:b/>
                <w:bCs/>
                <w:color w:val="auto"/>
              </w:rPr>
              <w:t>建设地点：</w:t>
            </w:r>
            <w:r>
              <w:rPr>
                <w:rFonts w:hint="eastAsia"/>
                <w:color w:val="auto"/>
                <w:lang w:eastAsia="zh-CN"/>
              </w:rPr>
              <w:t>乐山市市中区凤洲路2028号2楼2号</w:t>
            </w:r>
          </w:p>
          <w:p>
            <w:pPr>
              <w:pStyle w:val="110"/>
              <w:ind w:firstLine="482"/>
              <w:rPr>
                <w:color w:val="auto"/>
              </w:rPr>
            </w:pPr>
            <w:r>
              <w:rPr>
                <w:rFonts w:hint="eastAsia"/>
                <w:b/>
                <w:bCs/>
                <w:color w:val="auto"/>
              </w:rPr>
              <w:t>建设内容：</w:t>
            </w:r>
            <w:r>
              <w:rPr>
                <w:rFonts w:hint="eastAsia"/>
                <w:color w:val="auto"/>
              </w:rPr>
              <w:t>项目总投资</w:t>
            </w:r>
            <w:r>
              <w:rPr>
                <w:rFonts w:hint="eastAsia"/>
                <w:color w:val="auto"/>
                <w:lang w:val="en-US" w:eastAsia="zh-CN"/>
              </w:rPr>
              <w:t>30</w:t>
            </w:r>
            <w:r>
              <w:rPr>
                <w:rFonts w:hint="eastAsia"/>
                <w:color w:val="auto"/>
              </w:rPr>
              <w:t>万元，</w:t>
            </w:r>
            <w:r>
              <w:rPr>
                <w:rFonts w:hint="eastAsia"/>
                <w:color w:val="auto"/>
                <w:lang w:eastAsia="zh-CN"/>
              </w:rPr>
              <w:t>在乐山市市中区凤洲路2028号2楼2号</w:t>
            </w:r>
            <w:r>
              <w:rPr>
                <w:rFonts w:hint="eastAsia"/>
                <w:color w:val="auto"/>
              </w:rPr>
              <w:t>商铺进行项目的建设，建筑面积约</w:t>
            </w:r>
            <w:r>
              <w:rPr>
                <w:rFonts w:hint="eastAsia"/>
                <w:color w:val="auto"/>
                <w:lang w:val="en-US" w:eastAsia="zh-CN"/>
              </w:rPr>
              <w:t>337.02</w:t>
            </w:r>
            <w:r>
              <w:rPr>
                <w:rFonts w:hint="eastAsia"/>
                <w:color w:val="auto"/>
              </w:rPr>
              <w:t>m</w:t>
            </w:r>
            <w:r>
              <w:rPr>
                <w:rFonts w:hint="eastAsia"/>
                <w:color w:val="auto"/>
                <w:vertAlign w:val="superscript"/>
              </w:rPr>
              <w:t>2</w:t>
            </w:r>
            <w:r>
              <w:rPr>
                <w:rFonts w:hint="eastAsia"/>
                <w:color w:val="auto"/>
              </w:rPr>
              <w:t>，主要为宠物提供医疗服务，不涉及动物美容，洗浴等服务，项目建设总共2层楼，主要设置了诊断室、化验室、手术室、B超室、住院病房、药房及DR室等，对各科室安装相应的医疗设备。项目建后门诊最大流量为</w:t>
            </w:r>
            <w:r>
              <w:rPr>
                <w:rFonts w:hint="eastAsia"/>
                <w:color w:val="auto"/>
                <w:lang w:val="en-US" w:eastAsia="zh-CN"/>
              </w:rPr>
              <w:t>2</w:t>
            </w:r>
            <w:r>
              <w:rPr>
                <w:rFonts w:hint="eastAsia"/>
                <w:color w:val="auto"/>
              </w:rPr>
              <w:t>0只/</w:t>
            </w:r>
            <w:r>
              <w:rPr>
                <w:rFonts w:hint="eastAsia"/>
                <w:color w:val="auto"/>
                <w:lang w:val="en-US" w:eastAsia="zh-CN"/>
              </w:rPr>
              <w:t>d</w:t>
            </w:r>
            <w:r>
              <w:rPr>
                <w:rFonts w:hint="eastAsia"/>
                <w:color w:val="auto"/>
              </w:rPr>
              <w:t>，住院室设计最大接纳量为</w:t>
            </w:r>
            <w:r>
              <w:rPr>
                <w:rFonts w:hint="eastAsia"/>
                <w:color w:val="auto"/>
                <w:lang w:val="en-US" w:eastAsia="zh-CN"/>
              </w:rPr>
              <w:t>30</w:t>
            </w:r>
            <w:r>
              <w:rPr>
                <w:rFonts w:hint="eastAsia"/>
                <w:color w:val="auto"/>
              </w:rPr>
              <w:t>只</w:t>
            </w:r>
            <w:r>
              <w:rPr>
                <w:rStyle w:val="46"/>
                <w:rFonts w:hint="eastAsia" w:cs="Times New Roman"/>
                <w:color w:val="auto"/>
                <w:kern w:val="0"/>
                <w:szCs w:val="20"/>
              </w:rPr>
              <w:t>/d</w:t>
            </w:r>
            <w:r>
              <w:rPr>
                <w:rFonts w:hint="eastAsia"/>
                <w:color w:val="auto"/>
              </w:rPr>
              <w:t>。</w:t>
            </w:r>
          </w:p>
          <w:p>
            <w:pPr>
              <w:pStyle w:val="5"/>
              <w:spacing w:after="120"/>
              <w:rPr>
                <w:color w:val="auto"/>
              </w:rPr>
            </w:pPr>
            <w:r>
              <w:rPr>
                <w:rFonts w:hint="eastAsia"/>
                <w:color w:val="auto"/>
                <w:lang w:val="en-US" w:eastAsia="zh-CN"/>
              </w:rPr>
              <w:t>3</w:t>
            </w:r>
            <w:r>
              <w:rPr>
                <w:color w:val="auto"/>
              </w:rPr>
              <w:t>、项目组成与主要环境问题</w:t>
            </w:r>
          </w:p>
          <w:p>
            <w:pPr>
              <w:pStyle w:val="110"/>
              <w:ind w:firstLine="482"/>
              <w:rPr>
                <w:color w:val="auto"/>
              </w:rPr>
            </w:pPr>
            <w:r>
              <w:rPr>
                <w:color w:val="auto"/>
              </w:rPr>
              <w:t>本项目主要由主体工程、辅助工程、公用工程及环保工程</w:t>
            </w:r>
            <w:r>
              <w:rPr>
                <w:rFonts w:hint="eastAsia"/>
                <w:color w:val="auto"/>
              </w:rPr>
              <w:t>等</w:t>
            </w:r>
            <w:r>
              <w:rPr>
                <w:color w:val="auto"/>
              </w:rPr>
              <w:t>组成。现就本项目的项目组成及主要的环境问题列表如下表</w:t>
            </w:r>
            <w:r>
              <w:rPr>
                <w:rFonts w:hint="eastAsia"/>
                <w:color w:val="auto"/>
              </w:rPr>
              <w:t>2</w:t>
            </w:r>
            <w:r>
              <w:rPr>
                <w:color w:val="auto"/>
              </w:rPr>
              <w:t>-</w:t>
            </w:r>
            <w:r>
              <w:rPr>
                <w:rFonts w:hint="eastAsia"/>
                <w:color w:val="auto"/>
              </w:rPr>
              <w:t>1</w:t>
            </w:r>
            <w:r>
              <w:rPr>
                <w:color w:val="auto"/>
              </w:rPr>
              <w:t>：</w:t>
            </w:r>
          </w:p>
          <w:p>
            <w:pPr>
              <w:pStyle w:val="109"/>
              <w:ind w:left="422" w:hanging="422"/>
              <w:rPr>
                <w:color w:val="auto"/>
              </w:rPr>
            </w:pPr>
            <w:r>
              <w:rPr>
                <w:color w:val="auto"/>
              </w:rPr>
              <w:t>表</w:t>
            </w:r>
            <w:r>
              <w:rPr>
                <w:rFonts w:hint="eastAsia"/>
                <w:color w:val="auto"/>
              </w:rPr>
              <w:t>2</w:t>
            </w:r>
            <w:r>
              <w:rPr>
                <w:color w:val="auto"/>
              </w:rPr>
              <w:t>-</w:t>
            </w:r>
            <w:r>
              <w:rPr>
                <w:rFonts w:hint="eastAsia"/>
                <w:color w:val="auto"/>
              </w:rPr>
              <w:t>1</w:t>
            </w:r>
            <w:r>
              <w:rPr>
                <w:color w:val="auto"/>
              </w:rPr>
              <w:t xml:space="preserve"> 工程组成及主要环境问题一览表</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435"/>
              <w:gridCol w:w="1223"/>
              <w:gridCol w:w="3400"/>
              <w:gridCol w:w="835"/>
              <w:gridCol w:w="1095"/>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5" w:hRule="atLeast"/>
                <w:jc w:val="center"/>
              </w:trPr>
              <w:tc>
                <w:tcPr>
                  <w:tcW w:w="578" w:type="pct"/>
                  <w:vMerge w:val="restart"/>
                  <w:noWrap w:val="0"/>
                  <w:vAlign w:val="center"/>
                </w:tcPr>
                <w:p>
                  <w:pPr>
                    <w:pStyle w:val="176"/>
                    <w:rPr>
                      <w:rFonts w:hint="eastAsia"/>
                      <w:color w:val="auto"/>
                    </w:rPr>
                  </w:pPr>
                  <w:r>
                    <w:rPr>
                      <w:rFonts w:hint="eastAsia"/>
                      <w:color w:val="auto"/>
                    </w:rPr>
                    <w:t>工程类别</w:t>
                  </w:r>
                </w:p>
              </w:tc>
              <w:tc>
                <w:tcPr>
                  <w:tcW w:w="987" w:type="pct"/>
                  <w:gridSpan w:val="2"/>
                  <w:vMerge w:val="restart"/>
                  <w:noWrap w:val="0"/>
                  <w:vAlign w:val="center"/>
                </w:tcPr>
                <w:p>
                  <w:pPr>
                    <w:pStyle w:val="176"/>
                    <w:rPr>
                      <w:rFonts w:hint="eastAsia"/>
                      <w:color w:val="auto"/>
                    </w:rPr>
                  </w:pPr>
                  <w:r>
                    <w:rPr>
                      <w:rFonts w:hint="eastAsia"/>
                      <w:color w:val="auto"/>
                    </w:rPr>
                    <w:t>项目名称</w:t>
                  </w:r>
                </w:p>
              </w:tc>
              <w:tc>
                <w:tcPr>
                  <w:tcW w:w="2024" w:type="pct"/>
                  <w:vMerge w:val="restart"/>
                  <w:noWrap w:val="0"/>
                  <w:vAlign w:val="center"/>
                </w:tcPr>
                <w:p>
                  <w:pPr>
                    <w:pStyle w:val="176"/>
                    <w:rPr>
                      <w:color w:val="auto"/>
                    </w:rPr>
                  </w:pPr>
                  <w:r>
                    <w:rPr>
                      <w:color w:val="auto"/>
                    </w:rPr>
                    <w:t>建设内容及规模</w:t>
                  </w:r>
                </w:p>
              </w:tc>
              <w:tc>
                <w:tcPr>
                  <w:tcW w:w="1149" w:type="pct"/>
                  <w:gridSpan w:val="2"/>
                  <w:noWrap w:val="0"/>
                  <w:vAlign w:val="center"/>
                </w:tcPr>
                <w:p>
                  <w:pPr>
                    <w:pStyle w:val="176"/>
                    <w:rPr>
                      <w:rFonts w:hint="eastAsia"/>
                      <w:color w:val="auto"/>
                    </w:rPr>
                  </w:pPr>
                  <w:r>
                    <w:rPr>
                      <w:color w:val="auto"/>
                    </w:rPr>
                    <w:t>可能产生的环境</w:t>
                  </w:r>
                  <w:r>
                    <w:rPr>
                      <w:rFonts w:hint="eastAsia"/>
                      <w:color w:val="auto"/>
                    </w:rPr>
                    <w:t>问题</w:t>
                  </w:r>
                </w:p>
              </w:tc>
              <w:tc>
                <w:tcPr>
                  <w:tcW w:w="260" w:type="pct"/>
                  <w:vMerge w:val="restart"/>
                  <w:noWrap w:val="0"/>
                  <w:vAlign w:val="center"/>
                </w:tcPr>
                <w:p>
                  <w:pPr>
                    <w:pStyle w:val="176"/>
                    <w:rPr>
                      <w:color w:val="auto"/>
                    </w:rPr>
                  </w:pPr>
                  <w:r>
                    <w:rPr>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 w:hRule="atLeast"/>
                <w:jc w:val="center"/>
              </w:trPr>
              <w:tc>
                <w:tcPr>
                  <w:tcW w:w="578" w:type="pct"/>
                  <w:vMerge w:val="continue"/>
                  <w:noWrap w:val="0"/>
                  <w:vAlign w:val="center"/>
                </w:tcPr>
                <w:p>
                  <w:pPr>
                    <w:pStyle w:val="176"/>
                    <w:rPr>
                      <w:color w:val="auto"/>
                    </w:rPr>
                  </w:pPr>
                </w:p>
              </w:tc>
              <w:tc>
                <w:tcPr>
                  <w:tcW w:w="987" w:type="pct"/>
                  <w:gridSpan w:val="2"/>
                  <w:vMerge w:val="continue"/>
                  <w:noWrap w:val="0"/>
                  <w:vAlign w:val="center"/>
                </w:tcPr>
                <w:p>
                  <w:pPr>
                    <w:pStyle w:val="176"/>
                    <w:rPr>
                      <w:color w:val="auto"/>
                    </w:rPr>
                  </w:pPr>
                </w:p>
              </w:tc>
              <w:tc>
                <w:tcPr>
                  <w:tcW w:w="2024" w:type="pct"/>
                  <w:vMerge w:val="continue"/>
                  <w:noWrap w:val="0"/>
                  <w:vAlign w:val="center"/>
                </w:tcPr>
                <w:p>
                  <w:pPr>
                    <w:pStyle w:val="176"/>
                    <w:rPr>
                      <w:color w:val="auto"/>
                    </w:rPr>
                  </w:pPr>
                </w:p>
              </w:tc>
              <w:tc>
                <w:tcPr>
                  <w:tcW w:w="497" w:type="pct"/>
                  <w:noWrap w:val="0"/>
                  <w:vAlign w:val="center"/>
                </w:tcPr>
                <w:p>
                  <w:pPr>
                    <w:pStyle w:val="176"/>
                    <w:rPr>
                      <w:color w:val="auto"/>
                    </w:rPr>
                  </w:pPr>
                  <w:r>
                    <w:rPr>
                      <w:color w:val="auto"/>
                    </w:rPr>
                    <w:t>施工期</w:t>
                  </w:r>
                </w:p>
              </w:tc>
              <w:tc>
                <w:tcPr>
                  <w:tcW w:w="652" w:type="pct"/>
                  <w:noWrap w:val="0"/>
                  <w:vAlign w:val="center"/>
                </w:tcPr>
                <w:p>
                  <w:pPr>
                    <w:pStyle w:val="176"/>
                    <w:rPr>
                      <w:color w:val="auto"/>
                    </w:rPr>
                  </w:pPr>
                  <w:r>
                    <w:rPr>
                      <w:color w:val="auto"/>
                    </w:rPr>
                    <w:t>营运期</w:t>
                  </w:r>
                </w:p>
              </w:tc>
              <w:tc>
                <w:tcPr>
                  <w:tcW w:w="260" w:type="pct"/>
                  <w:vMerge w:val="continue"/>
                  <w:noWrap w:val="0"/>
                  <w:vAlign w:val="center"/>
                </w:tcPr>
                <w:p>
                  <w:pPr>
                    <w:pStyle w:val="176"/>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9" w:hRule="atLeast"/>
                <w:jc w:val="center"/>
              </w:trPr>
              <w:tc>
                <w:tcPr>
                  <w:tcW w:w="578" w:type="pct"/>
                  <w:noWrap w:val="0"/>
                  <w:vAlign w:val="center"/>
                </w:tcPr>
                <w:p>
                  <w:pPr>
                    <w:pStyle w:val="176"/>
                    <w:rPr>
                      <w:color w:val="auto"/>
                    </w:rPr>
                  </w:pPr>
                  <w:r>
                    <w:rPr>
                      <w:color w:val="auto"/>
                    </w:rPr>
                    <w:t>主体</w:t>
                  </w:r>
                </w:p>
                <w:p>
                  <w:pPr>
                    <w:pStyle w:val="176"/>
                    <w:rPr>
                      <w:rFonts w:hint="eastAsia"/>
                      <w:color w:val="auto"/>
                    </w:rPr>
                  </w:pPr>
                  <w:r>
                    <w:rPr>
                      <w:color w:val="auto"/>
                    </w:rPr>
                    <w:t>工程</w:t>
                  </w:r>
                  <w:r>
                    <w:rPr>
                      <w:rFonts w:hint="eastAsia"/>
                      <w:color w:val="auto"/>
                    </w:rPr>
                    <w:t>（装修及设备安装）</w:t>
                  </w:r>
                </w:p>
              </w:tc>
              <w:tc>
                <w:tcPr>
                  <w:tcW w:w="987" w:type="pct"/>
                  <w:gridSpan w:val="2"/>
                  <w:noWrap w:val="0"/>
                  <w:vAlign w:val="center"/>
                </w:tcPr>
                <w:p>
                  <w:pPr>
                    <w:pStyle w:val="176"/>
                    <w:bidi w:val="0"/>
                    <w:rPr>
                      <w:rFonts w:hint="eastAsia" w:eastAsia="宋体"/>
                      <w:lang w:eastAsia="zh-CN"/>
                    </w:rPr>
                  </w:pPr>
                  <w:r>
                    <w:rPr>
                      <w:rFonts w:hint="eastAsia"/>
                      <w:lang w:eastAsia="zh-CN"/>
                    </w:rPr>
                    <w:t>医院系统</w:t>
                  </w:r>
                </w:p>
              </w:tc>
              <w:tc>
                <w:tcPr>
                  <w:tcW w:w="2024" w:type="pct"/>
                  <w:noWrap w:val="0"/>
                  <w:vAlign w:val="center"/>
                </w:tcPr>
                <w:p>
                  <w:pPr>
                    <w:pStyle w:val="176"/>
                    <w:rPr>
                      <w:rFonts w:hint="default" w:eastAsia="宋体"/>
                      <w:color w:val="auto"/>
                      <w:vertAlign w:val="baseline"/>
                      <w:lang w:val="en-US" w:eastAsia="zh-CN"/>
                    </w:rPr>
                  </w:pPr>
                  <w:r>
                    <w:rPr>
                      <w:rFonts w:hint="eastAsia"/>
                      <w:color w:val="auto"/>
                      <w:lang w:eastAsia="zh-CN"/>
                    </w:rPr>
                    <w:t>建筑面积</w:t>
                  </w:r>
                  <w:r>
                    <w:rPr>
                      <w:rFonts w:hint="eastAsia"/>
                      <w:color w:val="auto"/>
                      <w:lang w:val="en-US" w:eastAsia="zh-CN"/>
                    </w:rPr>
                    <w:t>337.02m</w:t>
                  </w:r>
                  <w:r>
                    <w:rPr>
                      <w:rFonts w:hint="eastAsia"/>
                      <w:color w:val="auto"/>
                      <w:vertAlign w:val="superscript"/>
                      <w:lang w:val="en-US" w:eastAsia="zh-CN"/>
                    </w:rPr>
                    <w:t>2</w:t>
                  </w:r>
                  <w:r>
                    <w:rPr>
                      <w:rFonts w:hint="eastAsia"/>
                      <w:color w:val="auto"/>
                      <w:vertAlign w:val="baseline"/>
                      <w:lang w:val="en-US" w:eastAsia="zh-CN"/>
                    </w:rPr>
                    <w:t>，总共2层楼，一层主要设置了前台、顾客休息区域、门诊治疗室一间、医生办公室3间、化验室一间，中央处置室一间、卫生间；二层主要设置了犬科住院部、猫住院病房2间，员工休息室一间、诊室一间、库房一间、卫生间一间、术前准备室一间、手术室一间及DR室一间</w:t>
                  </w:r>
                </w:p>
              </w:tc>
              <w:tc>
                <w:tcPr>
                  <w:tcW w:w="497" w:type="pct"/>
                  <w:vMerge w:val="restart"/>
                  <w:noWrap w:val="0"/>
                  <w:vAlign w:val="center"/>
                </w:tcPr>
                <w:p>
                  <w:pPr>
                    <w:pStyle w:val="176"/>
                    <w:rPr>
                      <w:rFonts w:hint="eastAsia" w:eastAsia="宋体"/>
                      <w:color w:val="auto"/>
                      <w:lang w:val="en-US" w:eastAsia="zh-CN"/>
                    </w:rPr>
                  </w:pPr>
                  <w:r>
                    <w:rPr>
                      <w:rFonts w:hint="eastAsia"/>
                      <w:color w:val="auto"/>
                      <w:lang w:val="en-US" w:eastAsia="zh-CN"/>
                    </w:rPr>
                    <w:t>/</w:t>
                  </w:r>
                </w:p>
              </w:tc>
              <w:tc>
                <w:tcPr>
                  <w:tcW w:w="652" w:type="pct"/>
                  <w:noWrap w:val="0"/>
                  <w:vAlign w:val="center"/>
                </w:tcPr>
                <w:p>
                  <w:pPr>
                    <w:pStyle w:val="176"/>
                    <w:rPr>
                      <w:rFonts w:hint="eastAsia"/>
                      <w:color w:val="auto"/>
                    </w:rPr>
                  </w:pPr>
                  <w:r>
                    <w:rPr>
                      <w:rFonts w:hint="eastAsia"/>
                      <w:color w:val="auto"/>
                    </w:rPr>
                    <w:t>医疗废水、医疗垃圾、医疗废气、职工生活垃圾、噪声</w:t>
                  </w:r>
                </w:p>
              </w:tc>
              <w:tc>
                <w:tcPr>
                  <w:tcW w:w="260" w:type="pct"/>
                  <w:noWrap w:val="0"/>
                  <w:vAlign w:val="center"/>
                </w:tcPr>
                <w:p>
                  <w:pPr>
                    <w:pStyle w:val="176"/>
                    <w:rPr>
                      <w:rFonts w:hint="eastAsia"/>
                      <w:color w:val="auto"/>
                    </w:rPr>
                  </w:pPr>
                  <w:r>
                    <w:rPr>
                      <w:rFonts w:hint="eastAsia"/>
                      <w:color w:val="auto"/>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 w:hRule="atLeast"/>
                <w:jc w:val="center"/>
              </w:trPr>
              <w:tc>
                <w:tcPr>
                  <w:tcW w:w="578" w:type="pct"/>
                  <w:vMerge w:val="restart"/>
                  <w:noWrap w:val="0"/>
                  <w:vAlign w:val="center"/>
                </w:tcPr>
                <w:p>
                  <w:pPr>
                    <w:pStyle w:val="176"/>
                    <w:rPr>
                      <w:rFonts w:hint="eastAsia"/>
                      <w:color w:val="auto"/>
                    </w:rPr>
                  </w:pPr>
                  <w:r>
                    <w:rPr>
                      <w:rFonts w:hint="eastAsia"/>
                      <w:color w:val="auto"/>
                    </w:rPr>
                    <w:t>辅助工程</w:t>
                  </w:r>
                </w:p>
              </w:tc>
              <w:tc>
                <w:tcPr>
                  <w:tcW w:w="987" w:type="pct"/>
                  <w:gridSpan w:val="2"/>
                  <w:noWrap w:val="0"/>
                  <w:vAlign w:val="center"/>
                </w:tcPr>
                <w:p>
                  <w:pPr>
                    <w:pStyle w:val="176"/>
                    <w:rPr>
                      <w:rFonts w:hint="eastAsia" w:eastAsia="宋体"/>
                      <w:color w:val="auto"/>
                      <w:lang w:val="en-US" w:eastAsia="zh-CN"/>
                    </w:rPr>
                  </w:pPr>
                  <w:r>
                    <w:rPr>
                      <w:rFonts w:hint="eastAsia"/>
                      <w:color w:val="auto"/>
                      <w:lang w:val="en-US" w:eastAsia="zh-CN"/>
                    </w:rPr>
                    <w:t>新风系统</w:t>
                  </w:r>
                </w:p>
              </w:tc>
              <w:tc>
                <w:tcPr>
                  <w:tcW w:w="2024" w:type="pct"/>
                  <w:noWrap w:val="0"/>
                  <w:vAlign w:val="center"/>
                </w:tcPr>
                <w:p>
                  <w:pPr>
                    <w:pStyle w:val="176"/>
                    <w:rPr>
                      <w:rFonts w:hint="eastAsia"/>
                      <w:color w:val="auto"/>
                    </w:rPr>
                  </w:pPr>
                  <w:r>
                    <w:rPr>
                      <w:rFonts w:hint="eastAsia"/>
                      <w:color w:val="auto"/>
                      <w:lang w:val="en-US" w:eastAsia="zh-CN"/>
                    </w:rPr>
                    <w:t>1 套，采用自然通风和新风系统结合的形式，设置1排风口，排口朝向凤洲路，排口距地高度约 10m</w:t>
                  </w:r>
                </w:p>
              </w:tc>
              <w:tc>
                <w:tcPr>
                  <w:tcW w:w="497" w:type="pct"/>
                  <w:vMerge w:val="continue"/>
                  <w:noWrap w:val="0"/>
                  <w:vAlign w:val="center"/>
                </w:tcPr>
                <w:p>
                  <w:pPr>
                    <w:pStyle w:val="176"/>
                    <w:rPr>
                      <w:color w:val="auto"/>
                    </w:rPr>
                  </w:pPr>
                </w:p>
              </w:tc>
              <w:tc>
                <w:tcPr>
                  <w:tcW w:w="652" w:type="pct"/>
                  <w:noWrap w:val="0"/>
                  <w:vAlign w:val="center"/>
                </w:tcPr>
                <w:p>
                  <w:pPr>
                    <w:pStyle w:val="176"/>
                    <w:rPr>
                      <w:rFonts w:hint="eastAsia" w:eastAsia="宋体"/>
                      <w:color w:val="auto"/>
                      <w:lang w:eastAsia="zh-CN"/>
                    </w:rPr>
                  </w:pPr>
                  <w:r>
                    <w:rPr>
                      <w:rFonts w:hint="eastAsia"/>
                      <w:color w:val="auto"/>
                      <w:lang w:eastAsia="zh-CN"/>
                    </w:rPr>
                    <w:t>噪声</w:t>
                  </w:r>
                </w:p>
              </w:tc>
              <w:tc>
                <w:tcPr>
                  <w:tcW w:w="260" w:type="pct"/>
                  <w:noWrap w:val="0"/>
                  <w:vAlign w:val="center"/>
                </w:tcPr>
                <w:p>
                  <w:pPr>
                    <w:pStyle w:val="176"/>
                    <w:rPr>
                      <w:rFonts w:hint="eastAsia"/>
                      <w:color w:val="auto"/>
                    </w:rPr>
                  </w:pPr>
                  <w:r>
                    <w:rPr>
                      <w:rFonts w:hint="eastAsia"/>
                      <w:color w:val="auto"/>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 w:hRule="atLeast"/>
                <w:jc w:val="center"/>
              </w:trPr>
              <w:tc>
                <w:tcPr>
                  <w:tcW w:w="578" w:type="pct"/>
                  <w:vMerge w:val="continue"/>
                  <w:noWrap w:val="0"/>
                  <w:vAlign w:val="center"/>
                </w:tcPr>
                <w:p>
                  <w:pPr>
                    <w:pStyle w:val="176"/>
                    <w:rPr>
                      <w:color w:val="auto"/>
                    </w:rPr>
                  </w:pPr>
                </w:p>
              </w:tc>
              <w:tc>
                <w:tcPr>
                  <w:tcW w:w="987" w:type="pct"/>
                  <w:gridSpan w:val="2"/>
                  <w:noWrap w:val="0"/>
                  <w:vAlign w:val="center"/>
                </w:tcPr>
                <w:p>
                  <w:pPr>
                    <w:pStyle w:val="176"/>
                    <w:rPr>
                      <w:rFonts w:hint="eastAsia"/>
                      <w:color w:val="auto"/>
                    </w:rPr>
                  </w:pPr>
                  <w:r>
                    <w:rPr>
                      <w:rFonts w:hint="eastAsia"/>
                      <w:color w:val="auto"/>
                    </w:rPr>
                    <w:t>空调系统</w:t>
                  </w:r>
                </w:p>
              </w:tc>
              <w:tc>
                <w:tcPr>
                  <w:tcW w:w="2024" w:type="pct"/>
                  <w:noWrap w:val="0"/>
                  <w:vAlign w:val="center"/>
                </w:tcPr>
                <w:p>
                  <w:pPr>
                    <w:pStyle w:val="176"/>
                    <w:rPr>
                      <w:rFonts w:hint="eastAsia" w:eastAsia="宋体"/>
                      <w:color w:val="auto"/>
                      <w:lang w:eastAsia="zh-CN"/>
                    </w:rPr>
                  </w:pPr>
                  <w:r>
                    <w:rPr>
                      <w:rFonts w:hint="eastAsia"/>
                      <w:color w:val="auto"/>
                    </w:rPr>
                    <w:t>项目各科室空调采用分体式空调，空调外机机组位于</w:t>
                  </w:r>
                  <w:r>
                    <w:rPr>
                      <w:rFonts w:hint="eastAsia"/>
                      <w:color w:val="auto"/>
                      <w:lang w:eastAsia="zh-CN"/>
                    </w:rPr>
                    <w:t>建筑专用的空调机位内。</w:t>
                  </w:r>
                </w:p>
              </w:tc>
              <w:tc>
                <w:tcPr>
                  <w:tcW w:w="497" w:type="pct"/>
                  <w:vMerge w:val="continue"/>
                  <w:noWrap w:val="0"/>
                  <w:vAlign w:val="center"/>
                </w:tcPr>
                <w:p>
                  <w:pPr>
                    <w:pStyle w:val="176"/>
                    <w:rPr>
                      <w:color w:val="auto"/>
                    </w:rPr>
                  </w:pPr>
                </w:p>
              </w:tc>
              <w:tc>
                <w:tcPr>
                  <w:tcW w:w="652" w:type="pct"/>
                  <w:noWrap w:val="0"/>
                  <w:vAlign w:val="center"/>
                </w:tcPr>
                <w:p>
                  <w:pPr>
                    <w:pStyle w:val="176"/>
                    <w:rPr>
                      <w:rFonts w:hint="eastAsia"/>
                      <w:color w:val="auto"/>
                    </w:rPr>
                  </w:pPr>
                  <w:r>
                    <w:rPr>
                      <w:rFonts w:hint="eastAsia"/>
                      <w:color w:val="auto"/>
                    </w:rPr>
                    <w:t>噪声</w:t>
                  </w:r>
                </w:p>
              </w:tc>
              <w:tc>
                <w:tcPr>
                  <w:tcW w:w="260" w:type="pct"/>
                  <w:noWrap w:val="0"/>
                  <w:vAlign w:val="center"/>
                </w:tcPr>
                <w:p>
                  <w:pPr>
                    <w:pStyle w:val="176"/>
                    <w:rPr>
                      <w:rFonts w:hint="eastAsia"/>
                      <w:color w:val="auto"/>
                    </w:rPr>
                  </w:pPr>
                  <w:r>
                    <w:rPr>
                      <w:rFonts w:hint="eastAsia"/>
                      <w:color w:val="auto"/>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78" w:type="pct"/>
                  <w:vMerge w:val="restart"/>
                  <w:noWrap w:val="0"/>
                  <w:vAlign w:val="center"/>
                </w:tcPr>
                <w:p>
                  <w:pPr>
                    <w:pStyle w:val="176"/>
                    <w:rPr>
                      <w:color w:val="auto"/>
                    </w:rPr>
                  </w:pPr>
                  <w:r>
                    <w:rPr>
                      <w:color w:val="auto"/>
                    </w:rPr>
                    <w:t>公</w:t>
                  </w:r>
                  <w:r>
                    <w:rPr>
                      <w:rFonts w:hint="eastAsia"/>
                      <w:color w:val="auto"/>
                    </w:rPr>
                    <w:t>用</w:t>
                  </w:r>
                  <w:r>
                    <w:rPr>
                      <w:color w:val="auto"/>
                    </w:rPr>
                    <w:t>工程</w:t>
                  </w:r>
                </w:p>
              </w:tc>
              <w:tc>
                <w:tcPr>
                  <w:tcW w:w="987" w:type="pct"/>
                  <w:gridSpan w:val="2"/>
                  <w:noWrap w:val="0"/>
                  <w:vAlign w:val="center"/>
                </w:tcPr>
                <w:p>
                  <w:pPr>
                    <w:pStyle w:val="176"/>
                    <w:rPr>
                      <w:rFonts w:hint="eastAsia" w:eastAsia="宋体"/>
                      <w:color w:val="auto"/>
                      <w:lang w:eastAsia="zh-CN"/>
                    </w:rPr>
                  </w:pPr>
                  <w:r>
                    <w:rPr>
                      <w:rFonts w:hint="eastAsia"/>
                      <w:color w:val="auto"/>
                    </w:rPr>
                    <w:t>供水</w:t>
                  </w:r>
                  <w:r>
                    <w:rPr>
                      <w:rFonts w:hint="eastAsia"/>
                      <w:color w:val="auto"/>
                      <w:lang w:eastAsia="zh-CN"/>
                    </w:rPr>
                    <w:t>系统</w:t>
                  </w:r>
                </w:p>
              </w:tc>
              <w:tc>
                <w:tcPr>
                  <w:tcW w:w="2024" w:type="pct"/>
                  <w:noWrap w:val="0"/>
                  <w:vAlign w:val="center"/>
                </w:tcPr>
                <w:p>
                  <w:pPr>
                    <w:pStyle w:val="176"/>
                    <w:rPr>
                      <w:rFonts w:hint="eastAsia"/>
                      <w:color w:val="auto"/>
                    </w:rPr>
                  </w:pPr>
                  <w:r>
                    <w:rPr>
                      <w:rFonts w:hint="eastAsia"/>
                      <w:color w:val="auto"/>
                    </w:rPr>
                    <w:t>由市政自来水管网供给</w:t>
                  </w:r>
                </w:p>
              </w:tc>
              <w:tc>
                <w:tcPr>
                  <w:tcW w:w="497" w:type="pct"/>
                  <w:vMerge w:val="continue"/>
                  <w:noWrap w:val="0"/>
                  <w:vAlign w:val="center"/>
                </w:tcPr>
                <w:p>
                  <w:pPr>
                    <w:pStyle w:val="176"/>
                    <w:rPr>
                      <w:color w:val="auto"/>
                    </w:rPr>
                  </w:pPr>
                </w:p>
              </w:tc>
              <w:tc>
                <w:tcPr>
                  <w:tcW w:w="652" w:type="pct"/>
                  <w:vMerge w:val="restart"/>
                  <w:noWrap w:val="0"/>
                  <w:vAlign w:val="center"/>
                </w:tcPr>
                <w:p>
                  <w:pPr>
                    <w:pStyle w:val="176"/>
                    <w:rPr>
                      <w:rFonts w:hint="eastAsia"/>
                      <w:color w:val="auto"/>
                    </w:rPr>
                  </w:pPr>
                  <w:r>
                    <w:rPr>
                      <w:rFonts w:hint="eastAsia"/>
                      <w:color w:val="auto"/>
                    </w:rPr>
                    <w:t>/</w:t>
                  </w:r>
                </w:p>
              </w:tc>
              <w:tc>
                <w:tcPr>
                  <w:tcW w:w="260" w:type="pct"/>
                  <w:vMerge w:val="restart"/>
                  <w:noWrap w:val="0"/>
                  <w:vAlign w:val="center"/>
                </w:tcPr>
                <w:p>
                  <w:pPr>
                    <w:pStyle w:val="176"/>
                    <w:rPr>
                      <w:rFonts w:hint="eastAsia"/>
                      <w:color w:val="auto"/>
                    </w:rPr>
                  </w:pPr>
                  <w:r>
                    <w:rPr>
                      <w:rFonts w:hint="eastAsia"/>
                      <w:color w:val="auto"/>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 w:hRule="atLeast"/>
                <w:jc w:val="center"/>
              </w:trPr>
              <w:tc>
                <w:tcPr>
                  <w:tcW w:w="578" w:type="pct"/>
                  <w:vMerge w:val="continue"/>
                  <w:noWrap w:val="0"/>
                  <w:vAlign w:val="center"/>
                </w:tcPr>
                <w:p>
                  <w:pPr>
                    <w:pStyle w:val="176"/>
                    <w:rPr>
                      <w:color w:val="auto"/>
                    </w:rPr>
                  </w:pPr>
                </w:p>
              </w:tc>
              <w:tc>
                <w:tcPr>
                  <w:tcW w:w="987" w:type="pct"/>
                  <w:gridSpan w:val="2"/>
                  <w:noWrap w:val="0"/>
                  <w:vAlign w:val="center"/>
                </w:tcPr>
                <w:p>
                  <w:pPr>
                    <w:pStyle w:val="176"/>
                    <w:rPr>
                      <w:rFonts w:hint="eastAsia" w:eastAsia="宋体"/>
                      <w:color w:val="auto"/>
                      <w:lang w:eastAsia="zh-CN"/>
                    </w:rPr>
                  </w:pPr>
                  <w:r>
                    <w:rPr>
                      <w:rFonts w:hint="eastAsia"/>
                      <w:color w:val="auto"/>
                      <w:lang w:eastAsia="zh-CN"/>
                    </w:rPr>
                    <w:t>供电系统</w:t>
                  </w:r>
                </w:p>
              </w:tc>
              <w:tc>
                <w:tcPr>
                  <w:tcW w:w="2024" w:type="pct"/>
                  <w:noWrap w:val="0"/>
                  <w:vAlign w:val="center"/>
                </w:tcPr>
                <w:p>
                  <w:pPr>
                    <w:pStyle w:val="176"/>
                    <w:rPr>
                      <w:rFonts w:hint="eastAsia" w:eastAsia="宋体"/>
                      <w:color w:val="auto"/>
                      <w:lang w:eastAsia="zh-CN"/>
                    </w:rPr>
                  </w:pPr>
                  <w:r>
                    <w:rPr>
                      <w:rFonts w:hint="eastAsia"/>
                      <w:color w:val="auto"/>
                      <w:lang w:eastAsia="zh-CN"/>
                    </w:rPr>
                    <w:t>由市政电网供电</w:t>
                  </w:r>
                </w:p>
              </w:tc>
              <w:tc>
                <w:tcPr>
                  <w:tcW w:w="497" w:type="pct"/>
                  <w:vMerge w:val="continue"/>
                  <w:noWrap w:val="0"/>
                  <w:vAlign w:val="center"/>
                </w:tcPr>
                <w:p>
                  <w:pPr>
                    <w:pStyle w:val="176"/>
                    <w:rPr>
                      <w:color w:val="auto"/>
                    </w:rPr>
                  </w:pPr>
                </w:p>
              </w:tc>
              <w:tc>
                <w:tcPr>
                  <w:tcW w:w="652" w:type="pct"/>
                  <w:vMerge w:val="continue"/>
                  <w:noWrap w:val="0"/>
                  <w:vAlign w:val="center"/>
                </w:tcPr>
                <w:p>
                  <w:pPr>
                    <w:pStyle w:val="176"/>
                    <w:rPr>
                      <w:rFonts w:hint="eastAsia"/>
                      <w:color w:val="auto"/>
                    </w:rPr>
                  </w:pPr>
                </w:p>
              </w:tc>
              <w:tc>
                <w:tcPr>
                  <w:tcW w:w="260" w:type="pct"/>
                  <w:vMerge w:val="continue"/>
                  <w:noWrap w:val="0"/>
                  <w:vAlign w:val="center"/>
                </w:tcPr>
                <w:p>
                  <w:pPr>
                    <w:pStyle w:val="176"/>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 w:hRule="atLeast"/>
                <w:jc w:val="center"/>
              </w:trPr>
              <w:tc>
                <w:tcPr>
                  <w:tcW w:w="578" w:type="pct"/>
                  <w:vMerge w:val="continue"/>
                  <w:noWrap w:val="0"/>
                  <w:vAlign w:val="center"/>
                </w:tcPr>
                <w:p>
                  <w:pPr>
                    <w:pStyle w:val="176"/>
                    <w:rPr>
                      <w:color w:val="auto"/>
                    </w:rPr>
                  </w:pPr>
                </w:p>
              </w:tc>
              <w:tc>
                <w:tcPr>
                  <w:tcW w:w="987" w:type="pct"/>
                  <w:gridSpan w:val="2"/>
                  <w:noWrap w:val="0"/>
                  <w:vAlign w:val="center"/>
                </w:tcPr>
                <w:p>
                  <w:pPr>
                    <w:pStyle w:val="176"/>
                    <w:rPr>
                      <w:color w:val="auto"/>
                    </w:rPr>
                  </w:pPr>
                  <w:r>
                    <w:rPr>
                      <w:rFonts w:hint="eastAsia"/>
                      <w:color w:val="auto"/>
                    </w:rPr>
                    <w:t>排水</w:t>
                  </w:r>
                  <w:r>
                    <w:rPr>
                      <w:rFonts w:hint="eastAsia"/>
                      <w:color w:val="auto"/>
                      <w:lang w:eastAsia="zh-CN"/>
                    </w:rPr>
                    <w:t>系统</w:t>
                  </w:r>
                </w:p>
              </w:tc>
              <w:tc>
                <w:tcPr>
                  <w:tcW w:w="2024" w:type="pct"/>
                  <w:noWrap w:val="0"/>
                  <w:vAlign w:val="center"/>
                </w:tcPr>
                <w:p>
                  <w:pPr>
                    <w:pStyle w:val="176"/>
                    <w:rPr>
                      <w:rFonts w:hint="eastAsia"/>
                      <w:color w:val="auto"/>
                    </w:rPr>
                  </w:pPr>
                  <w:r>
                    <w:rPr>
                      <w:rFonts w:hint="eastAsia"/>
                      <w:color w:val="auto"/>
                      <w:lang w:eastAsia="zh-CN"/>
                    </w:rPr>
                    <w:t>雨污分流，医院污水</w:t>
                  </w:r>
                  <w:r>
                    <w:rPr>
                      <w:rFonts w:hint="eastAsia"/>
                      <w:color w:val="auto"/>
                    </w:rPr>
                    <w:t>经医院内预处理池处理后排入市政污水管网</w:t>
                  </w:r>
                </w:p>
              </w:tc>
              <w:tc>
                <w:tcPr>
                  <w:tcW w:w="497" w:type="pct"/>
                  <w:vMerge w:val="continue"/>
                  <w:noWrap w:val="0"/>
                  <w:vAlign w:val="center"/>
                </w:tcPr>
                <w:p>
                  <w:pPr>
                    <w:pStyle w:val="176"/>
                    <w:rPr>
                      <w:color w:val="auto"/>
                    </w:rPr>
                  </w:pPr>
                </w:p>
              </w:tc>
              <w:tc>
                <w:tcPr>
                  <w:tcW w:w="652" w:type="pct"/>
                  <w:vMerge w:val="continue"/>
                  <w:noWrap w:val="0"/>
                  <w:vAlign w:val="center"/>
                </w:tcPr>
                <w:p>
                  <w:pPr>
                    <w:pStyle w:val="176"/>
                    <w:rPr>
                      <w:color w:val="auto"/>
                    </w:rPr>
                  </w:pPr>
                </w:p>
              </w:tc>
              <w:tc>
                <w:tcPr>
                  <w:tcW w:w="260" w:type="pct"/>
                  <w:vMerge w:val="continue"/>
                  <w:noWrap w:val="0"/>
                  <w:vAlign w:val="center"/>
                </w:tcPr>
                <w:p>
                  <w:pPr>
                    <w:pStyle w:val="176"/>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578" w:type="pct"/>
                  <w:vMerge w:val="restart"/>
                  <w:noWrap w:val="0"/>
                  <w:vAlign w:val="center"/>
                </w:tcPr>
                <w:p>
                  <w:pPr>
                    <w:pStyle w:val="176"/>
                    <w:rPr>
                      <w:rFonts w:hint="eastAsia"/>
                      <w:color w:val="auto"/>
                    </w:rPr>
                  </w:pPr>
                  <w:r>
                    <w:rPr>
                      <w:rFonts w:hint="eastAsia"/>
                      <w:color w:val="auto"/>
                    </w:rPr>
                    <w:t>环保工程</w:t>
                  </w:r>
                </w:p>
              </w:tc>
              <w:tc>
                <w:tcPr>
                  <w:tcW w:w="987" w:type="pct"/>
                  <w:gridSpan w:val="2"/>
                  <w:noWrap w:val="0"/>
                  <w:vAlign w:val="center"/>
                </w:tcPr>
                <w:p>
                  <w:pPr>
                    <w:pStyle w:val="176"/>
                    <w:rPr>
                      <w:rFonts w:hint="eastAsia"/>
                      <w:color w:val="auto"/>
                    </w:rPr>
                  </w:pPr>
                  <w:r>
                    <w:rPr>
                      <w:rFonts w:hint="eastAsia"/>
                      <w:color w:val="auto"/>
                    </w:rPr>
                    <w:t>废水</w:t>
                  </w:r>
                </w:p>
              </w:tc>
              <w:tc>
                <w:tcPr>
                  <w:tcW w:w="2024" w:type="pct"/>
                  <w:noWrap w:val="0"/>
                  <w:vAlign w:val="center"/>
                </w:tcPr>
                <w:p>
                  <w:pPr>
                    <w:pStyle w:val="176"/>
                    <w:rPr>
                      <w:rFonts w:hint="default" w:eastAsia="宋体"/>
                      <w:color w:val="auto"/>
                      <w:vertAlign w:val="baseline"/>
                      <w:lang w:val="en-US" w:eastAsia="zh-CN"/>
                    </w:rPr>
                  </w:pPr>
                  <w:r>
                    <w:rPr>
                      <w:rFonts w:hint="eastAsia"/>
                      <w:color w:val="auto"/>
                    </w:rPr>
                    <w:t>雨污分流，医疗废水采用专用管道收集，经密闭一体化污水处理设施采用“</w:t>
                  </w:r>
                  <w:r>
                    <w:rPr>
                      <w:rFonts w:hint="eastAsia"/>
                      <w:color w:val="auto"/>
                      <w:lang w:eastAsia="zh-CN"/>
                    </w:rPr>
                    <w:t>过滤沉淀</w:t>
                  </w:r>
                  <w:r>
                    <w:rPr>
                      <w:rFonts w:hint="eastAsia"/>
                      <w:color w:val="auto"/>
                    </w:rPr>
                    <w:t>+消毒”处理后，与生活污水一起排入</w:t>
                  </w:r>
                  <w:r>
                    <w:rPr>
                      <w:rFonts w:hint="eastAsia"/>
                      <w:color w:val="auto"/>
                      <w:lang w:eastAsia="zh-CN"/>
                    </w:rPr>
                    <w:t>邦泰国际社区</w:t>
                  </w:r>
                  <w:r>
                    <w:rPr>
                      <w:rFonts w:hint="eastAsia"/>
                      <w:color w:val="auto"/>
                    </w:rPr>
                    <w:t>小区预处理池处理后，排入市政管网</w:t>
                  </w:r>
                  <w:r>
                    <w:rPr>
                      <w:rFonts w:hint="eastAsia"/>
                      <w:color w:val="auto"/>
                      <w:lang w:eastAsia="zh-CN"/>
                    </w:rPr>
                    <w:t>。设计处理能力</w:t>
                  </w:r>
                  <w:r>
                    <w:rPr>
                      <w:rFonts w:hint="eastAsia"/>
                      <w:color w:val="auto"/>
                      <w:lang w:val="en-US" w:eastAsia="zh-CN"/>
                    </w:rPr>
                    <w:t>2m</w:t>
                  </w:r>
                  <w:r>
                    <w:rPr>
                      <w:rFonts w:hint="eastAsia"/>
                      <w:color w:val="auto"/>
                      <w:vertAlign w:val="superscript"/>
                      <w:lang w:val="en-US" w:eastAsia="zh-CN"/>
                    </w:rPr>
                    <w:t>3</w:t>
                  </w:r>
                  <w:r>
                    <w:rPr>
                      <w:rFonts w:hint="eastAsia"/>
                      <w:color w:val="auto"/>
                      <w:vertAlign w:val="baseline"/>
                      <w:lang w:val="en-US" w:eastAsia="zh-CN"/>
                    </w:rPr>
                    <w:t>/d。</w:t>
                  </w:r>
                </w:p>
              </w:tc>
              <w:tc>
                <w:tcPr>
                  <w:tcW w:w="497" w:type="pct"/>
                  <w:vMerge w:val="continue"/>
                  <w:noWrap w:val="0"/>
                  <w:vAlign w:val="center"/>
                </w:tcPr>
                <w:p>
                  <w:pPr>
                    <w:pStyle w:val="176"/>
                    <w:rPr>
                      <w:color w:val="auto"/>
                    </w:rPr>
                  </w:pPr>
                </w:p>
              </w:tc>
              <w:tc>
                <w:tcPr>
                  <w:tcW w:w="652" w:type="pct"/>
                  <w:noWrap w:val="0"/>
                  <w:vAlign w:val="center"/>
                </w:tcPr>
                <w:p>
                  <w:pPr>
                    <w:pStyle w:val="176"/>
                    <w:rPr>
                      <w:rFonts w:hint="eastAsia"/>
                      <w:color w:val="auto"/>
                    </w:rPr>
                  </w:pPr>
                  <w:r>
                    <w:rPr>
                      <w:rFonts w:hint="eastAsia"/>
                      <w:color w:val="auto"/>
                    </w:rPr>
                    <w:t>噪声</w:t>
                  </w:r>
                </w:p>
              </w:tc>
              <w:tc>
                <w:tcPr>
                  <w:tcW w:w="260" w:type="pct"/>
                  <w:noWrap w:val="0"/>
                  <w:vAlign w:val="center"/>
                </w:tcPr>
                <w:p>
                  <w:pPr>
                    <w:pStyle w:val="176"/>
                    <w:rPr>
                      <w:rFonts w:hint="eastAsia"/>
                      <w:color w:val="auto"/>
                    </w:rPr>
                  </w:pPr>
                  <w:r>
                    <w:rPr>
                      <w:rFonts w:hint="eastAsia"/>
                      <w:color w:val="auto"/>
                    </w:rPr>
                    <w:t>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0" w:hRule="atLeast"/>
                <w:jc w:val="center"/>
              </w:trPr>
              <w:tc>
                <w:tcPr>
                  <w:tcW w:w="578" w:type="pct"/>
                  <w:vMerge w:val="continue"/>
                  <w:noWrap w:val="0"/>
                  <w:vAlign w:val="center"/>
                </w:tcPr>
                <w:p>
                  <w:pPr>
                    <w:pStyle w:val="176"/>
                    <w:rPr>
                      <w:color w:val="auto"/>
                    </w:rPr>
                  </w:pPr>
                </w:p>
              </w:tc>
              <w:tc>
                <w:tcPr>
                  <w:tcW w:w="259" w:type="pct"/>
                  <w:vMerge w:val="restart"/>
                  <w:noWrap w:val="0"/>
                  <w:vAlign w:val="center"/>
                </w:tcPr>
                <w:p>
                  <w:pPr>
                    <w:pStyle w:val="176"/>
                    <w:rPr>
                      <w:rFonts w:hint="eastAsia"/>
                      <w:color w:val="auto"/>
                    </w:rPr>
                  </w:pPr>
                  <w:r>
                    <w:rPr>
                      <w:rFonts w:hint="eastAsia"/>
                      <w:color w:val="auto"/>
                    </w:rPr>
                    <w:t>固废</w:t>
                  </w:r>
                </w:p>
              </w:tc>
              <w:tc>
                <w:tcPr>
                  <w:tcW w:w="728" w:type="pct"/>
                  <w:noWrap w:val="0"/>
                  <w:vAlign w:val="center"/>
                </w:tcPr>
                <w:p>
                  <w:pPr>
                    <w:pStyle w:val="176"/>
                    <w:rPr>
                      <w:rFonts w:hint="eastAsia"/>
                      <w:color w:val="auto"/>
                    </w:rPr>
                  </w:pPr>
                  <w:r>
                    <w:rPr>
                      <w:rFonts w:hint="eastAsia"/>
                      <w:color w:val="auto"/>
                    </w:rPr>
                    <w:t>生活垃圾</w:t>
                  </w:r>
                </w:p>
              </w:tc>
              <w:tc>
                <w:tcPr>
                  <w:tcW w:w="2024" w:type="pct"/>
                  <w:noWrap w:val="0"/>
                  <w:vAlign w:val="center"/>
                </w:tcPr>
                <w:p>
                  <w:pPr>
                    <w:pStyle w:val="176"/>
                    <w:rPr>
                      <w:rFonts w:hint="eastAsia"/>
                      <w:color w:val="auto"/>
                    </w:rPr>
                  </w:pPr>
                  <w:r>
                    <w:rPr>
                      <w:rFonts w:hint="eastAsia"/>
                      <w:color w:val="auto"/>
                    </w:rPr>
                    <w:t>于各</w:t>
                  </w:r>
                  <w:r>
                    <w:rPr>
                      <w:rFonts w:hint="eastAsia"/>
                      <w:color w:val="auto"/>
                      <w:lang w:eastAsia="zh-CN"/>
                    </w:rPr>
                    <w:t>区域</w:t>
                  </w:r>
                  <w:r>
                    <w:rPr>
                      <w:rFonts w:hint="eastAsia"/>
                      <w:color w:val="auto"/>
                    </w:rPr>
                    <w:t>设置生活垃圾收集桶，生活垃圾统一收集后放置于社区生活垃圾暂存点待环卫部门转运处置</w:t>
                  </w:r>
                </w:p>
              </w:tc>
              <w:tc>
                <w:tcPr>
                  <w:tcW w:w="497" w:type="pct"/>
                  <w:vMerge w:val="continue"/>
                  <w:noWrap w:val="0"/>
                  <w:vAlign w:val="center"/>
                </w:tcPr>
                <w:p>
                  <w:pPr>
                    <w:pStyle w:val="176"/>
                    <w:rPr>
                      <w:color w:val="auto"/>
                    </w:rPr>
                  </w:pPr>
                </w:p>
              </w:tc>
              <w:tc>
                <w:tcPr>
                  <w:tcW w:w="652" w:type="pct"/>
                  <w:vMerge w:val="restart"/>
                  <w:noWrap w:val="0"/>
                  <w:vAlign w:val="center"/>
                </w:tcPr>
                <w:p>
                  <w:pPr>
                    <w:pStyle w:val="176"/>
                    <w:rPr>
                      <w:rFonts w:hint="eastAsia" w:eastAsia="宋体"/>
                      <w:color w:val="auto"/>
                      <w:lang w:eastAsia="zh-CN"/>
                    </w:rPr>
                  </w:pPr>
                  <w:r>
                    <w:rPr>
                      <w:rFonts w:hint="eastAsia"/>
                      <w:color w:val="auto"/>
                      <w:lang w:eastAsia="zh-CN"/>
                    </w:rPr>
                    <w:t>固废</w:t>
                  </w:r>
                </w:p>
              </w:tc>
              <w:tc>
                <w:tcPr>
                  <w:tcW w:w="260" w:type="pct"/>
                  <w:noWrap w:val="0"/>
                  <w:vAlign w:val="center"/>
                </w:tcPr>
                <w:p>
                  <w:pPr>
                    <w:pStyle w:val="176"/>
                    <w:rPr>
                      <w:rFonts w:hint="eastAsia"/>
                      <w:color w:val="auto"/>
                    </w:rPr>
                  </w:pPr>
                  <w:r>
                    <w:rPr>
                      <w:rFonts w:hint="eastAsia"/>
                      <w:color w:val="auto"/>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jc w:val="center"/>
              </w:trPr>
              <w:tc>
                <w:tcPr>
                  <w:tcW w:w="578" w:type="pct"/>
                  <w:vMerge w:val="continue"/>
                  <w:noWrap w:val="0"/>
                  <w:vAlign w:val="center"/>
                </w:tcPr>
                <w:p>
                  <w:pPr>
                    <w:pStyle w:val="176"/>
                    <w:rPr>
                      <w:color w:val="auto"/>
                    </w:rPr>
                  </w:pPr>
                </w:p>
              </w:tc>
              <w:tc>
                <w:tcPr>
                  <w:tcW w:w="259" w:type="pct"/>
                  <w:vMerge w:val="continue"/>
                  <w:noWrap w:val="0"/>
                  <w:vAlign w:val="center"/>
                </w:tcPr>
                <w:p>
                  <w:pPr>
                    <w:pStyle w:val="176"/>
                    <w:rPr>
                      <w:rFonts w:hint="eastAsia"/>
                      <w:color w:val="auto"/>
                    </w:rPr>
                  </w:pPr>
                </w:p>
              </w:tc>
              <w:tc>
                <w:tcPr>
                  <w:tcW w:w="728" w:type="pct"/>
                  <w:noWrap w:val="0"/>
                  <w:vAlign w:val="center"/>
                </w:tcPr>
                <w:p>
                  <w:pPr>
                    <w:pStyle w:val="176"/>
                    <w:rPr>
                      <w:rFonts w:hint="eastAsia"/>
                      <w:color w:val="auto"/>
                    </w:rPr>
                  </w:pPr>
                  <w:r>
                    <w:rPr>
                      <w:rFonts w:hint="eastAsia"/>
                      <w:color w:val="auto"/>
                    </w:rPr>
                    <w:t>医疗废物</w:t>
                  </w:r>
                </w:p>
              </w:tc>
              <w:tc>
                <w:tcPr>
                  <w:tcW w:w="2024" w:type="pct"/>
                  <w:vMerge w:val="restart"/>
                  <w:noWrap w:val="0"/>
                  <w:vAlign w:val="center"/>
                </w:tcPr>
                <w:p>
                  <w:pPr>
                    <w:pStyle w:val="176"/>
                    <w:rPr>
                      <w:rFonts w:hint="eastAsia"/>
                      <w:color w:val="auto"/>
                    </w:rPr>
                  </w:pPr>
                  <w:r>
                    <w:rPr>
                      <w:rFonts w:hint="eastAsia"/>
                      <w:color w:val="auto"/>
                    </w:rPr>
                    <w:t>设置医疗废物暂存间一间，</w:t>
                  </w:r>
                  <w:r>
                    <w:rPr>
                      <w:rFonts w:hint="eastAsia"/>
                      <w:color w:val="auto"/>
                      <w:lang w:eastAsia="zh-CN"/>
                    </w:rPr>
                    <w:t>面积约</w:t>
                  </w:r>
                  <w:r>
                    <w:rPr>
                      <w:rFonts w:hint="eastAsia"/>
                      <w:color w:val="auto"/>
                      <w:lang w:val="en-US" w:eastAsia="zh-CN"/>
                    </w:rPr>
                    <w:t>2.5m</w:t>
                  </w:r>
                  <w:r>
                    <w:rPr>
                      <w:rFonts w:hint="eastAsia"/>
                      <w:color w:val="auto"/>
                      <w:vertAlign w:val="superscript"/>
                      <w:lang w:val="en-US" w:eastAsia="zh-CN"/>
                    </w:rPr>
                    <w:t>2</w:t>
                  </w:r>
                  <w:r>
                    <w:rPr>
                      <w:rFonts w:hint="eastAsia"/>
                      <w:color w:val="auto"/>
                      <w:vertAlign w:val="baseline"/>
                      <w:lang w:val="en-US" w:eastAsia="zh-CN"/>
                    </w:rPr>
                    <w:t>，</w:t>
                  </w:r>
                  <w:r>
                    <w:rPr>
                      <w:rFonts w:hint="eastAsia"/>
                      <w:color w:val="auto"/>
                    </w:rPr>
                    <w:t>医疗废物经收集后暂存于医疗废物暂存间，定期交由资质单位处理；动物尸体经消毒后采用密封袋封存并于当天交由资质单位处置</w:t>
                  </w:r>
                </w:p>
              </w:tc>
              <w:tc>
                <w:tcPr>
                  <w:tcW w:w="497" w:type="pct"/>
                  <w:vMerge w:val="continue"/>
                  <w:noWrap w:val="0"/>
                  <w:vAlign w:val="center"/>
                </w:tcPr>
                <w:p>
                  <w:pPr>
                    <w:pStyle w:val="176"/>
                    <w:rPr>
                      <w:color w:val="auto"/>
                    </w:rPr>
                  </w:pPr>
                </w:p>
              </w:tc>
              <w:tc>
                <w:tcPr>
                  <w:tcW w:w="652" w:type="pct"/>
                  <w:vMerge w:val="continue"/>
                  <w:noWrap w:val="0"/>
                  <w:vAlign w:val="center"/>
                </w:tcPr>
                <w:p>
                  <w:pPr>
                    <w:pStyle w:val="176"/>
                    <w:rPr>
                      <w:color w:val="auto"/>
                    </w:rPr>
                  </w:pPr>
                </w:p>
              </w:tc>
              <w:tc>
                <w:tcPr>
                  <w:tcW w:w="260" w:type="pct"/>
                  <w:vMerge w:val="restart"/>
                  <w:noWrap w:val="0"/>
                  <w:vAlign w:val="center"/>
                </w:tcPr>
                <w:p>
                  <w:pPr>
                    <w:pStyle w:val="176"/>
                    <w:rPr>
                      <w:rFonts w:hint="eastAsia"/>
                      <w:color w:val="auto"/>
                    </w:rPr>
                  </w:pPr>
                  <w:r>
                    <w:rPr>
                      <w:rFonts w:hint="eastAsia"/>
                      <w:color w:val="auto"/>
                    </w:rPr>
                    <w:t>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atLeast"/>
                <w:jc w:val="center"/>
              </w:trPr>
              <w:tc>
                <w:tcPr>
                  <w:tcW w:w="578" w:type="pct"/>
                  <w:vMerge w:val="continue"/>
                  <w:noWrap w:val="0"/>
                  <w:vAlign w:val="center"/>
                </w:tcPr>
                <w:p>
                  <w:pPr>
                    <w:pStyle w:val="176"/>
                    <w:rPr>
                      <w:color w:val="auto"/>
                    </w:rPr>
                  </w:pPr>
                </w:p>
              </w:tc>
              <w:tc>
                <w:tcPr>
                  <w:tcW w:w="259" w:type="pct"/>
                  <w:vMerge w:val="continue"/>
                  <w:noWrap w:val="0"/>
                  <w:vAlign w:val="center"/>
                </w:tcPr>
                <w:p>
                  <w:pPr>
                    <w:pStyle w:val="176"/>
                    <w:rPr>
                      <w:rFonts w:hint="eastAsia"/>
                      <w:color w:val="auto"/>
                    </w:rPr>
                  </w:pPr>
                </w:p>
              </w:tc>
              <w:tc>
                <w:tcPr>
                  <w:tcW w:w="728" w:type="pct"/>
                  <w:noWrap w:val="0"/>
                  <w:vAlign w:val="center"/>
                </w:tcPr>
                <w:p>
                  <w:pPr>
                    <w:pStyle w:val="176"/>
                    <w:rPr>
                      <w:rFonts w:hint="eastAsia" w:eastAsia="宋体"/>
                      <w:color w:val="auto"/>
                      <w:lang w:eastAsia="zh-CN"/>
                    </w:rPr>
                  </w:pPr>
                  <w:r>
                    <w:rPr>
                      <w:rFonts w:hint="eastAsia"/>
                      <w:color w:val="auto"/>
                      <w:lang w:eastAsia="zh-CN"/>
                    </w:rPr>
                    <w:t>宠物尸体</w:t>
                  </w:r>
                </w:p>
              </w:tc>
              <w:tc>
                <w:tcPr>
                  <w:tcW w:w="2024" w:type="pct"/>
                  <w:vMerge w:val="continue"/>
                  <w:noWrap w:val="0"/>
                  <w:vAlign w:val="center"/>
                </w:tcPr>
                <w:p>
                  <w:pPr>
                    <w:pStyle w:val="176"/>
                    <w:rPr>
                      <w:rFonts w:hint="eastAsia"/>
                      <w:color w:val="auto"/>
                    </w:rPr>
                  </w:pPr>
                </w:p>
              </w:tc>
              <w:tc>
                <w:tcPr>
                  <w:tcW w:w="497" w:type="pct"/>
                  <w:vMerge w:val="continue"/>
                  <w:noWrap w:val="0"/>
                  <w:vAlign w:val="center"/>
                </w:tcPr>
                <w:p>
                  <w:pPr>
                    <w:pStyle w:val="176"/>
                    <w:rPr>
                      <w:color w:val="auto"/>
                    </w:rPr>
                  </w:pPr>
                </w:p>
              </w:tc>
              <w:tc>
                <w:tcPr>
                  <w:tcW w:w="652" w:type="pct"/>
                  <w:vMerge w:val="continue"/>
                  <w:noWrap w:val="0"/>
                  <w:vAlign w:val="center"/>
                </w:tcPr>
                <w:p>
                  <w:pPr>
                    <w:pStyle w:val="176"/>
                    <w:rPr>
                      <w:color w:val="auto"/>
                    </w:rPr>
                  </w:pPr>
                </w:p>
              </w:tc>
              <w:tc>
                <w:tcPr>
                  <w:tcW w:w="260" w:type="pct"/>
                  <w:vMerge w:val="continue"/>
                  <w:noWrap w:val="0"/>
                  <w:vAlign w:val="center"/>
                </w:tcPr>
                <w:p>
                  <w:pPr>
                    <w:pStyle w:val="176"/>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1" w:hRule="atLeast"/>
                <w:jc w:val="center"/>
              </w:trPr>
              <w:tc>
                <w:tcPr>
                  <w:tcW w:w="578" w:type="pct"/>
                  <w:vMerge w:val="continue"/>
                  <w:noWrap w:val="0"/>
                  <w:vAlign w:val="center"/>
                </w:tcPr>
                <w:p>
                  <w:pPr>
                    <w:pStyle w:val="176"/>
                    <w:rPr>
                      <w:color w:val="auto"/>
                    </w:rPr>
                  </w:pPr>
                </w:p>
              </w:tc>
              <w:tc>
                <w:tcPr>
                  <w:tcW w:w="259" w:type="pct"/>
                  <w:vMerge w:val="continue"/>
                  <w:noWrap w:val="0"/>
                  <w:vAlign w:val="center"/>
                </w:tcPr>
                <w:p>
                  <w:pPr>
                    <w:pStyle w:val="176"/>
                    <w:rPr>
                      <w:rFonts w:hint="eastAsia"/>
                      <w:color w:val="auto"/>
                    </w:rPr>
                  </w:pPr>
                </w:p>
              </w:tc>
              <w:tc>
                <w:tcPr>
                  <w:tcW w:w="728" w:type="pct"/>
                  <w:noWrap w:val="0"/>
                  <w:vAlign w:val="center"/>
                </w:tcPr>
                <w:p>
                  <w:pPr>
                    <w:pStyle w:val="176"/>
                    <w:rPr>
                      <w:rFonts w:hint="eastAsia"/>
                      <w:color w:val="auto"/>
                    </w:rPr>
                  </w:pPr>
                  <w:r>
                    <w:rPr>
                      <w:rFonts w:hint="eastAsia"/>
                      <w:color w:val="auto"/>
                    </w:rPr>
                    <w:t>宠物毛发</w:t>
                  </w:r>
                </w:p>
              </w:tc>
              <w:tc>
                <w:tcPr>
                  <w:tcW w:w="2024" w:type="pct"/>
                  <w:noWrap w:val="0"/>
                  <w:vAlign w:val="center"/>
                </w:tcPr>
                <w:p>
                  <w:pPr>
                    <w:pStyle w:val="176"/>
                    <w:rPr>
                      <w:rFonts w:hint="eastAsia"/>
                      <w:color w:val="auto"/>
                    </w:rPr>
                  </w:pPr>
                  <w:r>
                    <w:rPr>
                      <w:rFonts w:hint="eastAsia"/>
                      <w:color w:val="auto"/>
                    </w:rPr>
                    <w:t>经消毒灭活后同生活垃圾一同收集后交由环卫部门处置</w:t>
                  </w:r>
                </w:p>
              </w:tc>
              <w:tc>
                <w:tcPr>
                  <w:tcW w:w="497" w:type="pct"/>
                  <w:vMerge w:val="continue"/>
                  <w:noWrap w:val="0"/>
                  <w:vAlign w:val="center"/>
                </w:tcPr>
                <w:p>
                  <w:pPr>
                    <w:pStyle w:val="176"/>
                    <w:rPr>
                      <w:color w:val="auto"/>
                    </w:rPr>
                  </w:pPr>
                </w:p>
              </w:tc>
              <w:tc>
                <w:tcPr>
                  <w:tcW w:w="652" w:type="pct"/>
                  <w:vMerge w:val="continue"/>
                  <w:noWrap w:val="0"/>
                  <w:vAlign w:val="center"/>
                </w:tcPr>
                <w:p>
                  <w:pPr>
                    <w:pStyle w:val="176"/>
                    <w:rPr>
                      <w:color w:val="auto"/>
                    </w:rPr>
                  </w:pPr>
                </w:p>
              </w:tc>
              <w:tc>
                <w:tcPr>
                  <w:tcW w:w="260" w:type="pct"/>
                  <w:noWrap w:val="0"/>
                  <w:vAlign w:val="center"/>
                </w:tcPr>
                <w:p>
                  <w:pPr>
                    <w:pStyle w:val="176"/>
                    <w:rPr>
                      <w:rFonts w:hint="eastAsia"/>
                      <w:color w:val="auto"/>
                    </w:rPr>
                  </w:pPr>
                  <w:r>
                    <w:rPr>
                      <w:rFonts w:hint="eastAsia"/>
                      <w:color w:val="auto"/>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78" w:type="pct"/>
                  <w:vMerge w:val="continue"/>
                  <w:noWrap w:val="0"/>
                  <w:vAlign w:val="center"/>
                </w:tcPr>
                <w:p>
                  <w:pPr>
                    <w:pStyle w:val="176"/>
                    <w:rPr>
                      <w:color w:val="auto"/>
                    </w:rPr>
                  </w:pPr>
                </w:p>
              </w:tc>
              <w:tc>
                <w:tcPr>
                  <w:tcW w:w="259" w:type="pct"/>
                  <w:vMerge w:val="continue"/>
                  <w:noWrap w:val="0"/>
                  <w:vAlign w:val="center"/>
                </w:tcPr>
                <w:p>
                  <w:pPr>
                    <w:pStyle w:val="176"/>
                    <w:rPr>
                      <w:rFonts w:hint="eastAsia"/>
                      <w:color w:val="auto"/>
                    </w:rPr>
                  </w:pPr>
                </w:p>
              </w:tc>
              <w:tc>
                <w:tcPr>
                  <w:tcW w:w="728" w:type="pct"/>
                  <w:noWrap w:val="0"/>
                  <w:vAlign w:val="center"/>
                </w:tcPr>
                <w:p>
                  <w:pPr>
                    <w:pStyle w:val="176"/>
                    <w:rPr>
                      <w:rFonts w:hint="eastAsia" w:eastAsia="宋体"/>
                      <w:color w:val="auto"/>
                      <w:lang w:eastAsia="zh-CN"/>
                    </w:rPr>
                  </w:pPr>
                  <w:r>
                    <w:rPr>
                      <w:rFonts w:hint="eastAsia"/>
                      <w:color w:val="auto"/>
                    </w:rPr>
                    <w:t>宠物粪便</w:t>
                  </w:r>
                  <w:r>
                    <w:rPr>
                      <w:rFonts w:hint="eastAsia"/>
                      <w:color w:val="auto"/>
                      <w:lang w:eastAsia="zh-CN"/>
                    </w:rPr>
                    <w:t>及垫料</w:t>
                  </w:r>
                </w:p>
              </w:tc>
              <w:tc>
                <w:tcPr>
                  <w:tcW w:w="2024" w:type="pct"/>
                  <w:noWrap w:val="0"/>
                  <w:vAlign w:val="center"/>
                </w:tcPr>
                <w:p>
                  <w:pPr>
                    <w:pStyle w:val="176"/>
                    <w:rPr>
                      <w:rFonts w:hint="eastAsia"/>
                      <w:color w:val="auto"/>
                    </w:rPr>
                  </w:pPr>
                  <w:r>
                    <w:rPr>
                      <w:rFonts w:hint="eastAsia"/>
                      <w:color w:val="auto"/>
                    </w:rPr>
                    <w:t>经消毒灭活后同生活垃圾一同收集后交由环卫部门处置</w:t>
                  </w:r>
                </w:p>
              </w:tc>
              <w:tc>
                <w:tcPr>
                  <w:tcW w:w="497" w:type="pct"/>
                  <w:vMerge w:val="continue"/>
                  <w:noWrap w:val="0"/>
                  <w:vAlign w:val="center"/>
                </w:tcPr>
                <w:p>
                  <w:pPr>
                    <w:pStyle w:val="176"/>
                    <w:rPr>
                      <w:color w:val="auto"/>
                    </w:rPr>
                  </w:pPr>
                </w:p>
              </w:tc>
              <w:tc>
                <w:tcPr>
                  <w:tcW w:w="652" w:type="pct"/>
                  <w:vMerge w:val="continue"/>
                  <w:noWrap w:val="0"/>
                  <w:vAlign w:val="center"/>
                </w:tcPr>
                <w:p>
                  <w:pPr>
                    <w:pStyle w:val="176"/>
                    <w:rPr>
                      <w:rFonts w:hint="eastAsia"/>
                      <w:color w:val="auto"/>
                    </w:rPr>
                  </w:pPr>
                </w:p>
              </w:tc>
              <w:tc>
                <w:tcPr>
                  <w:tcW w:w="260" w:type="pct"/>
                  <w:noWrap w:val="0"/>
                  <w:vAlign w:val="center"/>
                </w:tcPr>
                <w:p>
                  <w:pPr>
                    <w:pStyle w:val="176"/>
                    <w:rPr>
                      <w:rFonts w:hint="eastAsia"/>
                      <w:color w:val="auto"/>
                    </w:rPr>
                  </w:pPr>
                  <w:r>
                    <w:rPr>
                      <w:rFonts w:hint="eastAsia"/>
                      <w:color w:val="auto"/>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atLeast"/>
                <w:jc w:val="center"/>
              </w:trPr>
              <w:tc>
                <w:tcPr>
                  <w:tcW w:w="578" w:type="pct"/>
                  <w:vMerge w:val="continue"/>
                  <w:noWrap w:val="0"/>
                  <w:vAlign w:val="center"/>
                </w:tcPr>
                <w:p>
                  <w:pPr>
                    <w:pStyle w:val="176"/>
                    <w:rPr>
                      <w:color w:val="auto"/>
                    </w:rPr>
                  </w:pPr>
                </w:p>
              </w:tc>
              <w:tc>
                <w:tcPr>
                  <w:tcW w:w="259" w:type="pct"/>
                  <w:vMerge w:val="continue"/>
                  <w:noWrap w:val="0"/>
                  <w:vAlign w:val="center"/>
                </w:tcPr>
                <w:p>
                  <w:pPr>
                    <w:pStyle w:val="176"/>
                    <w:rPr>
                      <w:rFonts w:hint="eastAsia"/>
                      <w:color w:val="auto"/>
                    </w:rPr>
                  </w:pPr>
                </w:p>
              </w:tc>
              <w:tc>
                <w:tcPr>
                  <w:tcW w:w="728" w:type="pct"/>
                  <w:noWrap w:val="0"/>
                  <w:vAlign w:val="center"/>
                </w:tcPr>
                <w:p>
                  <w:pPr>
                    <w:pStyle w:val="176"/>
                    <w:rPr>
                      <w:rFonts w:hint="eastAsia"/>
                      <w:color w:val="auto"/>
                    </w:rPr>
                  </w:pPr>
                  <w:r>
                    <w:rPr>
                      <w:rFonts w:hint="eastAsia"/>
                      <w:color w:val="auto"/>
                    </w:rPr>
                    <w:t>废紫外线灯管</w:t>
                  </w:r>
                </w:p>
              </w:tc>
              <w:tc>
                <w:tcPr>
                  <w:tcW w:w="2024" w:type="pct"/>
                  <w:vMerge w:val="restart"/>
                  <w:noWrap w:val="0"/>
                  <w:vAlign w:val="center"/>
                </w:tcPr>
                <w:p>
                  <w:pPr>
                    <w:pStyle w:val="176"/>
                    <w:rPr>
                      <w:rFonts w:hint="eastAsia"/>
                      <w:color w:val="auto"/>
                    </w:rPr>
                  </w:pPr>
                  <w:r>
                    <w:rPr>
                      <w:rFonts w:hint="eastAsia"/>
                      <w:color w:val="auto"/>
                    </w:rPr>
                    <w:t>收集后暂存于医疗废物暂存间，定期交由资质单位处置</w:t>
                  </w:r>
                </w:p>
              </w:tc>
              <w:tc>
                <w:tcPr>
                  <w:tcW w:w="497" w:type="pct"/>
                  <w:vMerge w:val="continue"/>
                  <w:noWrap w:val="0"/>
                  <w:vAlign w:val="center"/>
                </w:tcPr>
                <w:p>
                  <w:pPr>
                    <w:pStyle w:val="176"/>
                    <w:rPr>
                      <w:color w:val="auto"/>
                    </w:rPr>
                  </w:pPr>
                </w:p>
              </w:tc>
              <w:tc>
                <w:tcPr>
                  <w:tcW w:w="652" w:type="pct"/>
                  <w:vMerge w:val="continue"/>
                  <w:noWrap w:val="0"/>
                  <w:vAlign w:val="center"/>
                </w:tcPr>
                <w:p>
                  <w:pPr>
                    <w:pStyle w:val="176"/>
                    <w:rPr>
                      <w:color w:val="auto"/>
                    </w:rPr>
                  </w:pPr>
                </w:p>
              </w:tc>
              <w:tc>
                <w:tcPr>
                  <w:tcW w:w="260" w:type="pct"/>
                  <w:vMerge w:val="restart"/>
                  <w:noWrap w:val="0"/>
                  <w:vAlign w:val="center"/>
                </w:tcPr>
                <w:p>
                  <w:pPr>
                    <w:pStyle w:val="176"/>
                    <w:rPr>
                      <w:rFonts w:hint="eastAsia"/>
                      <w:color w:val="auto"/>
                    </w:rPr>
                  </w:pPr>
                  <w:r>
                    <w:rPr>
                      <w:rFonts w:hint="eastAsia"/>
                      <w:color w:val="auto"/>
                    </w:rPr>
                    <w:t>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578" w:type="pct"/>
                  <w:vMerge w:val="continue"/>
                  <w:noWrap w:val="0"/>
                  <w:vAlign w:val="center"/>
                </w:tcPr>
                <w:p>
                  <w:pPr>
                    <w:pStyle w:val="176"/>
                    <w:rPr>
                      <w:color w:val="auto"/>
                    </w:rPr>
                  </w:pPr>
                </w:p>
              </w:tc>
              <w:tc>
                <w:tcPr>
                  <w:tcW w:w="259" w:type="pct"/>
                  <w:vMerge w:val="continue"/>
                  <w:noWrap w:val="0"/>
                  <w:vAlign w:val="center"/>
                </w:tcPr>
                <w:p>
                  <w:pPr>
                    <w:pStyle w:val="176"/>
                    <w:rPr>
                      <w:rFonts w:hint="eastAsia"/>
                      <w:color w:val="auto"/>
                    </w:rPr>
                  </w:pPr>
                </w:p>
              </w:tc>
              <w:tc>
                <w:tcPr>
                  <w:tcW w:w="728" w:type="pct"/>
                  <w:noWrap w:val="0"/>
                  <w:vAlign w:val="center"/>
                </w:tcPr>
                <w:p>
                  <w:pPr>
                    <w:pStyle w:val="176"/>
                    <w:rPr>
                      <w:rFonts w:hint="eastAsia" w:eastAsia="宋体"/>
                      <w:color w:val="auto"/>
                      <w:lang w:eastAsia="zh-CN"/>
                    </w:rPr>
                  </w:pPr>
                  <w:r>
                    <w:rPr>
                      <w:rFonts w:hint="eastAsia"/>
                      <w:color w:val="auto"/>
                      <w:lang w:eastAsia="zh-CN"/>
                    </w:rPr>
                    <w:t>污水处理器污泥</w:t>
                  </w:r>
                </w:p>
              </w:tc>
              <w:tc>
                <w:tcPr>
                  <w:tcW w:w="2024" w:type="pct"/>
                  <w:vMerge w:val="continue"/>
                  <w:noWrap w:val="0"/>
                  <w:vAlign w:val="center"/>
                </w:tcPr>
                <w:p>
                  <w:pPr>
                    <w:pStyle w:val="176"/>
                    <w:rPr>
                      <w:rFonts w:hint="eastAsia"/>
                      <w:color w:val="auto"/>
                    </w:rPr>
                  </w:pPr>
                </w:p>
              </w:tc>
              <w:tc>
                <w:tcPr>
                  <w:tcW w:w="497" w:type="pct"/>
                  <w:vMerge w:val="continue"/>
                  <w:noWrap w:val="0"/>
                  <w:vAlign w:val="center"/>
                </w:tcPr>
                <w:p>
                  <w:pPr>
                    <w:pStyle w:val="176"/>
                    <w:rPr>
                      <w:color w:val="auto"/>
                    </w:rPr>
                  </w:pPr>
                </w:p>
              </w:tc>
              <w:tc>
                <w:tcPr>
                  <w:tcW w:w="652" w:type="pct"/>
                  <w:vMerge w:val="continue"/>
                  <w:noWrap w:val="0"/>
                  <w:vAlign w:val="center"/>
                </w:tcPr>
                <w:p>
                  <w:pPr>
                    <w:pStyle w:val="176"/>
                    <w:rPr>
                      <w:color w:val="auto"/>
                    </w:rPr>
                  </w:pPr>
                </w:p>
              </w:tc>
              <w:tc>
                <w:tcPr>
                  <w:tcW w:w="260" w:type="pct"/>
                  <w:vMerge w:val="continue"/>
                  <w:noWrap w:val="0"/>
                  <w:vAlign w:val="center"/>
                </w:tcPr>
                <w:p>
                  <w:pPr>
                    <w:pStyle w:val="176"/>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578" w:type="pct"/>
                  <w:vMerge w:val="continue"/>
                  <w:noWrap w:val="0"/>
                  <w:vAlign w:val="center"/>
                </w:tcPr>
                <w:p>
                  <w:pPr>
                    <w:pStyle w:val="176"/>
                    <w:rPr>
                      <w:color w:val="auto"/>
                    </w:rPr>
                  </w:pPr>
                </w:p>
              </w:tc>
              <w:tc>
                <w:tcPr>
                  <w:tcW w:w="259" w:type="pct"/>
                  <w:vMerge w:val="continue"/>
                  <w:noWrap w:val="0"/>
                  <w:vAlign w:val="center"/>
                </w:tcPr>
                <w:p>
                  <w:pPr>
                    <w:pStyle w:val="176"/>
                    <w:rPr>
                      <w:rFonts w:hint="eastAsia"/>
                      <w:color w:val="auto"/>
                    </w:rPr>
                  </w:pPr>
                </w:p>
              </w:tc>
              <w:tc>
                <w:tcPr>
                  <w:tcW w:w="728" w:type="pct"/>
                  <w:noWrap w:val="0"/>
                  <w:vAlign w:val="center"/>
                </w:tcPr>
                <w:p>
                  <w:pPr>
                    <w:pStyle w:val="176"/>
                    <w:rPr>
                      <w:rFonts w:hint="eastAsia"/>
                      <w:color w:val="auto"/>
                      <w:lang w:eastAsia="zh-CN"/>
                    </w:rPr>
                  </w:pPr>
                  <w:r>
                    <w:rPr>
                      <w:rFonts w:hint="eastAsia"/>
                      <w:color w:val="auto"/>
                      <w:lang w:eastAsia="zh-CN"/>
                    </w:rPr>
                    <w:t>废活性炭</w:t>
                  </w:r>
                </w:p>
              </w:tc>
              <w:tc>
                <w:tcPr>
                  <w:tcW w:w="2024" w:type="pct"/>
                  <w:noWrap w:val="0"/>
                  <w:vAlign w:val="center"/>
                </w:tcPr>
                <w:p>
                  <w:pPr>
                    <w:pStyle w:val="176"/>
                    <w:rPr>
                      <w:rFonts w:hint="eastAsia"/>
                      <w:color w:val="auto"/>
                    </w:rPr>
                  </w:pPr>
                  <w:r>
                    <w:rPr>
                      <w:rFonts w:hint="eastAsia"/>
                      <w:color w:val="auto"/>
                    </w:rPr>
                    <w:t>统一收集后放置于社区垃圾暂存点待环卫部门转运处置</w:t>
                  </w:r>
                </w:p>
              </w:tc>
              <w:tc>
                <w:tcPr>
                  <w:tcW w:w="497" w:type="pct"/>
                  <w:vMerge w:val="continue"/>
                  <w:noWrap w:val="0"/>
                  <w:vAlign w:val="center"/>
                </w:tcPr>
                <w:p>
                  <w:pPr>
                    <w:pStyle w:val="176"/>
                    <w:rPr>
                      <w:color w:val="auto"/>
                    </w:rPr>
                  </w:pPr>
                </w:p>
              </w:tc>
              <w:tc>
                <w:tcPr>
                  <w:tcW w:w="652" w:type="pct"/>
                  <w:vMerge w:val="continue"/>
                  <w:noWrap w:val="0"/>
                  <w:vAlign w:val="center"/>
                </w:tcPr>
                <w:p>
                  <w:pPr>
                    <w:pStyle w:val="176"/>
                    <w:rPr>
                      <w:color w:val="auto"/>
                    </w:rPr>
                  </w:pPr>
                </w:p>
              </w:tc>
              <w:tc>
                <w:tcPr>
                  <w:tcW w:w="260" w:type="pct"/>
                  <w:vMerge w:val="continue"/>
                  <w:noWrap w:val="0"/>
                  <w:vAlign w:val="center"/>
                </w:tcPr>
                <w:p>
                  <w:pPr>
                    <w:pStyle w:val="176"/>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7" w:hRule="atLeast"/>
                <w:jc w:val="center"/>
              </w:trPr>
              <w:tc>
                <w:tcPr>
                  <w:tcW w:w="578" w:type="pct"/>
                  <w:vMerge w:val="continue"/>
                  <w:noWrap w:val="0"/>
                  <w:vAlign w:val="center"/>
                </w:tcPr>
                <w:p>
                  <w:pPr>
                    <w:pStyle w:val="176"/>
                    <w:rPr>
                      <w:color w:val="auto"/>
                    </w:rPr>
                  </w:pPr>
                </w:p>
              </w:tc>
              <w:tc>
                <w:tcPr>
                  <w:tcW w:w="987" w:type="pct"/>
                  <w:gridSpan w:val="2"/>
                  <w:noWrap w:val="0"/>
                  <w:vAlign w:val="center"/>
                </w:tcPr>
                <w:p>
                  <w:pPr>
                    <w:pStyle w:val="176"/>
                    <w:rPr>
                      <w:rFonts w:hint="eastAsia"/>
                      <w:color w:val="auto"/>
                    </w:rPr>
                  </w:pPr>
                  <w:r>
                    <w:rPr>
                      <w:rFonts w:hint="eastAsia"/>
                      <w:color w:val="auto"/>
                    </w:rPr>
                    <w:t>废气</w:t>
                  </w:r>
                </w:p>
              </w:tc>
              <w:tc>
                <w:tcPr>
                  <w:tcW w:w="2024" w:type="pct"/>
                  <w:noWrap w:val="0"/>
                  <w:vAlign w:val="center"/>
                </w:tcPr>
                <w:p>
                  <w:pPr>
                    <w:pStyle w:val="176"/>
                    <w:rPr>
                      <w:rFonts w:hint="eastAsia"/>
                      <w:color w:val="auto"/>
                    </w:rPr>
                  </w:pPr>
                  <w:r>
                    <w:rPr>
                      <w:rFonts w:hint="eastAsia"/>
                      <w:color w:val="auto"/>
                      <w:lang w:eastAsia="zh-CN"/>
                    </w:rPr>
                    <w:t>设置新风系统</w:t>
                  </w:r>
                  <w:r>
                    <w:rPr>
                      <w:rFonts w:hint="eastAsia"/>
                      <w:color w:val="auto"/>
                      <w:lang w:val="en-US" w:eastAsia="zh-CN"/>
                    </w:rPr>
                    <w:t>1套，</w:t>
                  </w:r>
                  <w:r>
                    <w:rPr>
                      <w:rFonts w:hint="eastAsia"/>
                      <w:color w:val="auto"/>
                    </w:rPr>
                    <w:t>日常采用移动式紫外线灯及臭氧消毒机加强对院内环境消毒来降低少量异味对周边环境的影响，定期开窗通风，加强院内空气流通，定期对医院环境进行清洁</w:t>
                  </w:r>
                </w:p>
              </w:tc>
              <w:tc>
                <w:tcPr>
                  <w:tcW w:w="497" w:type="pct"/>
                  <w:vMerge w:val="continue"/>
                  <w:noWrap w:val="0"/>
                  <w:vAlign w:val="center"/>
                </w:tcPr>
                <w:p>
                  <w:pPr>
                    <w:pStyle w:val="176"/>
                    <w:rPr>
                      <w:color w:val="auto"/>
                    </w:rPr>
                  </w:pPr>
                </w:p>
              </w:tc>
              <w:tc>
                <w:tcPr>
                  <w:tcW w:w="652" w:type="pct"/>
                  <w:noWrap w:val="0"/>
                  <w:vAlign w:val="center"/>
                </w:tcPr>
                <w:p>
                  <w:pPr>
                    <w:pStyle w:val="176"/>
                    <w:rPr>
                      <w:rFonts w:hint="eastAsia" w:eastAsia="宋体"/>
                      <w:color w:val="auto"/>
                      <w:lang w:eastAsia="zh-CN"/>
                    </w:rPr>
                  </w:pPr>
                  <w:r>
                    <w:rPr>
                      <w:rFonts w:hint="eastAsia"/>
                      <w:color w:val="auto"/>
                      <w:lang w:eastAsia="zh-CN"/>
                    </w:rPr>
                    <w:t>异味</w:t>
                  </w:r>
                </w:p>
              </w:tc>
              <w:tc>
                <w:tcPr>
                  <w:tcW w:w="260" w:type="pct"/>
                  <w:noWrap w:val="0"/>
                  <w:vAlign w:val="center"/>
                </w:tcPr>
                <w:p>
                  <w:pPr>
                    <w:pStyle w:val="176"/>
                    <w:rPr>
                      <w:rFonts w:hint="eastAsia"/>
                      <w:color w:val="auto"/>
                    </w:rPr>
                  </w:pPr>
                  <w:r>
                    <w:rPr>
                      <w:rFonts w:hint="eastAsia"/>
                      <w:color w:val="auto"/>
                    </w:rPr>
                    <w:t>已建</w:t>
                  </w:r>
                </w:p>
              </w:tc>
            </w:tr>
          </w:tbl>
          <w:p>
            <w:pPr>
              <w:pStyle w:val="5"/>
              <w:numPr>
                <w:ilvl w:val="0"/>
                <w:numId w:val="0"/>
              </w:numPr>
              <w:spacing w:after="120"/>
              <w:ind w:leftChars="0"/>
              <w:rPr>
                <w:rFonts w:hint="eastAsia"/>
                <w:color w:val="auto"/>
                <w:lang w:eastAsia="zh-CN"/>
              </w:rPr>
            </w:pPr>
            <w:r>
              <w:rPr>
                <w:rFonts w:hint="eastAsia"/>
                <w:color w:val="auto"/>
                <w:lang w:val="en-US" w:eastAsia="zh-CN"/>
              </w:rPr>
              <w:t>4</w:t>
            </w:r>
            <w:r>
              <w:rPr>
                <w:rFonts w:hint="eastAsia"/>
                <w:color w:val="auto"/>
                <w:lang w:eastAsia="zh-CN"/>
              </w:rPr>
              <w:t>、工程依托情况</w:t>
            </w:r>
          </w:p>
          <w:p>
            <w:pPr>
              <w:pStyle w:val="110"/>
              <w:bidi w:val="0"/>
              <w:rPr>
                <w:rFonts w:hint="eastAsia"/>
                <w:color w:val="auto"/>
                <w:lang w:eastAsia="zh-CN"/>
              </w:rPr>
            </w:pPr>
            <w:r>
              <w:rPr>
                <w:rFonts w:hint="eastAsia"/>
                <w:color w:val="auto"/>
                <w:lang w:eastAsia="zh-CN"/>
              </w:rPr>
              <w:t>本项目位于乐山市市中区凤洲路2028号2楼2号邦泰国际社区商住楼</w:t>
            </w:r>
            <w:r>
              <w:rPr>
                <w:rFonts w:hint="eastAsia"/>
                <w:color w:val="auto"/>
                <w:lang w:val="en-US" w:eastAsia="zh-CN"/>
              </w:rPr>
              <w:t>2-3F商铺</w:t>
            </w:r>
            <w:r>
              <w:rPr>
                <w:rFonts w:hint="eastAsia"/>
                <w:color w:val="auto"/>
                <w:lang w:eastAsia="zh-CN"/>
              </w:rPr>
              <w:t>，区域内供水、供电、供气、通讯、道路、交通及排水等基础设施完善。本项目所在地地势平坦，有完善的水、电、气接入口，依托工程可行。</w:t>
            </w:r>
          </w:p>
          <w:p>
            <w:pPr>
              <w:pStyle w:val="5"/>
              <w:spacing w:after="120"/>
              <w:rPr>
                <w:color w:val="auto"/>
              </w:rPr>
            </w:pPr>
            <w:r>
              <w:rPr>
                <w:rFonts w:hint="eastAsia"/>
                <w:color w:val="auto"/>
                <w:lang w:val="en-US" w:eastAsia="zh-CN"/>
              </w:rPr>
              <w:t>5</w:t>
            </w:r>
            <w:r>
              <w:rPr>
                <w:color w:val="auto"/>
              </w:rPr>
              <w:t>、主要原辅材料及能耗</w:t>
            </w:r>
          </w:p>
          <w:p>
            <w:pPr>
              <w:pStyle w:val="108"/>
              <w:ind w:firstLine="480"/>
              <w:rPr>
                <w:color w:val="auto"/>
              </w:rPr>
            </w:pPr>
            <w:r>
              <w:rPr>
                <w:rFonts w:hint="eastAsia"/>
                <w:color w:val="auto"/>
              </w:rPr>
              <w:t>项目消耗的原辅材料主要为各类药品及一次性医用材料，如口罩、注射器、输液器等。</w:t>
            </w:r>
            <w:r>
              <w:rPr>
                <w:color w:val="auto"/>
              </w:rPr>
              <w:t>项目运营期所使用的原辅材料及消耗量见下表：</w:t>
            </w:r>
          </w:p>
          <w:p>
            <w:pPr>
              <w:pStyle w:val="109"/>
              <w:ind w:left="422" w:hanging="422"/>
              <w:rPr>
                <w:color w:val="auto"/>
              </w:rPr>
            </w:pPr>
            <w:r>
              <w:rPr>
                <w:color w:val="auto"/>
              </w:rPr>
              <w:t>表</w:t>
            </w:r>
            <w:r>
              <w:rPr>
                <w:rFonts w:hint="eastAsia"/>
                <w:color w:val="auto"/>
              </w:rPr>
              <w:t>2</w:t>
            </w:r>
            <w:r>
              <w:rPr>
                <w:color w:val="auto"/>
              </w:rPr>
              <w:t>-</w:t>
            </w:r>
            <w:r>
              <w:rPr>
                <w:rFonts w:hint="eastAsia"/>
                <w:color w:val="auto"/>
              </w:rPr>
              <w:t>2</w:t>
            </w:r>
            <w:r>
              <w:rPr>
                <w:color w:val="auto"/>
              </w:rPr>
              <w:t xml:space="preserve">  主要原辅料及能耗消耗表</w:t>
            </w:r>
          </w:p>
          <w:tbl>
            <w:tblPr>
              <w:tblStyle w:val="3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2976"/>
              <w:gridCol w:w="1129"/>
              <w:gridCol w:w="1273"/>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7" w:type="pct"/>
                  <w:gridSpan w:val="2"/>
                  <w:noWrap w:val="0"/>
                  <w:vAlign w:val="center"/>
                </w:tcPr>
                <w:p>
                  <w:pPr>
                    <w:pStyle w:val="124"/>
                    <w:rPr>
                      <w:rFonts w:hint="eastAsia"/>
                      <w:b w:val="0"/>
                      <w:bCs w:val="0"/>
                      <w:color w:val="auto"/>
                    </w:rPr>
                  </w:pPr>
                  <w:r>
                    <w:rPr>
                      <w:rFonts w:hint="eastAsia"/>
                      <w:b w:val="0"/>
                      <w:bCs w:val="0"/>
                      <w:color w:val="auto"/>
                    </w:rPr>
                    <w:t>名称</w:t>
                  </w:r>
                </w:p>
              </w:tc>
              <w:tc>
                <w:tcPr>
                  <w:tcW w:w="672" w:type="pct"/>
                  <w:noWrap w:val="0"/>
                  <w:vAlign w:val="center"/>
                </w:tcPr>
                <w:p>
                  <w:pPr>
                    <w:pStyle w:val="124"/>
                    <w:rPr>
                      <w:rFonts w:hint="eastAsia"/>
                      <w:b w:val="0"/>
                      <w:bCs w:val="0"/>
                      <w:color w:val="auto"/>
                    </w:rPr>
                  </w:pPr>
                  <w:r>
                    <w:rPr>
                      <w:rFonts w:hint="eastAsia"/>
                      <w:b w:val="0"/>
                      <w:bCs w:val="0"/>
                      <w:color w:val="auto"/>
                    </w:rPr>
                    <w:t>年耗量</w:t>
                  </w:r>
                </w:p>
              </w:tc>
              <w:tc>
                <w:tcPr>
                  <w:tcW w:w="758" w:type="pct"/>
                  <w:noWrap w:val="0"/>
                  <w:vAlign w:val="center"/>
                </w:tcPr>
                <w:p>
                  <w:pPr>
                    <w:pStyle w:val="124"/>
                    <w:rPr>
                      <w:rFonts w:hint="eastAsia" w:eastAsia="宋体"/>
                      <w:b w:val="0"/>
                      <w:bCs w:val="0"/>
                      <w:color w:val="auto"/>
                      <w:lang w:eastAsia="zh-CN"/>
                    </w:rPr>
                  </w:pPr>
                  <w:r>
                    <w:rPr>
                      <w:rFonts w:hint="eastAsia"/>
                      <w:b w:val="0"/>
                      <w:bCs w:val="0"/>
                      <w:color w:val="auto"/>
                      <w:lang w:eastAsia="zh-CN"/>
                    </w:rPr>
                    <w:t>最大存储量</w:t>
                  </w:r>
                </w:p>
              </w:tc>
              <w:tc>
                <w:tcPr>
                  <w:tcW w:w="1212" w:type="pct"/>
                  <w:noWrap w:val="0"/>
                  <w:vAlign w:val="center"/>
                </w:tcPr>
                <w:p>
                  <w:pPr>
                    <w:pStyle w:val="124"/>
                    <w:rPr>
                      <w:rFonts w:hint="eastAsia"/>
                      <w:b w:val="0"/>
                      <w:bCs w:val="0"/>
                      <w:color w:val="auto"/>
                    </w:rPr>
                  </w:pPr>
                  <w:r>
                    <w:rPr>
                      <w:rFonts w:hint="eastAsia"/>
                      <w:b w:val="0"/>
                      <w:bCs w:val="0"/>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9" w:hRule="atLeast"/>
              </w:trPr>
              <w:tc>
                <w:tcPr>
                  <w:tcW w:w="585" w:type="pct"/>
                  <w:vMerge w:val="restart"/>
                  <w:noWrap w:val="0"/>
                  <w:vAlign w:val="center"/>
                </w:tcPr>
                <w:p>
                  <w:pPr>
                    <w:pStyle w:val="124"/>
                    <w:rPr>
                      <w:rFonts w:hint="eastAsia" w:eastAsia="宋体"/>
                      <w:color w:val="auto"/>
                      <w:lang w:eastAsia="zh-CN"/>
                    </w:rPr>
                  </w:pPr>
                  <w:r>
                    <w:rPr>
                      <w:rFonts w:hint="eastAsia"/>
                      <w:color w:val="auto"/>
                      <w:lang w:eastAsia="zh-CN"/>
                    </w:rPr>
                    <w:t>原辅料</w:t>
                  </w:r>
                </w:p>
              </w:tc>
              <w:tc>
                <w:tcPr>
                  <w:tcW w:w="1771" w:type="pct"/>
                  <w:noWrap w:val="0"/>
                  <w:vAlign w:val="center"/>
                </w:tcPr>
                <w:p>
                  <w:pPr>
                    <w:pStyle w:val="124"/>
                    <w:rPr>
                      <w:rFonts w:hint="eastAsia" w:eastAsia="宋体"/>
                      <w:color w:val="auto"/>
                      <w:lang w:eastAsia="zh-CN"/>
                    </w:rPr>
                  </w:pPr>
                  <w:r>
                    <w:rPr>
                      <w:rFonts w:hint="eastAsia"/>
                      <w:color w:val="auto"/>
                      <w:lang w:eastAsia="zh-CN"/>
                    </w:rPr>
                    <w:t>宠物粮食</w:t>
                  </w:r>
                </w:p>
              </w:tc>
              <w:tc>
                <w:tcPr>
                  <w:tcW w:w="672" w:type="pct"/>
                  <w:noWrap w:val="0"/>
                  <w:vAlign w:val="center"/>
                </w:tcPr>
                <w:p>
                  <w:pPr>
                    <w:pStyle w:val="124"/>
                    <w:rPr>
                      <w:color w:val="auto"/>
                    </w:rPr>
                  </w:pPr>
                  <w:r>
                    <w:rPr>
                      <w:rFonts w:hint="eastAsia"/>
                      <w:color w:val="auto"/>
                      <w:lang w:val="en-US" w:eastAsia="zh-CN"/>
                    </w:rPr>
                    <w:t>500袋</w:t>
                  </w:r>
                </w:p>
              </w:tc>
              <w:tc>
                <w:tcPr>
                  <w:tcW w:w="758" w:type="pct"/>
                  <w:noWrap w:val="0"/>
                  <w:vAlign w:val="center"/>
                </w:tcPr>
                <w:p>
                  <w:pPr>
                    <w:pStyle w:val="176"/>
                    <w:rPr>
                      <w:rFonts w:hint="default" w:eastAsia="宋体"/>
                      <w:color w:val="auto"/>
                      <w:lang w:val="en-US" w:eastAsia="zh-CN"/>
                    </w:rPr>
                  </w:pPr>
                  <w:r>
                    <w:rPr>
                      <w:rFonts w:hint="eastAsia"/>
                      <w:color w:val="auto"/>
                      <w:lang w:val="en-US" w:eastAsia="zh-CN"/>
                    </w:rPr>
                    <w:t>30袋</w:t>
                  </w:r>
                </w:p>
              </w:tc>
              <w:tc>
                <w:tcPr>
                  <w:tcW w:w="1212" w:type="pct"/>
                  <w:noWrap w:val="0"/>
                  <w:vAlign w:val="center"/>
                </w:tcPr>
                <w:p>
                  <w:pPr>
                    <w:pStyle w:val="124"/>
                    <w:rPr>
                      <w:rFonts w:hint="eastAsia" w:eastAsia="宋体"/>
                      <w:color w:val="auto"/>
                      <w:lang w:eastAsia="zh-CN"/>
                    </w:rPr>
                  </w:pPr>
                  <w:r>
                    <w:rPr>
                      <w:rFonts w:hint="eastAsia"/>
                      <w:color w:val="auto"/>
                      <w:lang w:eastAsia="zh-CN"/>
                    </w:rPr>
                    <w:t>喂食、销售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585" w:type="pct"/>
                  <w:vMerge w:val="continue"/>
                  <w:noWrap w:val="0"/>
                  <w:vAlign w:val="center"/>
                </w:tcPr>
                <w:p>
                  <w:pPr>
                    <w:pStyle w:val="124"/>
                    <w:rPr>
                      <w:rFonts w:hint="eastAsia"/>
                      <w:color w:val="auto"/>
                    </w:rPr>
                  </w:pPr>
                </w:p>
              </w:tc>
              <w:tc>
                <w:tcPr>
                  <w:tcW w:w="1771" w:type="pct"/>
                  <w:noWrap w:val="0"/>
                  <w:vAlign w:val="center"/>
                </w:tcPr>
                <w:p>
                  <w:pPr>
                    <w:pStyle w:val="124"/>
                    <w:rPr>
                      <w:rFonts w:hint="eastAsia" w:eastAsia="宋体"/>
                      <w:color w:val="auto"/>
                      <w:lang w:eastAsia="zh-CN"/>
                    </w:rPr>
                  </w:pPr>
                  <w:r>
                    <w:rPr>
                      <w:rFonts w:hint="eastAsia"/>
                      <w:color w:val="auto"/>
                      <w:lang w:eastAsia="zh-CN"/>
                    </w:rPr>
                    <w:t>一次性注射器</w:t>
                  </w:r>
                </w:p>
              </w:tc>
              <w:tc>
                <w:tcPr>
                  <w:tcW w:w="672" w:type="pct"/>
                  <w:noWrap w:val="0"/>
                  <w:vAlign w:val="center"/>
                </w:tcPr>
                <w:p>
                  <w:pPr>
                    <w:pStyle w:val="124"/>
                    <w:rPr>
                      <w:rFonts w:hint="default" w:eastAsia="宋体"/>
                      <w:color w:val="auto"/>
                      <w:lang w:val="en-US" w:eastAsia="zh-CN"/>
                    </w:rPr>
                  </w:pPr>
                  <w:r>
                    <w:rPr>
                      <w:rFonts w:hint="eastAsia"/>
                      <w:color w:val="auto"/>
                      <w:lang w:val="en-US" w:eastAsia="zh-CN"/>
                    </w:rPr>
                    <w:t>700支</w:t>
                  </w:r>
                </w:p>
              </w:tc>
              <w:tc>
                <w:tcPr>
                  <w:tcW w:w="758" w:type="pct"/>
                  <w:noWrap w:val="0"/>
                  <w:vAlign w:val="center"/>
                </w:tcPr>
                <w:p>
                  <w:pPr>
                    <w:pStyle w:val="176"/>
                    <w:rPr>
                      <w:rFonts w:hint="default" w:eastAsia="宋体"/>
                      <w:color w:val="auto"/>
                      <w:lang w:val="en-US" w:eastAsia="zh-CN"/>
                    </w:rPr>
                  </w:pPr>
                  <w:r>
                    <w:rPr>
                      <w:rFonts w:hint="eastAsia"/>
                      <w:color w:val="auto"/>
                      <w:lang w:val="en-US" w:eastAsia="zh-CN"/>
                    </w:rPr>
                    <w:t>100支</w:t>
                  </w:r>
                </w:p>
              </w:tc>
              <w:tc>
                <w:tcPr>
                  <w:tcW w:w="1212" w:type="pct"/>
                  <w:vMerge w:val="restart"/>
                  <w:noWrap w:val="0"/>
                  <w:vAlign w:val="center"/>
                </w:tcPr>
                <w:p>
                  <w:pPr>
                    <w:pStyle w:val="124"/>
                    <w:rPr>
                      <w:rFonts w:hint="eastAsia" w:eastAsia="宋体"/>
                      <w:color w:val="auto"/>
                      <w:lang w:eastAsia="zh-CN"/>
                    </w:rPr>
                  </w:pPr>
                  <w:r>
                    <w:rPr>
                      <w:rFonts w:hint="eastAsia"/>
                      <w:color w:val="auto"/>
                      <w:lang w:eastAsia="zh-CN"/>
                    </w:rPr>
                    <w:t>诊疗、手术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585" w:type="pct"/>
                  <w:vMerge w:val="continue"/>
                  <w:noWrap w:val="0"/>
                  <w:vAlign w:val="center"/>
                </w:tcPr>
                <w:p>
                  <w:pPr>
                    <w:pStyle w:val="124"/>
                    <w:rPr>
                      <w:rFonts w:hint="eastAsia"/>
                      <w:color w:val="auto"/>
                    </w:rPr>
                  </w:pPr>
                </w:p>
              </w:tc>
              <w:tc>
                <w:tcPr>
                  <w:tcW w:w="1771" w:type="pct"/>
                  <w:noWrap w:val="0"/>
                  <w:vAlign w:val="center"/>
                </w:tcPr>
                <w:p>
                  <w:pPr>
                    <w:pStyle w:val="124"/>
                    <w:rPr>
                      <w:rFonts w:hint="eastAsia" w:eastAsia="宋体"/>
                      <w:color w:val="auto"/>
                      <w:lang w:eastAsia="zh-CN"/>
                    </w:rPr>
                  </w:pPr>
                  <w:r>
                    <w:rPr>
                      <w:rFonts w:hint="eastAsia"/>
                      <w:color w:val="auto"/>
                      <w:lang w:eastAsia="zh-CN"/>
                    </w:rPr>
                    <w:t>一次性手套</w:t>
                  </w:r>
                </w:p>
              </w:tc>
              <w:tc>
                <w:tcPr>
                  <w:tcW w:w="672" w:type="pct"/>
                  <w:noWrap w:val="0"/>
                  <w:vAlign w:val="center"/>
                </w:tcPr>
                <w:p>
                  <w:pPr>
                    <w:pStyle w:val="124"/>
                    <w:rPr>
                      <w:rFonts w:hint="default" w:eastAsia="宋体"/>
                      <w:color w:val="auto"/>
                      <w:lang w:val="en-US" w:eastAsia="zh-CN"/>
                    </w:rPr>
                  </w:pPr>
                  <w:r>
                    <w:rPr>
                      <w:rFonts w:hint="eastAsia"/>
                      <w:color w:val="auto"/>
                      <w:lang w:val="en-US" w:eastAsia="zh-CN"/>
                    </w:rPr>
                    <w:t>500双</w:t>
                  </w:r>
                </w:p>
              </w:tc>
              <w:tc>
                <w:tcPr>
                  <w:tcW w:w="758" w:type="pct"/>
                  <w:noWrap w:val="0"/>
                  <w:vAlign w:val="center"/>
                </w:tcPr>
                <w:p>
                  <w:pPr>
                    <w:pStyle w:val="176"/>
                    <w:rPr>
                      <w:rFonts w:hint="default" w:eastAsia="宋体"/>
                      <w:color w:val="auto"/>
                      <w:lang w:val="en-US" w:eastAsia="zh-CN"/>
                    </w:rPr>
                  </w:pPr>
                  <w:r>
                    <w:rPr>
                      <w:rFonts w:hint="eastAsia"/>
                      <w:color w:val="auto"/>
                      <w:lang w:val="en-US" w:eastAsia="zh-CN"/>
                    </w:rPr>
                    <w:t>50双</w:t>
                  </w:r>
                </w:p>
              </w:tc>
              <w:tc>
                <w:tcPr>
                  <w:tcW w:w="1212" w:type="pct"/>
                  <w:vMerge w:val="continue"/>
                  <w:noWrap w:val="0"/>
                  <w:vAlign w:val="center"/>
                </w:tcPr>
                <w:p>
                  <w:pPr>
                    <w:pStyle w:val="124"/>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585" w:type="pct"/>
                  <w:vMerge w:val="continue"/>
                  <w:noWrap w:val="0"/>
                  <w:vAlign w:val="center"/>
                </w:tcPr>
                <w:p>
                  <w:pPr>
                    <w:pStyle w:val="124"/>
                    <w:rPr>
                      <w:rFonts w:hint="eastAsia"/>
                      <w:color w:val="auto"/>
                    </w:rPr>
                  </w:pPr>
                </w:p>
              </w:tc>
              <w:tc>
                <w:tcPr>
                  <w:tcW w:w="1771" w:type="pct"/>
                  <w:noWrap w:val="0"/>
                  <w:vAlign w:val="center"/>
                </w:tcPr>
                <w:p>
                  <w:pPr>
                    <w:pStyle w:val="124"/>
                    <w:rPr>
                      <w:rFonts w:hint="eastAsia" w:eastAsia="宋体"/>
                      <w:color w:val="auto"/>
                      <w:lang w:eastAsia="zh-CN"/>
                    </w:rPr>
                  </w:pPr>
                  <w:r>
                    <w:rPr>
                      <w:rFonts w:hint="eastAsia"/>
                      <w:color w:val="auto"/>
                      <w:lang w:eastAsia="zh-CN"/>
                    </w:rPr>
                    <w:t>一次性口罩</w:t>
                  </w:r>
                </w:p>
              </w:tc>
              <w:tc>
                <w:tcPr>
                  <w:tcW w:w="672" w:type="pct"/>
                  <w:noWrap w:val="0"/>
                  <w:vAlign w:val="center"/>
                </w:tcPr>
                <w:p>
                  <w:pPr>
                    <w:pStyle w:val="124"/>
                    <w:rPr>
                      <w:rFonts w:hint="default" w:eastAsia="宋体"/>
                      <w:color w:val="auto"/>
                      <w:lang w:val="en-US" w:eastAsia="zh-CN"/>
                    </w:rPr>
                  </w:pPr>
                  <w:r>
                    <w:rPr>
                      <w:rFonts w:hint="eastAsia"/>
                      <w:color w:val="auto"/>
                      <w:lang w:val="en-US" w:eastAsia="zh-CN"/>
                    </w:rPr>
                    <w:t>600个</w:t>
                  </w:r>
                </w:p>
              </w:tc>
              <w:tc>
                <w:tcPr>
                  <w:tcW w:w="758" w:type="pct"/>
                  <w:noWrap w:val="0"/>
                  <w:vAlign w:val="center"/>
                </w:tcPr>
                <w:p>
                  <w:pPr>
                    <w:pStyle w:val="176"/>
                    <w:rPr>
                      <w:rFonts w:hint="default" w:eastAsia="宋体"/>
                      <w:color w:val="auto"/>
                      <w:lang w:val="en-US" w:eastAsia="zh-CN"/>
                    </w:rPr>
                  </w:pPr>
                  <w:r>
                    <w:rPr>
                      <w:rFonts w:hint="eastAsia"/>
                      <w:color w:val="auto"/>
                      <w:lang w:val="en-US" w:eastAsia="zh-CN"/>
                    </w:rPr>
                    <w:t>100个</w:t>
                  </w:r>
                </w:p>
              </w:tc>
              <w:tc>
                <w:tcPr>
                  <w:tcW w:w="1212" w:type="pct"/>
                  <w:vMerge w:val="continue"/>
                  <w:noWrap w:val="0"/>
                  <w:vAlign w:val="center"/>
                </w:tcPr>
                <w:p>
                  <w:pPr>
                    <w:pStyle w:val="124"/>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585" w:type="pct"/>
                  <w:vMerge w:val="continue"/>
                  <w:noWrap w:val="0"/>
                  <w:vAlign w:val="center"/>
                </w:tcPr>
                <w:p>
                  <w:pPr>
                    <w:pStyle w:val="124"/>
                    <w:rPr>
                      <w:rFonts w:hint="eastAsia"/>
                      <w:color w:val="auto"/>
                    </w:rPr>
                  </w:pPr>
                </w:p>
              </w:tc>
              <w:tc>
                <w:tcPr>
                  <w:tcW w:w="1771" w:type="pct"/>
                  <w:noWrap w:val="0"/>
                  <w:vAlign w:val="center"/>
                </w:tcPr>
                <w:p>
                  <w:pPr>
                    <w:pStyle w:val="124"/>
                    <w:rPr>
                      <w:rFonts w:hint="eastAsia" w:eastAsia="宋体"/>
                      <w:color w:val="auto"/>
                      <w:lang w:eastAsia="zh-CN"/>
                    </w:rPr>
                  </w:pPr>
                  <w:r>
                    <w:rPr>
                      <w:rFonts w:hint="eastAsia"/>
                      <w:color w:val="auto"/>
                      <w:lang w:eastAsia="zh-CN"/>
                    </w:rPr>
                    <w:t>纱布、棉球</w:t>
                  </w:r>
                </w:p>
              </w:tc>
              <w:tc>
                <w:tcPr>
                  <w:tcW w:w="672" w:type="pct"/>
                  <w:noWrap w:val="0"/>
                  <w:vAlign w:val="center"/>
                </w:tcPr>
                <w:p>
                  <w:pPr>
                    <w:pStyle w:val="124"/>
                    <w:rPr>
                      <w:rFonts w:hint="default" w:eastAsia="宋体"/>
                      <w:color w:val="auto"/>
                      <w:lang w:val="en-US" w:eastAsia="zh-CN"/>
                    </w:rPr>
                  </w:pPr>
                  <w:r>
                    <w:rPr>
                      <w:rFonts w:hint="eastAsia"/>
                      <w:color w:val="auto"/>
                      <w:lang w:val="en-US" w:eastAsia="zh-CN"/>
                    </w:rPr>
                    <w:t>100kg</w:t>
                  </w:r>
                </w:p>
              </w:tc>
              <w:tc>
                <w:tcPr>
                  <w:tcW w:w="758" w:type="pct"/>
                  <w:noWrap w:val="0"/>
                  <w:vAlign w:val="center"/>
                </w:tcPr>
                <w:p>
                  <w:pPr>
                    <w:pStyle w:val="176"/>
                    <w:rPr>
                      <w:rFonts w:hint="default" w:eastAsia="宋体"/>
                      <w:color w:val="auto"/>
                      <w:lang w:val="en-US" w:eastAsia="zh-CN"/>
                    </w:rPr>
                  </w:pPr>
                  <w:r>
                    <w:rPr>
                      <w:rFonts w:hint="eastAsia"/>
                      <w:color w:val="auto"/>
                      <w:lang w:val="en-US" w:eastAsia="zh-CN"/>
                    </w:rPr>
                    <w:t>10kg</w:t>
                  </w:r>
                </w:p>
              </w:tc>
              <w:tc>
                <w:tcPr>
                  <w:tcW w:w="1212" w:type="pct"/>
                  <w:vMerge w:val="continue"/>
                  <w:noWrap w:val="0"/>
                  <w:vAlign w:val="center"/>
                </w:tcPr>
                <w:p>
                  <w:pPr>
                    <w:pStyle w:val="124"/>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8" w:hRule="atLeast"/>
              </w:trPr>
              <w:tc>
                <w:tcPr>
                  <w:tcW w:w="585" w:type="pct"/>
                  <w:vMerge w:val="continue"/>
                  <w:noWrap w:val="0"/>
                  <w:vAlign w:val="center"/>
                </w:tcPr>
                <w:p>
                  <w:pPr>
                    <w:pStyle w:val="124"/>
                    <w:rPr>
                      <w:rFonts w:hint="eastAsia"/>
                      <w:color w:val="auto"/>
                    </w:rPr>
                  </w:pPr>
                </w:p>
              </w:tc>
              <w:tc>
                <w:tcPr>
                  <w:tcW w:w="1771" w:type="pct"/>
                  <w:noWrap w:val="0"/>
                  <w:vAlign w:val="center"/>
                </w:tcPr>
                <w:p>
                  <w:pPr>
                    <w:pStyle w:val="124"/>
                    <w:ind w:firstLine="0" w:firstLineChars="0"/>
                    <w:rPr>
                      <w:rFonts w:hint="eastAsia"/>
                      <w:color w:val="auto"/>
                      <w:lang w:eastAsia="zh-CN"/>
                    </w:rPr>
                  </w:pPr>
                  <w:r>
                    <w:rPr>
                      <w:rFonts w:hint="eastAsia"/>
                      <w:color w:val="auto"/>
                    </w:rPr>
                    <w:t>碘伏</w:t>
                  </w:r>
                </w:p>
              </w:tc>
              <w:tc>
                <w:tcPr>
                  <w:tcW w:w="672" w:type="pct"/>
                  <w:noWrap w:val="0"/>
                  <w:vAlign w:val="center"/>
                </w:tcPr>
                <w:p>
                  <w:pPr>
                    <w:pStyle w:val="124"/>
                    <w:ind w:firstLine="0" w:firstLineChars="0"/>
                    <w:rPr>
                      <w:rFonts w:hint="eastAsia"/>
                      <w:color w:val="auto"/>
                      <w:lang w:val="en-US" w:eastAsia="zh-CN"/>
                    </w:rPr>
                  </w:pPr>
                  <w:r>
                    <w:rPr>
                      <w:rFonts w:hint="eastAsia"/>
                      <w:color w:val="auto"/>
                      <w:lang w:val="en-US" w:eastAsia="zh-CN"/>
                    </w:rPr>
                    <w:t>30kg</w:t>
                  </w:r>
                </w:p>
              </w:tc>
              <w:tc>
                <w:tcPr>
                  <w:tcW w:w="758" w:type="pct"/>
                  <w:noWrap w:val="0"/>
                  <w:vAlign w:val="center"/>
                </w:tcPr>
                <w:p>
                  <w:pPr>
                    <w:pStyle w:val="176"/>
                    <w:rPr>
                      <w:rFonts w:hint="eastAsia"/>
                      <w:color w:val="auto"/>
                      <w:lang w:val="en-US" w:eastAsia="zh-CN"/>
                    </w:rPr>
                  </w:pPr>
                  <w:r>
                    <w:rPr>
                      <w:rFonts w:hint="eastAsia"/>
                      <w:color w:val="auto"/>
                      <w:lang w:val="en-US" w:eastAsia="zh-CN"/>
                    </w:rPr>
                    <w:t>1kg</w:t>
                  </w:r>
                </w:p>
              </w:tc>
              <w:tc>
                <w:tcPr>
                  <w:tcW w:w="1212" w:type="pct"/>
                  <w:vMerge w:val="continue"/>
                  <w:noWrap w:val="0"/>
                  <w:vAlign w:val="center"/>
                </w:tcPr>
                <w:p>
                  <w:pPr>
                    <w:pStyle w:val="124"/>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585" w:type="pct"/>
                  <w:vMerge w:val="continue"/>
                  <w:noWrap w:val="0"/>
                  <w:vAlign w:val="center"/>
                </w:tcPr>
                <w:p>
                  <w:pPr>
                    <w:pStyle w:val="124"/>
                    <w:rPr>
                      <w:rFonts w:hint="eastAsia"/>
                      <w:color w:val="auto"/>
                    </w:rPr>
                  </w:pPr>
                </w:p>
              </w:tc>
              <w:tc>
                <w:tcPr>
                  <w:tcW w:w="1771" w:type="pct"/>
                  <w:noWrap w:val="0"/>
                  <w:vAlign w:val="center"/>
                </w:tcPr>
                <w:p>
                  <w:pPr>
                    <w:pStyle w:val="124"/>
                    <w:ind w:firstLine="0" w:firstLineChars="0"/>
                    <w:rPr>
                      <w:rFonts w:hint="eastAsia"/>
                      <w:color w:val="auto"/>
                      <w:lang w:eastAsia="zh-CN"/>
                    </w:rPr>
                  </w:pPr>
                  <w:r>
                    <w:rPr>
                      <w:rFonts w:hint="eastAsia"/>
                      <w:color w:val="auto"/>
                    </w:rPr>
                    <w:t>酒精</w:t>
                  </w:r>
                </w:p>
              </w:tc>
              <w:tc>
                <w:tcPr>
                  <w:tcW w:w="672" w:type="pct"/>
                  <w:noWrap w:val="0"/>
                  <w:vAlign w:val="center"/>
                </w:tcPr>
                <w:p>
                  <w:pPr>
                    <w:pStyle w:val="124"/>
                    <w:ind w:firstLine="0" w:firstLineChars="0"/>
                    <w:rPr>
                      <w:rFonts w:hint="eastAsia"/>
                      <w:color w:val="auto"/>
                      <w:lang w:val="en-US" w:eastAsia="zh-CN"/>
                    </w:rPr>
                  </w:pPr>
                  <w:r>
                    <w:rPr>
                      <w:rFonts w:hint="eastAsia"/>
                      <w:color w:val="auto"/>
                      <w:lang w:val="en-US" w:eastAsia="zh-CN"/>
                    </w:rPr>
                    <w:t>100kg</w:t>
                  </w:r>
                </w:p>
              </w:tc>
              <w:tc>
                <w:tcPr>
                  <w:tcW w:w="758" w:type="pct"/>
                  <w:noWrap w:val="0"/>
                  <w:vAlign w:val="center"/>
                </w:tcPr>
                <w:p>
                  <w:pPr>
                    <w:pStyle w:val="176"/>
                    <w:rPr>
                      <w:rFonts w:hint="eastAsia"/>
                      <w:color w:val="auto"/>
                      <w:lang w:val="en-US" w:eastAsia="zh-CN"/>
                    </w:rPr>
                  </w:pPr>
                  <w:r>
                    <w:rPr>
                      <w:rFonts w:hint="eastAsia"/>
                      <w:color w:val="auto"/>
                      <w:lang w:val="en-US" w:eastAsia="zh-CN"/>
                    </w:rPr>
                    <w:t>5kg</w:t>
                  </w:r>
                </w:p>
              </w:tc>
              <w:tc>
                <w:tcPr>
                  <w:tcW w:w="1212" w:type="pct"/>
                  <w:vMerge w:val="continue"/>
                  <w:noWrap w:val="0"/>
                  <w:vAlign w:val="center"/>
                </w:tcPr>
                <w:p>
                  <w:pPr>
                    <w:pStyle w:val="124"/>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585" w:type="pct"/>
                  <w:vMerge w:val="continue"/>
                  <w:noWrap w:val="0"/>
                  <w:vAlign w:val="center"/>
                </w:tcPr>
                <w:p>
                  <w:pPr>
                    <w:pStyle w:val="124"/>
                    <w:rPr>
                      <w:rFonts w:hint="eastAsia"/>
                      <w:color w:val="auto"/>
                    </w:rPr>
                  </w:pPr>
                </w:p>
              </w:tc>
              <w:tc>
                <w:tcPr>
                  <w:tcW w:w="1771" w:type="pct"/>
                  <w:noWrap w:val="0"/>
                  <w:vAlign w:val="center"/>
                </w:tcPr>
                <w:p>
                  <w:pPr>
                    <w:pStyle w:val="124"/>
                    <w:ind w:firstLine="0" w:firstLineChars="0"/>
                    <w:rPr>
                      <w:rFonts w:hint="eastAsia" w:ascii="Times New Roman" w:hAnsi="Times New Roman" w:eastAsia="宋体"/>
                      <w:color w:val="auto"/>
                      <w:kern w:val="2"/>
                      <w:sz w:val="21"/>
                      <w:szCs w:val="24"/>
                      <w:lang w:val="en-US" w:eastAsia="zh-CN" w:bidi="ar-SA"/>
                    </w:rPr>
                  </w:pPr>
                  <w:r>
                    <w:rPr>
                      <w:rFonts w:hint="eastAsia"/>
                      <w:color w:val="auto"/>
                      <w:lang w:eastAsia="zh-CN"/>
                    </w:rPr>
                    <w:t>惠中感康</w:t>
                  </w:r>
                </w:p>
              </w:tc>
              <w:tc>
                <w:tcPr>
                  <w:tcW w:w="672" w:type="pct"/>
                  <w:noWrap w:val="0"/>
                  <w:vAlign w:val="center"/>
                </w:tcPr>
                <w:p>
                  <w:pPr>
                    <w:pStyle w:val="124"/>
                    <w:rPr>
                      <w:rFonts w:hint="default" w:eastAsia="宋体"/>
                      <w:color w:val="auto"/>
                      <w:lang w:val="en-US" w:eastAsia="zh-CN"/>
                    </w:rPr>
                  </w:pPr>
                  <w:r>
                    <w:rPr>
                      <w:rFonts w:hint="eastAsia"/>
                      <w:color w:val="auto"/>
                      <w:lang w:val="en-US" w:eastAsia="zh-CN"/>
                    </w:rPr>
                    <w:t>50瓶</w:t>
                  </w:r>
                </w:p>
              </w:tc>
              <w:tc>
                <w:tcPr>
                  <w:tcW w:w="758" w:type="pct"/>
                  <w:noWrap w:val="0"/>
                  <w:vAlign w:val="center"/>
                </w:tcPr>
                <w:p>
                  <w:pPr>
                    <w:pStyle w:val="176"/>
                    <w:rPr>
                      <w:rFonts w:hint="default" w:eastAsia="宋体"/>
                      <w:color w:val="auto"/>
                      <w:lang w:val="en-US" w:eastAsia="zh-CN"/>
                    </w:rPr>
                  </w:pPr>
                  <w:r>
                    <w:rPr>
                      <w:rFonts w:hint="eastAsia"/>
                      <w:color w:val="auto"/>
                      <w:lang w:val="en-US" w:eastAsia="zh-CN"/>
                    </w:rPr>
                    <w:t>20瓶</w:t>
                  </w:r>
                </w:p>
              </w:tc>
              <w:tc>
                <w:tcPr>
                  <w:tcW w:w="1212" w:type="pct"/>
                  <w:vMerge w:val="restart"/>
                  <w:noWrap w:val="0"/>
                  <w:vAlign w:val="center"/>
                </w:tcPr>
                <w:p>
                  <w:pPr>
                    <w:pStyle w:val="124"/>
                    <w:rPr>
                      <w:rFonts w:hint="eastAsia" w:eastAsia="宋体"/>
                      <w:color w:val="auto"/>
                      <w:lang w:eastAsia="zh-CN"/>
                    </w:rPr>
                  </w:pPr>
                  <w:r>
                    <w:rPr>
                      <w:rFonts w:hint="eastAsia"/>
                      <w:color w:val="auto"/>
                      <w:lang w:eastAsia="zh-CN"/>
                    </w:rPr>
                    <w:t>治疗药品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585" w:type="pct"/>
                  <w:vMerge w:val="continue"/>
                  <w:noWrap w:val="0"/>
                  <w:vAlign w:val="center"/>
                </w:tcPr>
                <w:p>
                  <w:pPr>
                    <w:pStyle w:val="124"/>
                    <w:rPr>
                      <w:rFonts w:hint="eastAsia"/>
                      <w:color w:val="auto"/>
                    </w:rPr>
                  </w:pPr>
                </w:p>
              </w:tc>
              <w:tc>
                <w:tcPr>
                  <w:tcW w:w="1771" w:type="pct"/>
                  <w:noWrap w:val="0"/>
                  <w:vAlign w:val="center"/>
                </w:tcPr>
                <w:p>
                  <w:pPr>
                    <w:pStyle w:val="124"/>
                    <w:ind w:firstLine="0" w:firstLineChars="0"/>
                    <w:rPr>
                      <w:rFonts w:hint="eastAsia" w:ascii="Times New Roman" w:hAnsi="Times New Roman" w:eastAsia="宋体"/>
                      <w:color w:val="auto"/>
                      <w:kern w:val="2"/>
                      <w:sz w:val="21"/>
                      <w:szCs w:val="24"/>
                      <w:lang w:val="en-US" w:eastAsia="zh-CN" w:bidi="ar-SA"/>
                    </w:rPr>
                  </w:pPr>
                  <w:r>
                    <w:rPr>
                      <w:rFonts w:hint="eastAsia"/>
                      <w:color w:val="auto"/>
                      <w:lang w:eastAsia="zh-CN"/>
                    </w:rPr>
                    <w:t>阿莫西林克拉维酸钾</w:t>
                  </w:r>
                </w:p>
              </w:tc>
              <w:tc>
                <w:tcPr>
                  <w:tcW w:w="672" w:type="pct"/>
                  <w:noWrap w:val="0"/>
                  <w:vAlign w:val="center"/>
                </w:tcPr>
                <w:p>
                  <w:pPr>
                    <w:pStyle w:val="124"/>
                    <w:rPr>
                      <w:rFonts w:hint="default" w:eastAsia="宋体"/>
                      <w:color w:val="auto"/>
                      <w:lang w:val="en-US" w:eastAsia="zh-CN"/>
                    </w:rPr>
                  </w:pPr>
                  <w:r>
                    <w:rPr>
                      <w:rFonts w:hint="eastAsia"/>
                      <w:color w:val="auto"/>
                      <w:lang w:val="en-US" w:eastAsia="zh-CN"/>
                    </w:rPr>
                    <w:t>150粒</w:t>
                  </w:r>
                </w:p>
              </w:tc>
              <w:tc>
                <w:tcPr>
                  <w:tcW w:w="758" w:type="pct"/>
                  <w:noWrap w:val="0"/>
                  <w:vAlign w:val="center"/>
                </w:tcPr>
                <w:p>
                  <w:pPr>
                    <w:pStyle w:val="176"/>
                    <w:rPr>
                      <w:rFonts w:hint="default" w:eastAsia="宋体"/>
                      <w:color w:val="auto"/>
                      <w:lang w:val="en-US" w:eastAsia="zh-CN"/>
                    </w:rPr>
                  </w:pPr>
                  <w:r>
                    <w:rPr>
                      <w:rFonts w:hint="eastAsia"/>
                      <w:color w:val="auto"/>
                      <w:lang w:val="en-US" w:eastAsia="zh-CN"/>
                    </w:rPr>
                    <w:t>50粒</w:t>
                  </w:r>
                </w:p>
              </w:tc>
              <w:tc>
                <w:tcPr>
                  <w:tcW w:w="1212" w:type="pct"/>
                  <w:vMerge w:val="continue"/>
                  <w:noWrap w:val="0"/>
                  <w:vAlign w:val="center"/>
                </w:tcPr>
                <w:p>
                  <w:pPr>
                    <w:pStyle w:val="124"/>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585" w:type="pct"/>
                  <w:vMerge w:val="continue"/>
                  <w:noWrap w:val="0"/>
                  <w:vAlign w:val="center"/>
                </w:tcPr>
                <w:p>
                  <w:pPr>
                    <w:pStyle w:val="124"/>
                    <w:rPr>
                      <w:rFonts w:hint="eastAsia"/>
                      <w:color w:val="auto"/>
                    </w:rPr>
                  </w:pPr>
                </w:p>
              </w:tc>
              <w:tc>
                <w:tcPr>
                  <w:tcW w:w="1771" w:type="pct"/>
                  <w:noWrap w:val="0"/>
                  <w:vAlign w:val="center"/>
                </w:tcPr>
                <w:p>
                  <w:pPr>
                    <w:pStyle w:val="124"/>
                    <w:ind w:firstLine="0" w:firstLineChars="0"/>
                    <w:rPr>
                      <w:rFonts w:hint="eastAsia" w:ascii="Times New Roman" w:hAnsi="Times New Roman" w:eastAsia="宋体"/>
                      <w:color w:val="auto"/>
                      <w:kern w:val="2"/>
                      <w:sz w:val="21"/>
                      <w:szCs w:val="24"/>
                      <w:lang w:val="en-US" w:eastAsia="zh-CN" w:bidi="ar-SA"/>
                    </w:rPr>
                  </w:pPr>
                  <w:r>
                    <w:rPr>
                      <w:rFonts w:hint="eastAsia"/>
                      <w:color w:val="auto"/>
                      <w:lang w:eastAsia="zh-CN"/>
                    </w:rPr>
                    <w:t>头孢氨苄</w:t>
                  </w:r>
                </w:p>
              </w:tc>
              <w:tc>
                <w:tcPr>
                  <w:tcW w:w="672" w:type="pct"/>
                  <w:noWrap w:val="0"/>
                  <w:vAlign w:val="center"/>
                </w:tcPr>
                <w:p>
                  <w:pPr>
                    <w:pStyle w:val="124"/>
                    <w:rPr>
                      <w:rFonts w:hint="default" w:eastAsia="宋体"/>
                      <w:color w:val="auto"/>
                      <w:lang w:val="en-US" w:eastAsia="zh-CN"/>
                    </w:rPr>
                  </w:pPr>
                  <w:r>
                    <w:rPr>
                      <w:rFonts w:hint="eastAsia"/>
                      <w:color w:val="auto"/>
                      <w:lang w:val="en-US" w:eastAsia="zh-CN"/>
                    </w:rPr>
                    <w:t>350粒</w:t>
                  </w:r>
                </w:p>
              </w:tc>
              <w:tc>
                <w:tcPr>
                  <w:tcW w:w="758" w:type="pct"/>
                  <w:noWrap w:val="0"/>
                  <w:vAlign w:val="center"/>
                </w:tcPr>
                <w:p>
                  <w:pPr>
                    <w:pStyle w:val="176"/>
                    <w:rPr>
                      <w:rFonts w:hint="default" w:eastAsia="宋体"/>
                      <w:color w:val="auto"/>
                      <w:lang w:val="en-US" w:eastAsia="zh-CN"/>
                    </w:rPr>
                  </w:pPr>
                  <w:r>
                    <w:rPr>
                      <w:rFonts w:hint="eastAsia"/>
                      <w:color w:val="auto"/>
                      <w:lang w:val="en-US" w:eastAsia="zh-CN"/>
                    </w:rPr>
                    <w:t>200粒</w:t>
                  </w:r>
                </w:p>
              </w:tc>
              <w:tc>
                <w:tcPr>
                  <w:tcW w:w="1212" w:type="pct"/>
                  <w:vMerge w:val="continue"/>
                  <w:noWrap w:val="0"/>
                  <w:vAlign w:val="center"/>
                </w:tcPr>
                <w:p>
                  <w:pPr>
                    <w:pStyle w:val="124"/>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585" w:type="pct"/>
                  <w:vMerge w:val="continue"/>
                  <w:noWrap w:val="0"/>
                  <w:vAlign w:val="center"/>
                </w:tcPr>
                <w:p>
                  <w:pPr>
                    <w:pStyle w:val="124"/>
                    <w:rPr>
                      <w:rFonts w:hint="eastAsia"/>
                      <w:color w:val="auto"/>
                    </w:rPr>
                  </w:pPr>
                </w:p>
              </w:tc>
              <w:tc>
                <w:tcPr>
                  <w:tcW w:w="1771" w:type="pct"/>
                  <w:noWrap w:val="0"/>
                  <w:vAlign w:val="center"/>
                </w:tcPr>
                <w:p>
                  <w:pPr>
                    <w:pStyle w:val="124"/>
                    <w:ind w:firstLine="0" w:firstLineChars="0"/>
                    <w:rPr>
                      <w:rFonts w:hint="eastAsia" w:ascii="Times New Roman" w:hAnsi="Times New Roman" w:eastAsia="宋体"/>
                      <w:color w:val="auto"/>
                      <w:kern w:val="2"/>
                      <w:sz w:val="21"/>
                      <w:szCs w:val="24"/>
                      <w:lang w:val="en-US" w:eastAsia="zh-CN" w:bidi="ar-SA"/>
                    </w:rPr>
                  </w:pPr>
                  <w:r>
                    <w:rPr>
                      <w:rFonts w:hint="eastAsia"/>
                      <w:color w:val="auto"/>
                      <w:lang w:eastAsia="zh-CN"/>
                    </w:rPr>
                    <w:t>多西环素</w:t>
                  </w:r>
                </w:p>
              </w:tc>
              <w:tc>
                <w:tcPr>
                  <w:tcW w:w="672" w:type="pct"/>
                  <w:noWrap w:val="0"/>
                  <w:vAlign w:val="center"/>
                </w:tcPr>
                <w:p>
                  <w:pPr>
                    <w:pStyle w:val="124"/>
                    <w:rPr>
                      <w:rFonts w:hint="default" w:eastAsia="宋体"/>
                      <w:color w:val="auto"/>
                      <w:lang w:val="en-US" w:eastAsia="zh-CN"/>
                    </w:rPr>
                  </w:pPr>
                  <w:r>
                    <w:rPr>
                      <w:rFonts w:hint="eastAsia"/>
                      <w:color w:val="auto"/>
                      <w:lang w:val="en-US" w:eastAsia="zh-CN"/>
                    </w:rPr>
                    <w:t>300片</w:t>
                  </w:r>
                </w:p>
              </w:tc>
              <w:tc>
                <w:tcPr>
                  <w:tcW w:w="758" w:type="pct"/>
                  <w:noWrap w:val="0"/>
                  <w:vAlign w:val="center"/>
                </w:tcPr>
                <w:p>
                  <w:pPr>
                    <w:pStyle w:val="176"/>
                    <w:rPr>
                      <w:rFonts w:hint="default" w:eastAsia="宋体"/>
                      <w:color w:val="auto"/>
                      <w:lang w:val="en-US" w:eastAsia="zh-CN"/>
                    </w:rPr>
                  </w:pPr>
                  <w:r>
                    <w:rPr>
                      <w:rFonts w:hint="eastAsia"/>
                      <w:color w:val="auto"/>
                      <w:lang w:val="en-US" w:eastAsia="zh-CN"/>
                    </w:rPr>
                    <w:t>200片</w:t>
                  </w:r>
                </w:p>
              </w:tc>
              <w:tc>
                <w:tcPr>
                  <w:tcW w:w="1212" w:type="pct"/>
                  <w:vMerge w:val="continue"/>
                  <w:noWrap w:val="0"/>
                  <w:vAlign w:val="center"/>
                </w:tcPr>
                <w:p>
                  <w:pPr>
                    <w:pStyle w:val="124"/>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585" w:type="pct"/>
                  <w:vMerge w:val="continue"/>
                  <w:noWrap w:val="0"/>
                  <w:vAlign w:val="center"/>
                </w:tcPr>
                <w:p>
                  <w:pPr>
                    <w:pStyle w:val="124"/>
                    <w:rPr>
                      <w:rFonts w:hint="eastAsia"/>
                      <w:color w:val="auto"/>
                    </w:rPr>
                  </w:pPr>
                </w:p>
              </w:tc>
              <w:tc>
                <w:tcPr>
                  <w:tcW w:w="1771" w:type="pct"/>
                  <w:noWrap w:val="0"/>
                  <w:vAlign w:val="center"/>
                </w:tcPr>
                <w:p>
                  <w:pPr>
                    <w:pStyle w:val="124"/>
                    <w:ind w:firstLine="0" w:firstLineChars="0"/>
                    <w:rPr>
                      <w:rFonts w:hint="eastAsia" w:ascii="Times New Roman" w:hAnsi="Times New Roman" w:eastAsia="宋体"/>
                      <w:color w:val="auto"/>
                      <w:kern w:val="2"/>
                      <w:sz w:val="21"/>
                      <w:szCs w:val="24"/>
                      <w:lang w:val="en-US" w:eastAsia="zh-CN" w:bidi="ar-SA"/>
                    </w:rPr>
                  </w:pPr>
                  <w:r>
                    <w:rPr>
                      <w:rFonts w:hint="eastAsia"/>
                      <w:color w:val="auto"/>
                      <w:lang w:eastAsia="zh-CN"/>
                    </w:rPr>
                    <w:t>硫酸新霉素</w:t>
                  </w:r>
                </w:p>
              </w:tc>
              <w:tc>
                <w:tcPr>
                  <w:tcW w:w="672" w:type="pct"/>
                  <w:noWrap w:val="0"/>
                  <w:vAlign w:val="center"/>
                </w:tcPr>
                <w:p>
                  <w:pPr>
                    <w:pStyle w:val="124"/>
                    <w:rPr>
                      <w:rFonts w:hint="default" w:eastAsia="宋体"/>
                      <w:color w:val="auto"/>
                      <w:lang w:val="en-US" w:eastAsia="zh-CN"/>
                    </w:rPr>
                  </w:pPr>
                  <w:r>
                    <w:rPr>
                      <w:rFonts w:hint="eastAsia"/>
                      <w:color w:val="auto"/>
                      <w:lang w:val="en-US" w:eastAsia="zh-CN"/>
                    </w:rPr>
                    <w:t>250片</w:t>
                  </w:r>
                </w:p>
              </w:tc>
              <w:tc>
                <w:tcPr>
                  <w:tcW w:w="758" w:type="pct"/>
                  <w:noWrap w:val="0"/>
                  <w:vAlign w:val="center"/>
                </w:tcPr>
                <w:p>
                  <w:pPr>
                    <w:pStyle w:val="176"/>
                    <w:rPr>
                      <w:rFonts w:hint="default" w:eastAsia="宋体"/>
                      <w:color w:val="auto"/>
                      <w:lang w:val="en-US" w:eastAsia="zh-CN"/>
                    </w:rPr>
                  </w:pPr>
                  <w:r>
                    <w:rPr>
                      <w:rFonts w:hint="eastAsia"/>
                      <w:color w:val="auto"/>
                      <w:lang w:val="en-US" w:eastAsia="zh-CN"/>
                    </w:rPr>
                    <w:t>80片</w:t>
                  </w:r>
                </w:p>
              </w:tc>
              <w:tc>
                <w:tcPr>
                  <w:tcW w:w="1212" w:type="pct"/>
                  <w:vMerge w:val="continue"/>
                  <w:noWrap w:val="0"/>
                  <w:vAlign w:val="center"/>
                </w:tcPr>
                <w:p>
                  <w:pPr>
                    <w:pStyle w:val="124"/>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585" w:type="pct"/>
                  <w:vMerge w:val="continue"/>
                  <w:noWrap w:val="0"/>
                  <w:vAlign w:val="center"/>
                </w:tcPr>
                <w:p>
                  <w:pPr>
                    <w:pStyle w:val="124"/>
                    <w:rPr>
                      <w:rFonts w:hint="eastAsia"/>
                      <w:color w:val="auto"/>
                    </w:rPr>
                  </w:pPr>
                </w:p>
              </w:tc>
              <w:tc>
                <w:tcPr>
                  <w:tcW w:w="1771" w:type="pct"/>
                  <w:noWrap w:val="0"/>
                  <w:vAlign w:val="center"/>
                </w:tcPr>
                <w:p>
                  <w:pPr>
                    <w:pStyle w:val="124"/>
                    <w:ind w:firstLine="0" w:firstLineChars="0"/>
                    <w:rPr>
                      <w:rFonts w:hint="eastAsia" w:ascii="Times New Roman" w:hAnsi="Times New Roman" w:eastAsia="宋体"/>
                      <w:color w:val="auto"/>
                      <w:kern w:val="2"/>
                      <w:sz w:val="21"/>
                      <w:szCs w:val="24"/>
                      <w:lang w:val="en-US" w:eastAsia="zh-CN" w:bidi="ar-SA"/>
                    </w:rPr>
                  </w:pPr>
                  <w:r>
                    <w:rPr>
                      <w:rFonts w:hint="eastAsia"/>
                      <w:color w:val="auto"/>
                      <w:lang w:eastAsia="zh-CN"/>
                    </w:rPr>
                    <w:t>麻佛美味片</w:t>
                  </w:r>
                </w:p>
              </w:tc>
              <w:tc>
                <w:tcPr>
                  <w:tcW w:w="672" w:type="pct"/>
                  <w:noWrap w:val="0"/>
                  <w:vAlign w:val="center"/>
                </w:tcPr>
                <w:p>
                  <w:pPr>
                    <w:pStyle w:val="124"/>
                    <w:rPr>
                      <w:rFonts w:hint="default" w:eastAsia="宋体"/>
                      <w:color w:val="auto"/>
                      <w:lang w:val="en-US" w:eastAsia="zh-CN"/>
                    </w:rPr>
                  </w:pPr>
                  <w:r>
                    <w:rPr>
                      <w:rFonts w:hint="eastAsia"/>
                      <w:color w:val="auto"/>
                      <w:lang w:val="en-US" w:eastAsia="zh-CN"/>
                    </w:rPr>
                    <w:t>250片</w:t>
                  </w:r>
                </w:p>
              </w:tc>
              <w:tc>
                <w:tcPr>
                  <w:tcW w:w="758" w:type="pct"/>
                  <w:noWrap w:val="0"/>
                  <w:vAlign w:val="center"/>
                </w:tcPr>
                <w:p>
                  <w:pPr>
                    <w:pStyle w:val="176"/>
                    <w:rPr>
                      <w:rFonts w:hint="default" w:eastAsia="宋体"/>
                      <w:color w:val="auto"/>
                      <w:lang w:val="en-US" w:eastAsia="zh-CN"/>
                    </w:rPr>
                  </w:pPr>
                  <w:r>
                    <w:rPr>
                      <w:rFonts w:hint="eastAsia"/>
                      <w:color w:val="auto"/>
                      <w:lang w:val="en-US" w:eastAsia="zh-CN"/>
                    </w:rPr>
                    <w:t>50片</w:t>
                  </w:r>
                </w:p>
              </w:tc>
              <w:tc>
                <w:tcPr>
                  <w:tcW w:w="1212" w:type="pct"/>
                  <w:vMerge w:val="continue"/>
                  <w:noWrap w:val="0"/>
                  <w:vAlign w:val="center"/>
                </w:tcPr>
                <w:p>
                  <w:pPr>
                    <w:pStyle w:val="124"/>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585" w:type="pct"/>
                  <w:vMerge w:val="continue"/>
                  <w:noWrap w:val="0"/>
                  <w:vAlign w:val="center"/>
                </w:tcPr>
                <w:p>
                  <w:pPr>
                    <w:pStyle w:val="124"/>
                    <w:rPr>
                      <w:rFonts w:hint="eastAsia"/>
                      <w:color w:val="auto"/>
                    </w:rPr>
                  </w:pPr>
                </w:p>
              </w:tc>
              <w:tc>
                <w:tcPr>
                  <w:tcW w:w="1771" w:type="pct"/>
                  <w:noWrap w:val="0"/>
                  <w:vAlign w:val="center"/>
                </w:tcPr>
                <w:p>
                  <w:pPr>
                    <w:pStyle w:val="124"/>
                    <w:ind w:firstLine="0" w:firstLineChars="0"/>
                    <w:rPr>
                      <w:rFonts w:hint="eastAsia" w:ascii="Times New Roman" w:hAnsi="Times New Roman" w:eastAsia="宋体"/>
                      <w:color w:val="auto"/>
                      <w:kern w:val="2"/>
                      <w:sz w:val="21"/>
                      <w:szCs w:val="24"/>
                      <w:lang w:val="en-US" w:eastAsia="zh-CN" w:bidi="ar-SA"/>
                    </w:rPr>
                  </w:pPr>
                  <w:r>
                    <w:rPr>
                      <w:rFonts w:hint="eastAsia"/>
                      <w:color w:val="auto"/>
                      <w:lang w:val="en-US" w:eastAsia="zh-CN"/>
                    </w:rPr>
                    <w:t>吡喹酮片</w:t>
                  </w:r>
                </w:p>
              </w:tc>
              <w:tc>
                <w:tcPr>
                  <w:tcW w:w="672" w:type="pct"/>
                  <w:noWrap w:val="0"/>
                  <w:vAlign w:val="center"/>
                </w:tcPr>
                <w:p>
                  <w:pPr>
                    <w:pStyle w:val="124"/>
                    <w:rPr>
                      <w:rFonts w:hint="default" w:eastAsia="宋体"/>
                      <w:color w:val="auto"/>
                      <w:lang w:val="en-US" w:eastAsia="zh-CN"/>
                    </w:rPr>
                  </w:pPr>
                  <w:r>
                    <w:rPr>
                      <w:rFonts w:hint="eastAsia"/>
                      <w:color w:val="auto"/>
                      <w:lang w:val="en-US" w:eastAsia="zh-CN"/>
                    </w:rPr>
                    <w:t>200片</w:t>
                  </w:r>
                </w:p>
              </w:tc>
              <w:tc>
                <w:tcPr>
                  <w:tcW w:w="758" w:type="pct"/>
                  <w:noWrap w:val="0"/>
                  <w:vAlign w:val="center"/>
                </w:tcPr>
                <w:p>
                  <w:pPr>
                    <w:pStyle w:val="176"/>
                    <w:rPr>
                      <w:rFonts w:hint="default" w:eastAsia="宋体"/>
                      <w:color w:val="auto"/>
                      <w:lang w:val="en-US" w:eastAsia="zh-CN"/>
                    </w:rPr>
                  </w:pPr>
                  <w:r>
                    <w:rPr>
                      <w:rFonts w:hint="eastAsia"/>
                      <w:color w:val="auto"/>
                      <w:lang w:val="en-US" w:eastAsia="zh-CN"/>
                    </w:rPr>
                    <w:t>50片</w:t>
                  </w:r>
                </w:p>
              </w:tc>
              <w:tc>
                <w:tcPr>
                  <w:tcW w:w="1212" w:type="pct"/>
                  <w:vMerge w:val="continue"/>
                  <w:noWrap w:val="0"/>
                  <w:vAlign w:val="center"/>
                </w:tcPr>
                <w:p>
                  <w:pPr>
                    <w:pStyle w:val="124"/>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585" w:type="pct"/>
                  <w:vMerge w:val="continue"/>
                  <w:noWrap w:val="0"/>
                  <w:vAlign w:val="center"/>
                </w:tcPr>
                <w:p>
                  <w:pPr>
                    <w:pStyle w:val="124"/>
                    <w:rPr>
                      <w:rFonts w:hint="eastAsia"/>
                      <w:color w:val="auto"/>
                    </w:rPr>
                  </w:pPr>
                </w:p>
              </w:tc>
              <w:tc>
                <w:tcPr>
                  <w:tcW w:w="1771" w:type="pct"/>
                  <w:noWrap w:val="0"/>
                  <w:vAlign w:val="center"/>
                </w:tcPr>
                <w:p>
                  <w:pPr>
                    <w:pStyle w:val="124"/>
                    <w:ind w:firstLine="0" w:firstLineChars="0"/>
                    <w:rPr>
                      <w:rFonts w:hint="eastAsia" w:ascii="Times New Roman" w:hAnsi="Times New Roman" w:eastAsia="宋体"/>
                      <w:color w:val="auto"/>
                      <w:kern w:val="2"/>
                      <w:sz w:val="21"/>
                      <w:szCs w:val="24"/>
                      <w:lang w:val="en-US" w:eastAsia="zh-CN" w:bidi="ar-SA"/>
                    </w:rPr>
                  </w:pPr>
                  <w:r>
                    <w:rPr>
                      <w:rFonts w:hint="eastAsia"/>
                      <w:color w:val="auto"/>
                      <w:lang w:val="en-US" w:eastAsia="zh-CN"/>
                    </w:rPr>
                    <w:t>海乐妙</w:t>
                  </w:r>
                </w:p>
              </w:tc>
              <w:tc>
                <w:tcPr>
                  <w:tcW w:w="672" w:type="pct"/>
                  <w:noWrap w:val="0"/>
                  <w:vAlign w:val="center"/>
                </w:tcPr>
                <w:p>
                  <w:pPr>
                    <w:pStyle w:val="124"/>
                    <w:rPr>
                      <w:rFonts w:hint="default" w:eastAsia="宋体"/>
                      <w:color w:val="auto"/>
                      <w:lang w:val="en-US" w:eastAsia="zh-CN"/>
                    </w:rPr>
                  </w:pPr>
                  <w:r>
                    <w:rPr>
                      <w:rFonts w:hint="eastAsia"/>
                      <w:color w:val="auto"/>
                      <w:lang w:val="en-US" w:eastAsia="zh-CN"/>
                    </w:rPr>
                    <w:t>250片</w:t>
                  </w:r>
                </w:p>
              </w:tc>
              <w:tc>
                <w:tcPr>
                  <w:tcW w:w="758" w:type="pct"/>
                  <w:noWrap w:val="0"/>
                  <w:vAlign w:val="center"/>
                </w:tcPr>
                <w:p>
                  <w:pPr>
                    <w:pStyle w:val="176"/>
                    <w:rPr>
                      <w:rFonts w:hint="eastAsia"/>
                      <w:color w:val="auto"/>
                    </w:rPr>
                  </w:pPr>
                  <w:r>
                    <w:rPr>
                      <w:rFonts w:hint="eastAsia"/>
                      <w:color w:val="auto"/>
                      <w:lang w:val="en-US" w:eastAsia="zh-CN"/>
                    </w:rPr>
                    <w:t>50片</w:t>
                  </w:r>
                </w:p>
              </w:tc>
              <w:tc>
                <w:tcPr>
                  <w:tcW w:w="1212" w:type="pct"/>
                  <w:vMerge w:val="continue"/>
                  <w:noWrap w:val="0"/>
                  <w:vAlign w:val="center"/>
                </w:tcPr>
                <w:p>
                  <w:pPr>
                    <w:pStyle w:val="124"/>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585" w:type="pct"/>
                  <w:vMerge w:val="continue"/>
                  <w:noWrap w:val="0"/>
                  <w:vAlign w:val="center"/>
                </w:tcPr>
                <w:p>
                  <w:pPr>
                    <w:pStyle w:val="124"/>
                    <w:rPr>
                      <w:rFonts w:hint="eastAsia"/>
                      <w:color w:val="auto"/>
                    </w:rPr>
                  </w:pPr>
                </w:p>
              </w:tc>
              <w:tc>
                <w:tcPr>
                  <w:tcW w:w="1771" w:type="pct"/>
                  <w:noWrap w:val="0"/>
                  <w:vAlign w:val="center"/>
                </w:tcPr>
                <w:p>
                  <w:pPr>
                    <w:pStyle w:val="124"/>
                    <w:ind w:firstLine="0" w:firstLineChars="0"/>
                    <w:rPr>
                      <w:rFonts w:hint="eastAsia" w:ascii="Times New Roman" w:hAnsi="Times New Roman" w:eastAsia="宋体"/>
                      <w:color w:val="auto"/>
                      <w:kern w:val="2"/>
                      <w:sz w:val="21"/>
                      <w:szCs w:val="24"/>
                      <w:lang w:val="en-US" w:eastAsia="zh-CN" w:bidi="ar-SA"/>
                    </w:rPr>
                  </w:pPr>
                  <w:r>
                    <w:rPr>
                      <w:rFonts w:hint="eastAsia"/>
                      <w:color w:val="auto"/>
                      <w:lang w:val="en-US" w:eastAsia="zh-CN"/>
                    </w:rPr>
                    <w:t>超可信</w:t>
                  </w:r>
                </w:p>
              </w:tc>
              <w:tc>
                <w:tcPr>
                  <w:tcW w:w="672" w:type="pct"/>
                  <w:noWrap w:val="0"/>
                  <w:vAlign w:val="center"/>
                </w:tcPr>
                <w:p>
                  <w:pPr>
                    <w:pStyle w:val="124"/>
                    <w:rPr>
                      <w:rFonts w:hint="default" w:eastAsia="宋体"/>
                      <w:color w:val="auto"/>
                      <w:lang w:val="en-US" w:eastAsia="zh-CN"/>
                    </w:rPr>
                  </w:pPr>
                  <w:r>
                    <w:rPr>
                      <w:rFonts w:hint="eastAsia"/>
                      <w:color w:val="auto"/>
                      <w:lang w:val="en-US" w:eastAsia="zh-CN"/>
                    </w:rPr>
                    <w:t>260粒</w:t>
                  </w:r>
                </w:p>
              </w:tc>
              <w:tc>
                <w:tcPr>
                  <w:tcW w:w="758" w:type="pct"/>
                  <w:noWrap w:val="0"/>
                  <w:vAlign w:val="center"/>
                </w:tcPr>
                <w:p>
                  <w:pPr>
                    <w:pStyle w:val="176"/>
                    <w:rPr>
                      <w:rFonts w:hint="eastAsia"/>
                      <w:color w:val="auto"/>
                    </w:rPr>
                  </w:pPr>
                  <w:r>
                    <w:rPr>
                      <w:rFonts w:hint="eastAsia"/>
                      <w:color w:val="auto"/>
                      <w:lang w:val="en-US" w:eastAsia="zh-CN"/>
                    </w:rPr>
                    <w:t>50粒</w:t>
                  </w:r>
                </w:p>
              </w:tc>
              <w:tc>
                <w:tcPr>
                  <w:tcW w:w="1212" w:type="pct"/>
                  <w:vMerge w:val="continue"/>
                  <w:noWrap w:val="0"/>
                  <w:vAlign w:val="center"/>
                </w:tcPr>
                <w:p>
                  <w:pPr>
                    <w:pStyle w:val="124"/>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585" w:type="pct"/>
                  <w:vMerge w:val="continue"/>
                  <w:noWrap w:val="0"/>
                  <w:vAlign w:val="center"/>
                </w:tcPr>
                <w:p>
                  <w:pPr>
                    <w:pStyle w:val="124"/>
                    <w:rPr>
                      <w:rFonts w:hint="eastAsia"/>
                      <w:color w:val="auto"/>
                    </w:rPr>
                  </w:pPr>
                </w:p>
              </w:tc>
              <w:tc>
                <w:tcPr>
                  <w:tcW w:w="1771" w:type="pct"/>
                  <w:noWrap w:val="0"/>
                  <w:vAlign w:val="center"/>
                </w:tcPr>
                <w:p>
                  <w:pPr>
                    <w:pStyle w:val="124"/>
                    <w:ind w:firstLine="0" w:firstLineChars="0"/>
                    <w:rPr>
                      <w:rFonts w:hint="eastAsia" w:ascii="Times New Roman" w:hAnsi="Times New Roman" w:eastAsia="宋体"/>
                      <w:color w:val="auto"/>
                      <w:kern w:val="2"/>
                      <w:sz w:val="21"/>
                      <w:szCs w:val="24"/>
                      <w:lang w:val="en-US" w:eastAsia="zh-CN" w:bidi="ar-SA"/>
                    </w:rPr>
                  </w:pPr>
                  <w:r>
                    <w:rPr>
                      <w:rFonts w:hint="eastAsia"/>
                      <w:color w:val="auto"/>
                      <w:lang w:eastAsia="zh-CN"/>
                    </w:rPr>
                    <w:t>犬心保</w:t>
                  </w:r>
                </w:p>
              </w:tc>
              <w:tc>
                <w:tcPr>
                  <w:tcW w:w="672" w:type="pct"/>
                  <w:noWrap w:val="0"/>
                  <w:vAlign w:val="center"/>
                </w:tcPr>
                <w:p>
                  <w:pPr>
                    <w:pStyle w:val="124"/>
                    <w:rPr>
                      <w:rFonts w:hint="eastAsia"/>
                      <w:color w:val="auto"/>
                    </w:rPr>
                  </w:pPr>
                  <w:r>
                    <w:rPr>
                      <w:rFonts w:hint="eastAsia"/>
                      <w:color w:val="auto"/>
                      <w:lang w:val="en-US" w:eastAsia="zh-CN"/>
                    </w:rPr>
                    <w:t>280片</w:t>
                  </w:r>
                </w:p>
              </w:tc>
              <w:tc>
                <w:tcPr>
                  <w:tcW w:w="758" w:type="pct"/>
                  <w:noWrap w:val="0"/>
                  <w:vAlign w:val="center"/>
                </w:tcPr>
                <w:p>
                  <w:pPr>
                    <w:pStyle w:val="176"/>
                    <w:rPr>
                      <w:rFonts w:hint="eastAsia"/>
                      <w:color w:val="auto"/>
                    </w:rPr>
                  </w:pPr>
                  <w:r>
                    <w:rPr>
                      <w:rFonts w:hint="eastAsia"/>
                      <w:color w:val="auto"/>
                      <w:lang w:val="en-US" w:eastAsia="zh-CN"/>
                    </w:rPr>
                    <w:t>50片</w:t>
                  </w:r>
                </w:p>
              </w:tc>
              <w:tc>
                <w:tcPr>
                  <w:tcW w:w="1212" w:type="pct"/>
                  <w:vMerge w:val="continue"/>
                  <w:noWrap w:val="0"/>
                  <w:vAlign w:val="center"/>
                </w:tcPr>
                <w:p>
                  <w:pPr>
                    <w:pStyle w:val="124"/>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585" w:type="pct"/>
                  <w:vMerge w:val="continue"/>
                  <w:noWrap w:val="0"/>
                  <w:vAlign w:val="center"/>
                </w:tcPr>
                <w:p>
                  <w:pPr>
                    <w:pStyle w:val="124"/>
                    <w:rPr>
                      <w:rFonts w:hint="eastAsia"/>
                      <w:color w:val="auto"/>
                    </w:rPr>
                  </w:pPr>
                </w:p>
              </w:tc>
              <w:tc>
                <w:tcPr>
                  <w:tcW w:w="1771" w:type="pct"/>
                  <w:noWrap w:val="0"/>
                  <w:vAlign w:val="center"/>
                </w:tcPr>
                <w:p>
                  <w:pPr>
                    <w:pStyle w:val="124"/>
                    <w:ind w:firstLine="0" w:firstLineChars="0"/>
                    <w:rPr>
                      <w:rFonts w:hint="default" w:ascii="Times New Roman" w:hAnsi="Times New Roman" w:eastAsia="宋体"/>
                      <w:color w:val="auto"/>
                      <w:kern w:val="2"/>
                      <w:sz w:val="21"/>
                      <w:szCs w:val="24"/>
                      <w:lang w:val="en-US" w:eastAsia="zh-CN" w:bidi="ar-SA"/>
                    </w:rPr>
                  </w:pPr>
                  <w:r>
                    <w:rPr>
                      <w:rFonts w:hint="eastAsia"/>
                      <w:color w:val="auto"/>
                      <w:lang w:eastAsia="zh-CN"/>
                    </w:rPr>
                    <w:t>赛瑞宁</w:t>
                  </w:r>
                </w:p>
              </w:tc>
              <w:tc>
                <w:tcPr>
                  <w:tcW w:w="672" w:type="pct"/>
                  <w:noWrap w:val="0"/>
                  <w:vAlign w:val="center"/>
                </w:tcPr>
                <w:p>
                  <w:pPr>
                    <w:pStyle w:val="124"/>
                    <w:rPr>
                      <w:rFonts w:hint="eastAsia"/>
                      <w:color w:val="auto"/>
                    </w:rPr>
                  </w:pPr>
                  <w:r>
                    <w:rPr>
                      <w:rFonts w:hint="eastAsia"/>
                      <w:color w:val="auto"/>
                      <w:lang w:val="en-US" w:eastAsia="zh-CN"/>
                    </w:rPr>
                    <w:t>300片</w:t>
                  </w:r>
                </w:p>
              </w:tc>
              <w:tc>
                <w:tcPr>
                  <w:tcW w:w="758" w:type="pct"/>
                  <w:noWrap w:val="0"/>
                  <w:vAlign w:val="center"/>
                </w:tcPr>
                <w:p>
                  <w:pPr>
                    <w:pStyle w:val="176"/>
                    <w:rPr>
                      <w:rFonts w:hint="eastAsia"/>
                      <w:color w:val="auto"/>
                    </w:rPr>
                  </w:pPr>
                  <w:r>
                    <w:rPr>
                      <w:rFonts w:hint="eastAsia"/>
                      <w:color w:val="auto"/>
                      <w:lang w:val="en-US" w:eastAsia="zh-CN"/>
                    </w:rPr>
                    <w:t>50片</w:t>
                  </w:r>
                </w:p>
              </w:tc>
              <w:tc>
                <w:tcPr>
                  <w:tcW w:w="1212" w:type="pct"/>
                  <w:vMerge w:val="continue"/>
                  <w:noWrap w:val="0"/>
                  <w:vAlign w:val="center"/>
                </w:tcPr>
                <w:p>
                  <w:pPr>
                    <w:pStyle w:val="124"/>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585" w:type="pct"/>
                  <w:vMerge w:val="continue"/>
                  <w:noWrap w:val="0"/>
                  <w:vAlign w:val="center"/>
                </w:tcPr>
                <w:p>
                  <w:pPr>
                    <w:pStyle w:val="124"/>
                    <w:rPr>
                      <w:rFonts w:hint="eastAsia"/>
                      <w:color w:val="auto"/>
                    </w:rPr>
                  </w:pPr>
                </w:p>
              </w:tc>
              <w:tc>
                <w:tcPr>
                  <w:tcW w:w="1771" w:type="pct"/>
                  <w:noWrap w:val="0"/>
                  <w:vAlign w:val="center"/>
                </w:tcPr>
                <w:p>
                  <w:pPr>
                    <w:pStyle w:val="124"/>
                    <w:ind w:firstLine="0" w:firstLineChars="0"/>
                    <w:rPr>
                      <w:rFonts w:hint="eastAsia" w:ascii="Times New Roman" w:hAnsi="Times New Roman" w:eastAsia="宋体"/>
                      <w:color w:val="auto"/>
                      <w:kern w:val="2"/>
                      <w:sz w:val="21"/>
                      <w:szCs w:val="24"/>
                      <w:lang w:val="en-US" w:eastAsia="zh-CN" w:bidi="ar-SA"/>
                    </w:rPr>
                  </w:pPr>
                  <w:r>
                    <w:rPr>
                      <w:rFonts w:hint="eastAsia"/>
                      <w:color w:val="auto"/>
                      <w:lang w:eastAsia="zh-CN"/>
                    </w:rPr>
                    <w:t>仕马健</w:t>
                  </w:r>
                </w:p>
              </w:tc>
              <w:tc>
                <w:tcPr>
                  <w:tcW w:w="672" w:type="pct"/>
                  <w:noWrap w:val="0"/>
                  <w:vAlign w:val="center"/>
                </w:tcPr>
                <w:p>
                  <w:pPr>
                    <w:pStyle w:val="124"/>
                    <w:rPr>
                      <w:rFonts w:hint="default" w:eastAsia="宋体"/>
                      <w:color w:val="auto"/>
                      <w:lang w:val="en-US" w:eastAsia="zh-CN"/>
                    </w:rPr>
                  </w:pPr>
                  <w:r>
                    <w:rPr>
                      <w:rFonts w:hint="eastAsia"/>
                      <w:color w:val="auto"/>
                      <w:lang w:val="en-US" w:eastAsia="zh-CN"/>
                    </w:rPr>
                    <w:t>300片</w:t>
                  </w:r>
                </w:p>
              </w:tc>
              <w:tc>
                <w:tcPr>
                  <w:tcW w:w="758" w:type="pct"/>
                  <w:noWrap w:val="0"/>
                  <w:vAlign w:val="center"/>
                </w:tcPr>
                <w:p>
                  <w:pPr>
                    <w:pStyle w:val="176"/>
                    <w:rPr>
                      <w:rFonts w:hint="eastAsia"/>
                      <w:color w:val="auto"/>
                    </w:rPr>
                  </w:pPr>
                  <w:r>
                    <w:rPr>
                      <w:rFonts w:hint="eastAsia"/>
                      <w:color w:val="auto"/>
                      <w:lang w:val="en-US" w:eastAsia="zh-CN"/>
                    </w:rPr>
                    <w:t>50片</w:t>
                  </w:r>
                </w:p>
              </w:tc>
              <w:tc>
                <w:tcPr>
                  <w:tcW w:w="1212" w:type="pct"/>
                  <w:vMerge w:val="continue"/>
                  <w:noWrap w:val="0"/>
                  <w:vAlign w:val="center"/>
                </w:tcPr>
                <w:p>
                  <w:pPr>
                    <w:pStyle w:val="124"/>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585" w:type="pct"/>
                  <w:vMerge w:val="continue"/>
                  <w:noWrap w:val="0"/>
                  <w:vAlign w:val="center"/>
                </w:tcPr>
                <w:p>
                  <w:pPr>
                    <w:pStyle w:val="124"/>
                    <w:rPr>
                      <w:rFonts w:hint="eastAsia"/>
                      <w:color w:val="auto"/>
                    </w:rPr>
                  </w:pPr>
                </w:p>
              </w:tc>
              <w:tc>
                <w:tcPr>
                  <w:tcW w:w="1771" w:type="pct"/>
                  <w:noWrap w:val="0"/>
                  <w:vAlign w:val="center"/>
                </w:tcPr>
                <w:p>
                  <w:pPr>
                    <w:pStyle w:val="124"/>
                    <w:ind w:firstLine="0" w:firstLineChars="0"/>
                    <w:rPr>
                      <w:rFonts w:hint="eastAsia" w:ascii="Times New Roman" w:hAnsi="Times New Roman" w:eastAsia="宋体"/>
                      <w:color w:val="auto"/>
                      <w:kern w:val="2"/>
                      <w:sz w:val="21"/>
                      <w:szCs w:val="24"/>
                      <w:lang w:val="en-US" w:eastAsia="zh-CN" w:bidi="ar-SA"/>
                    </w:rPr>
                  </w:pPr>
                  <w:r>
                    <w:rPr>
                      <w:rFonts w:hint="eastAsia"/>
                      <w:color w:val="auto"/>
                      <w:lang w:val="en-US" w:eastAsia="zh-CN"/>
                    </w:rPr>
                    <w:t>耳肤灵</w:t>
                  </w:r>
                </w:p>
              </w:tc>
              <w:tc>
                <w:tcPr>
                  <w:tcW w:w="672" w:type="pct"/>
                  <w:noWrap w:val="0"/>
                  <w:vAlign w:val="center"/>
                </w:tcPr>
                <w:p>
                  <w:pPr>
                    <w:pStyle w:val="124"/>
                    <w:ind w:firstLine="0" w:firstLineChars="0"/>
                    <w:rPr>
                      <w:rFonts w:hint="default" w:eastAsia="宋体"/>
                      <w:color w:val="auto"/>
                      <w:lang w:val="en-US" w:eastAsia="zh-CN"/>
                    </w:rPr>
                  </w:pPr>
                  <w:r>
                    <w:rPr>
                      <w:rFonts w:hint="eastAsia"/>
                      <w:color w:val="auto"/>
                      <w:lang w:val="en-US" w:eastAsia="zh-CN"/>
                    </w:rPr>
                    <w:t>300支</w:t>
                  </w:r>
                </w:p>
              </w:tc>
              <w:tc>
                <w:tcPr>
                  <w:tcW w:w="758" w:type="pct"/>
                  <w:noWrap w:val="0"/>
                  <w:vAlign w:val="center"/>
                </w:tcPr>
                <w:p>
                  <w:pPr>
                    <w:pStyle w:val="176"/>
                    <w:rPr>
                      <w:rFonts w:hint="eastAsia"/>
                      <w:color w:val="auto"/>
                    </w:rPr>
                  </w:pPr>
                  <w:r>
                    <w:rPr>
                      <w:rFonts w:hint="eastAsia"/>
                      <w:color w:val="auto"/>
                      <w:lang w:val="en-US" w:eastAsia="zh-CN"/>
                    </w:rPr>
                    <w:t>50支</w:t>
                  </w:r>
                </w:p>
              </w:tc>
              <w:tc>
                <w:tcPr>
                  <w:tcW w:w="1212" w:type="pct"/>
                  <w:vMerge w:val="continue"/>
                  <w:noWrap w:val="0"/>
                  <w:vAlign w:val="center"/>
                </w:tcPr>
                <w:p>
                  <w:pPr>
                    <w:pStyle w:val="124"/>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6" w:hRule="atLeast"/>
              </w:trPr>
              <w:tc>
                <w:tcPr>
                  <w:tcW w:w="585" w:type="pct"/>
                  <w:vMerge w:val="continue"/>
                  <w:noWrap w:val="0"/>
                  <w:vAlign w:val="center"/>
                </w:tcPr>
                <w:p>
                  <w:pPr>
                    <w:pStyle w:val="124"/>
                    <w:rPr>
                      <w:rFonts w:hint="eastAsia"/>
                      <w:color w:val="auto"/>
                    </w:rPr>
                  </w:pPr>
                </w:p>
              </w:tc>
              <w:tc>
                <w:tcPr>
                  <w:tcW w:w="1771" w:type="pct"/>
                  <w:noWrap w:val="0"/>
                  <w:vAlign w:val="center"/>
                </w:tcPr>
                <w:p>
                  <w:pPr>
                    <w:pStyle w:val="124"/>
                    <w:ind w:firstLine="0" w:firstLineChars="0"/>
                    <w:rPr>
                      <w:rFonts w:hint="eastAsia" w:ascii="Times New Roman" w:hAnsi="Times New Roman" w:eastAsia="宋体"/>
                      <w:color w:val="auto"/>
                      <w:kern w:val="2"/>
                      <w:sz w:val="21"/>
                      <w:szCs w:val="24"/>
                      <w:lang w:val="en-US" w:eastAsia="zh-CN" w:bidi="ar-SA"/>
                    </w:rPr>
                  </w:pPr>
                  <w:r>
                    <w:rPr>
                      <w:rFonts w:hint="eastAsia"/>
                      <w:color w:val="auto"/>
                      <w:lang w:val="en-US" w:eastAsia="zh-CN"/>
                    </w:rPr>
                    <w:t>碱式碳酸铋片</w:t>
                  </w:r>
                </w:p>
              </w:tc>
              <w:tc>
                <w:tcPr>
                  <w:tcW w:w="672" w:type="pct"/>
                  <w:noWrap w:val="0"/>
                  <w:vAlign w:val="center"/>
                </w:tcPr>
                <w:p>
                  <w:pPr>
                    <w:pStyle w:val="124"/>
                    <w:rPr>
                      <w:rFonts w:hint="default" w:eastAsia="宋体"/>
                      <w:color w:val="auto"/>
                      <w:lang w:val="en-US" w:eastAsia="zh-CN"/>
                    </w:rPr>
                  </w:pPr>
                  <w:r>
                    <w:rPr>
                      <w:rFonts w:hint="eastAsia"/>
                      <w:color w:val="auto"/>
                      <w:lang w:val="en-US" w:eastAsia="zh-CN"/>
                    </w:rPr>
                    <w:t>460片</w:t>
                  </w:r>
                </w:p>
              </w:tc>
              <w:tc>
                <w:tcPr>
                  <w:tcW w:w="758" w:type="pct"/>
                  <w:noWrap w:val="0"/>
                  <w:vAlign w:val="center"/>
                </w:tcPr>
                <w:p>
                  <w:pPr>
                    <w:pStyle w:val="176"/>
                    <w:rPr>
                      <w:rFonts w:hint="default" w:eastAsia="宋体"/>
                      <w:color w:val="auto"/>
                      <w:lang w:val="en-US" w:eastAsia="zh-CN"/>
                    </w:rPr>
                  </w:pPr>
                  <w:r>
                    <w:rPr>
                      <w:rFonts w:hint="eastAsia"/>
                      <w:color w:val="auto"/>
                      <w:lang w:val="en-US" w:eastAsia="zh-CN"/>
                    </w:rPr>
                    <w:t>200片</w:t>
                  </w:r>
                </w:p>
              </w:tc>
              <w:tc>
                <w:tcPr>
                  <w:tcW w:w="1212" w:type="pct"/>
                  <w:vMerge w:val="continue"/>
                  <w:noWrap w:val="0"/>
                  <w:vAlign w:val="center"/>
                </w:tcPr>
                <w:p>
                  <w:pPr>
                    <w:pStyle w:val="124"/>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585" w:type="pct"/>
                  <w:vMerge w:val="continue"/>
                  <w:noWrap w:val="0"/>
                  <w:vAlign w:val="center"/>
                </w:tcPr>
                <w:p>
                  <w:pPr>
                    <w:pStyle w:val="124"/>
                    <w:rPr>
                      <w:rFonts w:hint="eastAsia"/>
                      <w:color w:val="auto"/>
                    </w:rPr>
                  </w:pPr>
                </w:p>
              </w:tc>
              <w:tc>
                <w:tcPr>
                  <w:tcW w:w="1771" w:type="pct"/>
                  <w:noWrap w:val="0"/>
                  <w:vAlign w:val="center"/>
                </w:tcPr>
                <w:p>
                  <w:pPr>
                    <w:pStyle w:val="124"/>
                    <w:ind w:firstLine="0" w:firstLineChars="0"/>
                    <w:rPr>
                      <w:rFonts w:ascii="Times New Roman" w:hAnsi="Times New Roman" w:eastAsia="宋体"/>
                      <w:color w:val="auto"/>
                      <w:kern w:val="2"/>
                      <w:sz w:val="21"/>
                      <w:szCs w:val="24"/>
                      <w:lang w:val="en-US" w:eastAsia="zh-CN" w:bidi="ar-SA"/>
                    </w:rPr>
                  </w:pPr>
                  <w:r>
                    <w:rPr>
                      <w:rFonts w:hint="eastAsia"/>
                      <w:color w:val="auto"/>
                    </w:rPr>
                    <w:t>0.9%氯化钠注射液</w:t>
                  </w:r>
                </w:p>
              </w:tc>
              <w:tc>
                <w:tcPr>
                  <w:tcW w:w="672" w:type="pct"/>
                  <w:noWrap w:val="0"/>
                  <w:vAlign w:val="center"/>
                </w:tcPr>
                <w:p>
                  <w:pPr>
                    <w:pStyle w:val="176"/>
                    <w:rPr>
                      <w:rFonts w:hint="eastAsia" w:cs="宋体"/>
                      <w:color w:val="auto"/>
                      <w:kern w:val="2"/>
                      <w:sz w:val="21"/>
                      <w:szCs w:val="21"/>
                      <w:lang w:val="en-US" w:eastAsia="zh-CN" w:bidi="ar-SA"/>
                    </w:rPr>
                  </w:pPr>
                  <w:r>
                    <w:rPr>
                      <w:rFonts w:hint="eastAsia"/>
                      <w:color w:val="auto"/>
                      <w:lang w:val="en-US" w:eastAsia="zh-CN"/>
                    </w:rPr>
                    <w:t>3</w:t>
                  </w:r>
                  <w:r>
                    <w:rPr>
                      <w:rFonts w:hint="eastAsia"/>
                      <w:color w:val="auto"/>
                    </w:rPr>
                    <w:t>箱</w:t>
                  </w:r>
                </w:p>
              </w:tc>
              <w:tc>
                <w:tcPr>
                  <w:tcW w:w="758" w:type="pct"/>
                  <w:noWrap w:val="0"/>
                  <w:vAlign w:val="center"/>
                </w:tcPr>
                <w:p>
                  <w:pPr>
                    <w:pStyle w:val="176"/>
                    <w:rPr>
                      <w:rFonts w:hint="eastAsia" w:eastAsia="宋体"/>
                      <w:color w:val="auto"/>
                      <w:lang w:val="en-US" w:eastAsia="zh-CN"/>
                    </w:rPr>
                  </w:pPr>
                  <w:r>
                    <w:rPr>
                      <w:rFonts w:hint="eastAsia"/>
                      <w:color w:val="auto"/>
                      <w:lang w:val="en-US" w:eastAsia="zh-CN"/>
                    </w:rPr>
                    <w:t>1箱</w:t>
                  </w:r>
                </w:p>
              </w:tc>
              <w:tc>
                <w:tcPr>
                  <w:tcW w:w="1212" w:type="pct"/>
                  <w:vMerge w:val="continue"/>
                  <w:noWrap w:val="0"/>
                  <w:vAlign w:val="center"/>
                </w:tcPr>
                <w:p>
                  <w:pPr>
                    <w:pStyle w:val="124"/>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585" w:type="pct"/>
                  <w:vMerge w:val="continue"/>
                  <w:noWrap w:val="0"/>
                  <w:vAlign w:val="center"/>
                </w:tcPr>
                <w:p>
                  <w:pPr>
                    <w:pStyle w:val="124"/>
                    <w:rPr>
                      <w:rFonts w:hint="eastAsia"/>
                      <w:color w:val="auto"/>
                    </w:rPr>
                  </w:pPr>
                </w:p>
              </w:tc>
              <w:tc>
                <w:tcPr>
                  <w:tcW w:w="1771" w:type="pct"/>
                  <w:noWrap w:val="0"/>
                  <w:vAlign w:val="center"/>
                </w:tcPr>
                <w:p>
                  <w:pPr>
                    <w:pStyle w:val="124"/>
                    <w:ind w:firstLine="0" w:firstLineChars="0"/>
                    <w:rPr>
                      <w:rFonts w:hint="eastAsia" w:ascii="Times New Roman" w:hAnsi="Times New Roman" w:eastAsia="宋体"/>
                      <w:color w:val="auto"/>
                      <w:kern w:val="2"/>
                      <w:sz w:val="21"/>
                      <w:szCs w:val="24"/>
                      <w:lang w:val="en-US" w:eastAsia="zh-CN" w:bidi="ar-SA"/>
                    </w:rPr>
                  </w:pPr>
                  <w:r>
                    <w:rPr>
                      <w:rFonts w:hint="eastAsia"/>
                      <w:color w:val="auto"/>
                    </w:rPr>
                    <w:t>5%葡萄糖注射液</w:t>
                  </w:r>
                </w:p>
              </w:tc>
              <w:tc>
                <w:tcPr>
                  <w:tcW w:w="672" w:type="pct"/>
                  <w:noWrap w:val="0"/>
                  <w:vAlign w:val="center"/>
                </w:tcPr>
                <w:p>
                  <w:pPr>
                    <w:pStyle w:val="176"/>
                    <w:rPr>
                      <w:rFonts w:hint="eastAsia" w:cs="宋体"/>
                      <w:color w:val="auto"/>
                      <w:kern w:val="2"/>
                      <w:sz w:val="21"/>
                      <w:szCs w:val="21"/>
                      <w:lang w:val="en-US" w:eastAsia="zh-CN" w:bidi="ar-SA"/>
                    </w:rPr>
                  </w:pPr>
                  <w:r>
                    <w:rPr>
                      <w:rFonts w:hint="eastAsia"/>
                      <w:color w:val="auto"/>
                      <w:lang w:val="en-US" w:eastAsia="zh-CN"/>
                    </w:rPr>
                    <w:t>4</w:t>
                  </w:r>
                  <w:r>
                    <w:rPr>
                      <w:rFonts w:hint="eastAsia"/>
                      <w:color w:val="auto"/>
                    </w:rPr>
                    <w:t>箱</w:t>
                  </w:r>
                </w:p>
              </w:tc>
              <w:tc>
                <w:tcPr>
                  <w:tcW w:w="758" w:type="pct"/>
                  <w:noWrap w:val="0"/>
                  <w:vAlign w:val="center"/>
                </w:tcPr>
                <w:p>
                  <w:pPr>
                    <w:pStyle w:val="176"/>
                    <w:rPr>
                      <w:rFonts w:hint="eastAsia" w:eastAsia="宋体"/>
                      <w:color w:val="auto"/>
                      <w:lang w:val="en-US" w:eastAsia="zh-CN"/>
                    </w:rPr>
                  </w:pPr>
                  <w:r>
                    <w:rPr>
                      <w:rFonts w:hint="eastAsia"/>
                      <w:color w:val="auto"/>
                      <w:lang w:val="en-US" w:eastAsia="zh-CN"/>
                    </w:rPr>
                    <w:t>1箱</w:t>
                  </w:r>
                </w:p>
              </w:tc>
              <w:tc>
                <w:tcPr>
                  <w:tcW w:w="1212" w:type="pct"/>
                  <w:vMerge w:val="continue"/>
                  <w:noWrap w:val="0"/>
                  <w:vAlign w:val="center"/>
                </w:tcPr>
                <w:p>
                  <w:pPr>
                    <w:pStyle w:val="124"/>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585" w:type="pct"/>
                  <w:vMerge w:val="continue"/>
                  <w:noWrap w:val="0"/>
                  <w:vAlign w:val="center"/>
                </w:tcPr>
                <w:p>
                  <w:pPr>
                    <w:pStyle w:val="124"/>
                    <w:rPr>
                      <w:rFonts w:hint="eastAsia"/>
                      <w:color w:val="auto"/>
                    </w:rPr>
                  </w:pPr>
                </w:p>
              </w:tc>
              <w:tc>
                <w:tcPr>
                  <w:tcW w:w="1771" w:type="pct"/>
                  <w:noWrap w:val="0"/>
                  <w:vAlign w:val="center"/>
                </w:tcPr>
                <w:p>
                  <w:pPr>
                    <w:pStyle w:val="124"/>
                    <w:rPr>
                      <w:rFonts w:hint="eastAsia"/>
                      <w:color w:val="auto"/>
                    </w:rPr>
                  </w:pPr>
                  <w:r>
                    <w:rPr>
                      <w:rFonts w:hint="eastAsia"/>
                      <w:color w:val="auto"/>
                    </w:rPr>
                    <w:t>二氧化氯泡腾片（溶解后释放的二氧化氯纯度≥98%）</w:t>
                  </w:r>
                </w:p>
              </w:tc>
              <w:tc>
                <w:tcPr>
                  <w:tcW w:w="672" w:type="pct"/>
                  <w:noWrap w:val="0"/>
                  <w:vAlign w:val="center"/>
                </w:tcPr>
                <w:p>
                  <w:pPr>
                    <w:pStyle w:val="124"/>
                    <w:rPr>
                      <w:color w:val="auto"/>
                    </w:rPr>
                  </w:pPr>
                  <w:r>
                    <w:rPr>
                      <w:rFonts w:hint="eastAsia"/>
                      <w:color w:val="auto"/>
                    </w:rPr>
                    <w:t>30</w:t>
                  </w:r>
                </w:p>
              </w:tc>
              <w:tc>
                <w:tcPr>
                  <w:tcW w:w="758" w:type="pct"/>
                  <w:noWrap w:val="0"/>
                  <w:vAlign w:val="center"/>
                </w:tcPr>
                <w:p>
                  <w:pPr>
                    <w:pStyle w:val="176"/>
                    <w:rPr>
                      <w:color w:val="auto"/>
                    </w:rPr>
                  </w:pPr>
                  <w:r>
                    <w:rPr>
                      <w:rFonts w:hint="eastAsia"/>
                      <w:color w:val="auto"/>
                    </w:rPr>
                    <w:t>瓶</w:t>
                  </w:r>
                </w:p>
              </w:tc>
              <w:tc>
                <w:tcPr>
                  <w:tcW w:w="1212" w:type="pct"/>
                  <w:vMerge w:val="restart"/>
                  <w:noWrap w:val="0"/>
                  <w:vAlign w:val="center"/>
                </w:tcPr>
                <w:p>
                  <w:pPr>
                    <w:pStyle w:val="124"/>
                    <w:rPr>
                      <w:rFonts w:hint="eastAsia" w:eastAsia="宋体"/>
                      <w:color w:val="auto"/>
                      <w:lang w:eastAsia="zh-CN"/>
                    </w:rPr>
                  </w:pPr>
                  <w:r>
                    <w:rPr>
                      <w:rFonts w:hint="eastAsia"/>
                      <w:color w:val="auto"/>
                      <w:lang w:eastAsia="zh-CN"/>
                    </w:rPr>
                    <w:t>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585" w:type="pct"/>
                  <w:vMerge w:val="continue"/>
                  <w:noWrap w:val="0"/>
                  <w:vAlign w:val="center"/>
                </w:tcPr>
                <w:p>
                  <w:pPr>
                    <w:pStyle w:val="124"/>
                    <w:rPr>
                      <w:rFonts w:hint="eastAsia"/>
                      <w:color w:val="auto"/>
                    </w:rPr>
                  </w:pPr>
                </w:p>
              </w:tc>
              <w:tc>
                <w:tcPr>
                  <w:tcW w:w="1771" w:type="pct"/>
                  <w:noWrap w:val="0"/>
                  <w:vAlign w:val="center"/>
                </w:tcPr>
                <w:p>
                  <w:pPr>
                    <w:pStyle w:val="124"/>
                    <w:rPr>
                      <w:rFonts w:hint="eastAsia"/>
                      <w:color w:val="auto"/>
                    </w:rPr>
                  </w:pPr>
                  <w:r>
                    <w:rPr>
                      <w:rFonts w:hint="eastAsia"/>
                      <w:color w:val="auto"/>
                    </w:rPr>
                    <w:t>月苄三甲氯铵溶液</w:t>
                  </w:r>
                </w:p>
              </w:tc>
              <w:tc>
                <w:tcPr>
                  <w:tcW w:w="672" w:type="pct"/>
                  <w:noWrap w:val="0"/>
                  <w:vAlign w:val="center"/>
                </w:tcPr>
                <w:p>
                  <w:pPr>
                    <w:pStyle w:val="124"/>
                    <w:rPr>
                      <w:color w:val="auto"/>
                    </w:rPr>
                  </w:pPr>
                  <w:r>
                    <w:rPr>
                      <w:rFonts w:hint="eastAsia"/>
                      <w:color w:val="auto"/>
                    </w:rPr>
                    <w:t>50</w:t>
                  </w:r>
                </w:p>
              </w:tc>
              <w:tc>
                <w:tcPr>
                  <w:tcW w:w="758" w:type="pct"/>
                  <w:noWrap w:val="0"/>
                  <w:vAlign w:val="center"/>
                </w:tcPr>
                <w:p>
                  <w:pPr>
                    <w:pStyle w:val="176"/>
                    <w:rPr>
                      <w:rFonts w:hint="eastAsia"/>
                      <w:color w:val="auto"/>
                    </w:rPr>
                  </w:pPr>
                  <w:r>
                    <w:rPr>
                      <w:rFonts w:hint="eastAsia"/>
                      <w:color w:val="auto"/>
                    </w:rPr>
                    <w:t>瓶</w:t>
                  </w:r>
                </w:p>
              </w:tc>
              <w:tc>
                <w:tcPr>
                  <w:tcW w:w="1212" w:type="pct"/>
                  <w:vMerge w:val="continue"/>
                  <w:noWrap w:val="0"/>
                  <w:vAlign w:val="center"/>
                </w:tcPr>
                <w:p>
                  <w:pPr>
                    <w:pStyle w:val="124"/>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restart"/>
                  <w:noWrap w:val="0"/>
                  <w:vAlign w:val="center"/>
                </w:tcPr>
                <w:p>
                  <w:pPr>
                    <w:pStyle w:val="124"/>
                    <w:rPr>
                      <w:rFonts w:hint="eastAsia"/>
                      <w:color w:val="auto"/>
                    </w:rPr>
                  </w:pPr>
                  <w:r>
                    <w:rPr>
                      <w:rFonts w:hint="eastAsia"/>
                      <w:color w:val="auto"/>
                    </w:rPr>
                    <w:t>能源</w:t>
                  </w:r>
                </w:p>
              </w:tc>
              <w:tc>
                <w:tcPr>
                  <w:tcW w:w="1771" w:type="pct"/>
                  <w:noWrap w:val="0"/>
                  <w:vAlign w:val="center"/>
                </w:tcPr>
                <w:p>
                  <w:pPr>
                    <w:pStyle w:val="124"/>
                    <w:rPr>
                      <w:rFonts w:hint="eastAsia"/>
                      <w:color w:val="auto"/>
                    </w:rPr>
                  </w:pPr>
                  <w:r>
                    <w:rPr>
                      <w:rFonts w:hint="eastAsia"/>
                      <w:color w:val="auto"/>
                    </w:rPr>
                    <w:t>水</w:t>
                  </w:r>
                </w:p>
              </w:tc>
              <w:tc>
                <w:tcPr>
                  <w:tcW w:w="672" w:type="pct"/>
                  <w:noWrap w:val="0"/>
                  <w:vAlign w:val="center"/>
                </w:tcPr>
                <w:p>
                  <w:pPr>
                    <w:pStyle w:val="124"/>
                    <w:rPr>
                      <w:color w:val="auto"/>
                    </w:rPr>
                  </w:pPr>
                  <w:r>
                    <w:rPr>
                      <w:rFonts w:hint="eastAsia"/>
                      <w:color w:val="auto"/>
                    </w:rPr>
                    <w:t>569.4</w:t>
                  </w:r>
                </w:p>
              </w:tc>
              <w:tc>
                <w:tcPr>
                  <w:tcW w:w="758" w:type="pct"/>
                  <w:noWrap w:val="0"/>
                  <w:vAlign w:val="center"/>
                </w:tcPr>
                <w:p>
                  <w:pPr>
                    <w:pStyle w:val="124"/>
                    <w:rPr>
                      <w:color w:val="auto"/>
                    </w:rPr>
                  </w:pPr>
                  <w:r>
                    <w:rPr>
                      <w:rFonts w:hint="eastAsia"/>
                      <w:color w:val="auto"/>
                    </w:rPr>
                    <w:t>m</w:t>
                  </w:r>
                  <w:r>
                    <w:rPr>
                      <w:rFonts w:hint="eastAsia"/>
                      <w:color w:val="auto"/>
                      <w:vertAlign w:val="superscript"/>
                    </w:rPr>
                    <w:t>3</w:t>
                  </w:r>
                  <w:r>
                    <w:rPr>
                      <w:rFonts w:hint="eastAsia"/>
                      <w:color w:val="auto"/>
                    </w:rPr>
                    <w:t>/a</w:t>
                  </w:r>
                </w:p>
              </w:tc>
              <w:tc>
                <w:tcPr>
                  <w:tcW w:w="1212" w:type="pct"/>
                  <w:noWrap w:val="0"/>
                  <w:vAlign w:val="center"/>
                </w:tcPr>
                <w:p>
                  <w:pPr>
                    <w:pStyle w:val="124"/>
                    <w:rPr>
                      <w:rFonts w:hint="eastAsia" w:eastAsia="宋体"/>
                      <w:color w:val="auto"/>
                      <w:lang w:eastAsia="zh-CN"/>
                    </w:rPr>
                  </w:pPr>
                  <w:r>
                    <w:rPr>
                      <w:rFonts w:hint="eastAsia"/>
                      <w:color w:val="auto"/>
                      <w:lang w:eastAsia="zh-CN"/>
                    </w:rPr>
                    <w:t>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noWrap w:val="0"/>
                  <w:vAlign w:val="center"/>
                </w:tcPr>
                <w:p>
                  <w:pPr>
                    <w:pStyle w:val="124"/>
                    <w:rPr>
                      <w:rFonts w:hint="eastAsia"/>
                      <w:color w:val="auto"/>
                    </w:rPr>
                  </w:pPr>
                </w:p>
              </w:tc>
              <w:tc>
                <w:tcPr>
                  <w:tcW w:w="1771" w:type="pct"/>
                  <w:noWrap w:val="0"/>
                  <w:vAlign w:val="center"/>
                </w:tcPr>
                <w:p>
                  <w:pPr>
                    <w:pStyle w:val="124"/>
                    <w:rPr>
                      <w:rFonts w:hint="eastAsia"/>
                      <w:color w:val="auto"/>
                    </w:rPr>
                  </w:pPr>
                  <w:r>
                    <w:rPr>
                      <w:rFonts w:hint="eastAsia"/>
                      <w:color w:val="auto"/>
                    </w:rPr>
                    <w:t>电</w:t>
                  </w:r>
                </w:p>
              </w:tc>
              <w:tc>
                <w:tcPr>
                  <w:tcW w:w="672" w:type="pct"/>
                  <w:noWrap w:val="0"/>
                  <w:vAlign w:val="center"/>
                </w:tcPr>
                <w:p>
                  <w:pPr>
                    <w:pStyle w:val="124"/>
                    <w:rPr>
                      <w:rFonts w:hint="eastAsia"/>
                      <w:color w:val="auto"/>
                    </w:rPr>
                  </w:pPr>
                  <w:r>
                    <w:rPr>
                      <w:rFonts w:hint="eastAsia"/>
                      <w:color w:val="auto"/>
                    </w:rPr>
                    <w:t>4000</w:t>
                  </w:r>
                </w:p>
              </w:tc>
              <w:tc>
                <w:tcPr>
                  <w:tcW w:w="758" w:type="pct"/>
                  <w:noWrap w:val="0"/>
                  <w:vAlign w:val="center"/>
                </w:tcPr>
                <w:p>
                  <w:pPr>
                    <w:pStyle w:val="124"/>
                    <w:rPr>
                      <w:color w:val="auto"/>
                    </w:rPr>
                  </w:pPr>
                  <w:r>
                    <w:rPr>
                      <w:rFonts w:hint="eastAsia"/>
                      <w:color w:val="auto"/>
                    </w:rPr>
                    <w:t>kw·h/a</w:t>
                  </w:r>
                </w:p>
              </w:tc>
              <w:tc>
                <w:tcPr>
                  <w:tcW w:w="1212" w:type="pct"/>
                  <w:noWrap w:val="0"/>
                  <w:vAlign w:val="center"/>
                </w:tcPr>
                <w:p>
                  <w:pPr>
                    <w:pStyle w:val="124"/>
                    <w:rPr>
                      <w:rFonts w:hint="eastAsia" w:eastAsia="宋体"/>
                      <w:color w:val="auto"/>
                      <w:lang w:eastAsia="zh-CN"/>
                    </w:rPr>
                  </w:pPr>
                  <w:r>
                    <w:rPr>
                      <w:rFonts w:hint="eastAsia"/>
                      <w:color w:val="auto"/>
                      <w:lang w:eastAsia="zh-CN"/>
                    </w:rPr>
                    <w:t>当地电网</w:t>
                  </w:r>
                </w:p>
              </w:tc>
            </w:tr>
          </w:tbl>
          <w:p>
            <w:pPr>
              <w:pStyle w:val="5"/>
              <w:spacing w:after="120"/>
              <w:rPr>
                <w:color w:val="auto"/>
              </w:rPr>
            </w:pPr>
            <w:r>
              <w:rPr>
                <w:rFonts w:hint="eastAsia"/>
                <w:color w:val="auto"/>
                <w:lang w:val="en-US" w:eastAsia="zh-CN"/>
              </w:rPr>
              <w:t>6</w:t>
            </w:r>
            <w:r>
              <w:rPr>
                <w:color w:val="auto"/>
              </w:rPr>
              <w:t>、主要设施规格、数量</w:t>
            </w:r>
          </w:p>
          <w:p>
            <w:pPr>
              <w:pStyle w:val="108"/>
              <w:spacing w:line="360" w:lineRule="auto"/>
              <w:ind w:firstLine="480"/>
              <w:rPr>
                <w:color w:val="auto"/>
              </w:rPr>
            </w:pPr>
            <w:r>
              <w:rPr>
                <w:color w:val="auto"/>
              </w:rPr>
              <w:t>本项目运营期主要医疗设备如下表：</w:t>
            </w:r>
          </w:p>
          <w:p>
            <w:pPr>
              <w:pStyle w:val="109"/>
              <w:ind w:left="422" w:hanging="422"/>
              <w:rPr>
                <w:color w:val="auto"/>
              </w:rPr>
            </w:pPr>
            <w:r>
              <w:rPr>
                <w:color w:val="auto"/>
              </w:rPr>
              <w:t>表</w:t>
            </w:r>
            <w:r>
              <w:rPr>
                <w:rFonts w:hint="eastAsia"/>
                <w:color w:val="auto"/>
              </w:rPr>
              <w:t>2</w:t>
            </w:r>
            <w:r>
              <w:rPr>
                <w:color w:val="auto"/>
              </w:rPr>
              <w:t>-</w:t>
            </w:r>
            <w:r>
              <w:rPr>
                <w:rFonts w:hint="eastAsia"/>
                <w:color w:val="auto"/>
              </w:rPr>
              <w:t>3</w:t>
            </w:r>
            <w:r>
              <w:rPr>
                <w:color w:val="auto"/>
              </w:rPr>
              <w:t xml:space="preserve"> 主要医疗设备配置表</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1431"/>
              <w:gridCol w:w="3210"/>
              <w:gridCol w:w="900"/>
              <w:gridCol w:w="2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5" w:hRule="atLeast"/>
                <w:jc w:val="center"/>
              </w:trPr>
              <w:tc>
                <w:tcPr>
                  <w:tcW w:w="340" w:type="pct"/>
                  <w:noWrap w:val="0"/>
                  <w:vAlign w:val="center"/>
                </w:tcPr>
                <w:p>
                  <w:pPr>
                    <w:pStyle w:val="176"/>
                    <w:rPr>
                      <w:b w:val="0"/>
                      <w:bCs w:val="0"/>
                      <w:color w:val="auto"/>
                    </w:rPr>
                  </w:pPr>
                  <w:r>
                    <w:rPr>
                      <w:b w:val="0"/>
                      <w:bCs w:val="0"/>
                      <w:color w:val="auto"/>
                    </w:rPr>
                    <w:t>序号</w:t>
                  </w:r>
                </w:p>
              </w:tc>
              <w:tc>
                <w:tcPr>
                  <w:tcW w:w="852" w:type="pct"/>
                  <w:noWrap w:val="0"/>
                  <w:vAlign w:val="center"/>
                </w:tcPr>
                <w:p>
                  <w:pPr>
                    <w:pStyle w:val="176"/>
                    <w:rPr>
                      <w:rFonts w:hint="eastAsia"/>
                      <w:b w:val="0"/>
                      <w:bCs w:val="0"/>
                      <w:color w:val="auto"/>
                    </w:rPr>
                  </w:pPr>
                  <w:r>
                    <w:rPr>
                      <w:rFonts w:hint="eastAsia"/>
                      <w:b w:val="0"/>
                      <w:bCs w:val="0"/>
                      <w:color w:val="auto"/>
                    </w:rPr>
                    <w:t>所在科室</w:t>
                  </w:r>
                </w:p>
              </w:tc>
              <w:tc>
                <w:tcPr>
                  <w:tcW w:w="1911" w:type="pct"/>
                  <w:noWrap w:val="0"/>
                  <w:vAlign w:val="center"/>
                </w:tcPr>
                <w:p>
                  <w:pPr>
                    <w:pStyle w:val="176"/>
                    <w:rPr>
                      <w:b w:val="0"/>
                      <w:bCs w:val="0"/>
                      <w:color w:val="auto"/>
                    </w:rPr>
                  </w:pPr>
                  <w:r>
                    <w:rPr>
                      <w:b w:val="0"/>
                      <w:bCs w:val="0"/>
                      <w:color w:val="auto"/>
                    </w:rPr>
                    <w:t>设备名称</w:t>
                  </w:r>
                </w:p>
              </w:tc>
              <w:tc>
                <w:tcPr>
                  <w:tcW w:w="536" w:type="pct"/>
                  <w:noWrap w:val="0"/>
                  <w:vAlign w:val="center"/>
                </w:tcPr>
                <w:p>
                  <w:pPr>
                    <w:pStyle w:val="176"/>
                    <w:rPr>
                      <w:b w:val="0"/>
                      <w:bCs w:val="0"/>
                      <w:color w:val="auto"/>
                    </w:rPr>
                  </w:pPr>
                  <w:r>
                    <w:rPr>
                      <w:b w:val="0"/>
                      <w:bCs w:val="0"/>
                      <w:color w:val="auto"/>
                    </w:rPr>
                    <w:t>数量</w:t>
                  </w:r>
                </w:p>
              </w:tc>
              <w:tc>
                <w:tcPr>
                  <w:tcW w:w="1359" w:type="pct"/>
                  <w:noWrap w:val="0"/>
                  <w:vAlign w:val="center"/>
                </w:tcPr>
                <w:p>
                  <w:pPr>
                    <w:pStyle w:val="176"/>
                    <w:rPr>
                      <w:rFonts w:hint="eastAsia"/>
                      <w:b w:val="0"/>
                      <w:bCs w:val="0"/>
                      <w:color w:val="auto"/>
                    </w:rPr>
                  </w:pPr>
                  <w:r>
                    <w:rPr>
                      <w:rFonts w:hint="eastAsia"/>
                      <w:b w:val="0"/>
                      <w:bCs w:val="0"/>
                      <w:color w:val="auto"/>
                    </w:rPr>
                    <w:t>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340" w:type="pct"/>
                  <w:noWrap w:val="0"/>
                  <w:vAlign w:val="center"/>
                </w:tcPr>
                <w:p>
                  <w:pPr>
                    <w:pStyle w:val="176"/>
                    <w:rPr>
                      <w:rFonts w:hint="eastAsia"/>
                      <w:color w:val="auto"/>
                    </w:rPr>
                  </w:pPr>
                </w:p>
              </w:tc>
              <w:tc>
                <w:tcPr>
                  <w:tcW w:w="852" w:type="pct"/>
                  <w:vMerge w:val="restart"/>
                  <w:noWrap w:val="0"/>
                  <w:vAlign w:val="center"/>
                </w:tcPr>
                <w:p>
                  <w:pPr>
                    <w:pStyle w:val="176"/>
                    <w:rPr>
                      <w:rFonts w:hint="eastAsia" w:eastAsia="宋体"/>
                      <w:color w:val="auto"/>
                      <w:lang w:eastAsia="zh-CN"/>
                    </w:rPr>
                  </w:pPr>
                  <w:r>
                    <w:rPr>
                      <w:rFonts w:hint="eastAsia"/>
                      <w:color w:val="auto"/>
                      <w:lang w:eastAsia="zh-CN"/>
                    </w:rPr>
                    <w:t>化验室</w:t>
                  </w:r>
                </w:p>
              </w:tc>
              <w:tc>
                <w:tcPr>
                  <w:tcW w:w="1911" w:type="pct"/>
                  <w:noWrap w:val="0"/>
                  <w:vAlign w:val="center"/>
                </w:tcPr>
                <w:p>
                  <w:pPr>
                    <w:pStyle w:val="176"/>
                    <w:rPr>
                      <w:rFonts w:hint="eastAsia" w:eastAsia="宋体"/>
                      <w:color w:val="auto"/>
                      <w:lang w:eastAsia="zh-CN"/>
                    </w:rPr>
                  </w:pPr>
                  <w:r>
                    <w:rPr>
                      <w:rFonts w:hint="eastAsia"/>
                      <w:color w:val="auto"/>
                      <w:lang w:eastAsia="zh-CN"/>
                    </w:rPr>
                    <w:t>斯马特全自动生化分析仪</w:t>
                  </w:r>
                </w:p>
              </w:tc>
              <w:tc>
                <w:tcPr>
                  <w:tcW w:w="536" w:type="pct"/>
                  <w:noWrap w:val="0"/>
                  <w:vAlign w:val="center"/>
                </w:tcPr>
                <w:p>
                  <w:pPr>
                    <w:pStyle w:val="176"/>
                    <w:rPr>
                      <w:rFonts w:hint="eastAsia" w:eastAsia="宋体"/>
                      <w:color w:val="auto"/>
                      <w:lang w:val="en-US" w:eastAsia="zh-CN"/>
                    </w:rPr>
                  </w:pPr>
                  <w:r>
                    <w:rPr>
                      <w:rFonts w:hint="eastAsia"/>
                      <w:color w:val="auto"/>
                      <w:lang w:val="en-US" w:eastAsia="zh-CN"/>
                    </w:rPr>
                    <w:t>1</w:t>
                  </w:r>
                </w:p>
              </w:tc>
              <w:tc>
                <w:tcPr>
                  <w:tcW w:w="1359" w:type="pct"/>
                  <w:noWrap w:val="0"/>
                  <w:vAlign w:val="center"/>
                </w:tcPr>
                <w:p>
                  <w:pPr>
                    <w:pStyle w:val="176"/>
                    <w:rPr>
                      <w:rFonts w:hint="default" w:eastAsia="宋体"/>
                      <w:color w:val="auto"/>
                      <w:lang w:val="en-US" w:eastAsia="zh-CN"/>
                    </w:rPr>
                  </w:pPr>
                  <w:r>
                    <w:rPr>
                      <w:rFonts w:hint="eastAsia"/>
                      <w:color w:val="auto"/>
                      <w:lang w:val="en-US" w:eastAsia="zh-CN"/>
                    </w:rPr>
                    <w:t>SMT-120V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340" w:type="pct"/>
                  <w:noWrap w:val="0"/>
                  <w:vAlign w:val="center"/>
                </w:tcPr>
                <w:p>
                  <w:pPr>
                    <w:pStyle w:val="176"/>
                    <w:rPr>
                      <w:rFonts w:hint="eastAsia"/>
                      <w:color w:val="auto"/>
                    </w:rPr>
                  </w:pPr>
                </w:p>
              </w:tc>
              <w:tc>
                <w:tcPr>
                  <w:tcW w:w="852" w:type="pct"/>
                  <w:vMerge w:val="continue"/>
                  <w:noWrap w:val="0"/>
                  <w:vAlign w:val="center"/>
                </w:tcPr>
                <w:p>
                  <w:pPr>
                    <w:pStyle w:val="176"/>
                    <w:rPr>
                      <w:color w:val="auto"/>
                    </w:rPr>
                  </w:pPr>
                </w:p>
              </w:tc>
              <w:tc>
                <w:tcPr>
                  <w:tcW w:w="1911" w:type="pct"/>
                  <w:noWrap w:val="0"/>
                  <w:vAlign w:val="center"/>
                </w:tcPr>
                <w:p>
                  <w:pPr>
                    <w:pStyle w:val="176"/>
                    <w:rPr>
                      <w:rFonts w:hint="default" w:eastAsia="宋体"/>
                      <w:color w:val="auto"/>
                      <w:lang w:val="en-US" w:eastAsia="zh-CN"/>
                    </w:rPr>
                  </w:pPr>
                  <w:r>
                    <w:rPr>
                      <w:rFonts w:hint="eastAsia"/>
                      <w:color w:val="auto"/>
                      <w:lang w:val="en-US" w:eastAsia="zh-CN"/>
                    </w:rPr>
                    <w:t>Vs2动物用生化和电解质分析仪</w:t>
                  </w:r>
                </w:p>
              </w:tc>
              <w:tc>
                <w:tcPr>
                  <w:tcW w:w="536" w:type="pct"/>
                  <w:noWrap w:val="0"/>
                  <w:vAlign w:val="center"/>
                </w:tcPr>
                <w:p>
                  <w:pPr>
                    <w:pStyle w:val="111"/>
                    <w:bidi w:val="0"/>
                    <w:rPr>
                      <w:rFonts w:hint="eastAsia"/>
                    </w:rPr>
                  </w:pPr>
                  <w:r>
                    <w:rPr>
                      <w:rFonts w:hint="eastAsia"/>
                      <w:lang w:val="en-US" w:eastAsia="zh-CN"/>
                    </w:rPr>
                    <w:t>1</w:t>
                  </w:r>
                </w:p>
              </w:tc>
              <w:tc>
                <w:tcPr>
                  <w:tcW w:w="1359" w:type="pct"/>
                  <w:noWrap w:val="0"/>
                  <w:vAlign w:val="center"/>
                </w:tcPr>
                <w:p>
                  <w:pPr>
                    <w:pStyle w:val="176"/>
                    <w:rPr>
                      <w:rFonts w:hint="default" w:eastAsia="宋体"/>
                      <w:color w:val="auto"/>
                      <w:lang w:val="en-US" w:eastAsia="zh-CN"/>
                    </w:rPr>
                  </w:pPr>
                  <w:r>
                    <w:rPr>
                      <w:rFonts w:hint="eastAsia"/>
                      <w:color w:val="auto"/>
                      <w:lang w:val="en-US" w:eastAsia="zh-CN"/>
                    </w:rPr>
                    <w:t>VetScan Vs2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340" w:type="pct"/>
                  <w:noWrap w:val="0"/>
                  <w:vAlign w:val="center"/>
                </w:tcPr>
                <w:p>
                  <w:pPr>
                    <w:pStyle w:val="176"/>
                    <w:rPr>
                      <w:rFonts w:hint="eastAsia"/>
                      <w:color w:val="auto"/>
                    </w:rPr>
                  </w:pPr>
                </w:p>
              </w:tc>
              <w:tc>
                <w:tcPr>
                  <w:tcW w:w="852" w:type="pct"/>
                  <w:vMerge w:val="continue"/>
                  <w:noWrap w:val="0"/>
                  <w:vAlign w:val="center"/>
                </w:tcPr>
                <w:p>
                  <w:pPr>
                    <w:pStyle w:val="176"/>
                    <w:rPr>
                      <w:color w:val="auto"/>
                    </w:rPr>
                  </w:pPr>
                </w:p>
              </w:tc>
              <w:tc>
                <w:tcPr>
                  <w:tcW w:w="1911" w:type="pct"/>
                  <w:noWrap w:val="0"/>
                  <w:vAlign w:val="center"/>
                </w:tcPr>
                <w:p>
                  <w:pPr>
                    <w:pStyle w:val="176"/>
                    <w:rPr>
                      <w:rFonts w:hint="eastAsia" w:eastAsia="宋体"/>
                      <w:color w:val="auto"/>
                      <w:lang w:eastAsia="zh-CN"/>
                    </w:rPr>
                  </w:pPr>
                  <w:r>
                    <w:rPr>
                      <w:rFonts w:hint="eastAsia"/>
                      <w:color w:val="auto"/>
                      <w:lang w:eastAsia="zh-CN"/>
                    </w:rPr>
                    <w:t>刚竹核酸提取仪</w:t>
                  </w:r>
                </w:p>
              </w:tc>
              <w:tc>
                <w:tcPr>
                  <w:tcW w:w="536" w:type="pct"/>
                  <w:noWrap w:val="0"/>
                  <w:vAlign w:val="center"/>
                </w:tcPr>
                <w:p>
                  <w:pPr>
                    <w:pStyle w:val="111"/>
                    <w:bidi w:val="0"/>
                    <w:rPr>
                      <w:rFonts w:hint="eastAsia"/>
                    </w:rPr>
                  </w:pPr>
                  <w:r>
                    <w:rPr>
                      <w:rFonts w:hint="eastAsia"/>
                      <w:lang w:val="en-US" w:eastAsia="zh-CN"/>
                    </w:rPr>
                    <w:t>1</w:t>
                  </w:r>
                </w:p>
              </w:tc>
              <w:tc>
                <w:tcPr>
                  <w:tcW w:w="1359" w:type="pct"/>
                  <w:noWrap w:val="0"/>
                  <w:vAlign w:val="center"/>
                </w:tcPr>
                <w:p>
                  <w:pPr>
                    <w:pStyle w:val="176"/>
                    <w:rPr>
                      <w:rFonts w:hint="default" w:eastAsia="宋体"/>
                      <w:color w:val="auto"/>
                      <w:lang w:val="en-US" w:eastAsia="zh-CN"/>
                    </w:rPr>
                  </w:pPr>
                  <w:r>
                    <w:rPr>
                      <w:rFonts w:hint="eastAsia"/>
                      <w:color w:val="auto"/>
                      <w:lang w:val="en-US" w:eastAsia="zh-CN"/>
                    </w:rPr>
                    <w:t>G2-NP2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3" w:hRule="atLeast"/>
                <w:jc w:val="center"/>
              </w:trPr>
              <w:tc>
                <w:tcPr>
                  <w:tcW w:w="340" w:type="pct"/>
                  <w:noWrap w:val="0"/>
                  <w:vAlign w:val="center"/>
                </w:tcPr>
                <w:p>
                  <w:pPr>
                    <w:pStyle w:val="176"/>
                    <w:rPr>
                      <w:rFonts w:hint="eastAsia"/>
                      <w:color w:val="auto"/>
                    </w:rPr>
                  </w:pPr>
                </w:p>
              </w:tc>
              <w:tc>
                <w:tcPr>
                  <w:tcW w:w="852" w:type="pct"/>
                  <w:vMerge w:val="continue"/>
                  <w:noWrap w:val="0"/>
                  <w:vAlign w:val="center"/>
                </w:tcPr>
                <w:p>
                  <w:pPr>
                    <w:pStyle w:val="176"/>
                    <w:rPr>
                      <w:color w:val="auto"/>
                    </w:rPr>
                  </w:pPr>
                </w:p>
              </w:tc>
              <w:tc>
                <w:tcPr>
                  <w:tcW w:w="1911" w:type="pct"/>
                  <w:noWrap w:val="0"/>
                  <w:vAlign w:val="center"/>
                </w:tcPr>
                <w:p>
                  <w:pPr>
                    <w:pStyle w:val="176"/>
                    <w:rPr>
                      <w:rFonts w:hint="default" w:eastAsia="宋体"/>
                      <w:color w:val="auto"/>
                      <w:lang w:val="en-US" w:eastAsia="zh-CN"/>
                    </w:rPr>
                  </w:pPr>
                  <w:r>
                    <w:rPr>
                      <w:rFonts w:hint="eastAsia"/>
                      <w:color w:val="auto"/>
                      <w:lang w:eastAsia="zh-CN"/>
                    </w:rPr>
                    <w:t>刚竹便捷式实时定量</w:t>
                  </w:r>
                  <w:r>
                    <w:rPr>
                      <w:rFonts w:hint="eastAsia"/>
                      <w:color w:val="auto"/>
                      <w:lang w:val="en-US" w:eastAsia="zh-CN"/>
                    </w:rPr>
                    <w:t>PCR仪</w:t>
                  </w:r>
                </w:p>
              </w:tc>
              <w:tc>
                <w:tcPr>
                  <w:tcW w:w="536" w:type="pct"/>
                  <w:noWrap w:val="0"/>
                  <w:vAlign w:val="center"/>
                </w:tcPr>
                <w:p>
                  <w:pPr>
                    <w:pStyle w:val="111"/>
                    <w:bidi w:val="0"/>
                    <w:rPr>
                      <w:rFonts w:hint="eastAsia"/>
                    </w:rPr>
                  </w:pPr>
                  <w:r>
                    <w:rPr>
                      <w:rFonts w:hint="eastAsia"/>
                      <w:lang w:val="en-US" w:eastAsia="zh-CN"/>
                    </w:rPr>
                    <w:t>1</w:t>
                  </w:r>
                </w:p>
              </w:tc>
              <w:tc>
                <w:tcPr>
                  <w:tcW w:w="1359" w:type="pct"/>
                  <w:noWrap w:val="0"/>
                  <w:vAlign w:val="center"/>
                </w:tcPr>
                <w:p>
                  <w:pPr>
                    <w:pStyle w:val="176"/>
                    <w:rPr>
                      <w:rFonts w:hint="default"/>
                      <w:color w:val="auto"/>
                      <w:lang w:val="en-US"/>
                    </w:rPr>
                  </w:pPr>
                  <w:r>
                    <w:rPr>
                      <w:rFonts w:hint="eastAsia"/>
                      <w:color w:val="auto"/>
                      <w:lang w:val="en-US" w:eastAsia="zh-CN"/>
                    </w:rPr>
                    <w:t>G2-8Plus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40" w:type="pct"/>
                  <w:noWrap w:val="0"/>
                  <w:vAlign w:val="center"/>
                </w:tcPr>
                <w:p>
                  <w:pPr>
                    <w:pStyle w:val="176"/>
                    <w:rPr>
                      <w:rFonts w:hint="eastAsia"/>
                      <w:color w:val="auto"/>
                    </w:rPr>
                  </w:pPr>
                </w:p>
              </w:tc>
              <w:tc>
                <w:tcPr>
                  <w:tcW w:w="852" w:type="pct"/>
                  <w:vMerge w:val="continue"/>
                  <w:noWrap w:val="0"/>
                  <w:vAlign w:val="center"/>
                </w:tcPr>
                <w:p>
                  <w:pPr>
                    <w:pStyle w:val="176"/>
                    <w:rPr>
                      <w:color w:val="auto"/>
                    </w:rPr>
                  </w:pPr>
                </w:p>
              </w:tc>
              <w:tc>
                <w:tcPr>
                  <w:tcW w:w="1911" w:type="pct"/>
                  <w:noWrap w:val="0"/>
                  <w:vAlign w:val="center"/>
                </w:tcPr>
                <w:p>
                  <w:pPr>
                    <w:pStyle w:val="176"/>
                    <w:rPr>
                      <w:rFonts w:hint="default" w:eastAsia="宋体"/>
                      <w:color w:val="auto"/>
                      <w:lang w:val="en-US" w:eastAsia="zh-CN"/>
                    </w:rPr>
                  </w:pPr>
                  <w:r>
                    <w:rPr>
                      <w:rFonts w:hint="eastAsia"/>
                      <w:color w:val="auto"/>
                      <w:lang w:eastAsia="zh-CN"/>
                    </w:rPr>
                    <w:t>卡尤迪实时荧光定量</w:t>
                  </w:r>
                  <w:r>
                    <w:rPr>
                      <w:rFonts w:hint="eastAsia"/>
                      <w:color w:val="auto"/>
                      <w:lang w:val="en-US" w:eastAsia="zh-CN"/>
                    </w:rPr>
                    <w:t>PCR仪</w:t>
                  </w:r>
                </w:p>
              </w:tc>
              <w:tc>
                <w:tcPr>
                  <w:tcW w:w="536" w:type="pct"/>
                  <w:noWrap w:val="0"/>
                  <w:vAlign w:val="center"/>
                </w:tcPr>
                <w:p>
                  <w:pPr>
                    <w:pStyle w:val="111"/>
                    <w:bidi w:val="0"/>
                    <w:rPr>
                      <w:rFonts w:hint="eastAsia"/>
                    </w:rPr>
                  </w:pPr>
                  <w:r>
                    <w:rPr>
                      <w:rFonts w:hint="eastAsia"/>
                      <w:lang w:val="en-US" w:eastAsia="zh-CN"/>
                    </w:rPr>
                    <w:t>1</w:t>
                  </w:r>
                </w:p>
              </w:tc>
              <w:tc>
                <w:tcPr>
                  <w:tcW w:w="1359" w:type="pct"/>
                  <w:noWrap w:val="0"/>
                  <w:vAlign w:val="center"/>
                </w:tcPr>
                <w:p>
                  <w:pPr>
                    <w:pStyle w:val="176"/>
                    <w:rPr>
                      <w:rFonts w:hint="default" w:eastAsia="宋体"/>
                      <w:color w:val="auto"/>
                      <w:lang w:val="en-US" w:eastAsia="zh-CN"/>
                    </w:rPr>
                  </w:pPr>
                  <w:r>
                    <w:rPr>
                      <w:rFonts w:hint="eastAsia"/>
                      <w:color w:val="auto"/>
                      <w:lang w:val="en-US" w:eastAsia="zh-CN"/>
                    </w:rPr>
                    <w:t>MiNi8 Cube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40" w:type="pct"/>
                  <w:noWrap w:val="0"/>
                  <w:vAlign w:val="center"/>
                </w:tcPr>
                <w:p>
                  <w:pPr>
                    <w:pStyle w:val="176"/>
                    <w:rPr>
                      <w:rFonts w:hint="eastAsia"/>
                      <w:color w:val="auto"/>
                    </w:rPr>
                  </w:pPr>
                </w:p>
              </w:tc>
              <w:tc>
                <w:tcPr>
                  <w:tcW w:w="852" w:type="pct"/>
                  <w:vMerge w:val="continue"/>
                  <w:noWrap w:val="0"/>
                  <w:vAlign w:val="center"/>
                </w:tcPr>
                <w:p>
                  <w:pPr>
                    <w:pStyle w:val="176"/>
                    <w:rPr>
                      <w:color w:val="auto"/>
                    </w:rPr>
                  </w:pPr>
                </w:p>
              </w:tc>
              <w:tc>
                <w:tcPr>
                  <w:tcW w:w="1911" w:type="pct"/>
                  <w:noWrap w:val="0"/>
                  <w:vAlign w:val="center"/>
                </w:tcPr>
                <w:p>
                  <w:pPr>
                    <w:pStyle w:val="176"/>
                    <w:rPr>
                      <w:rFonts w:hint="default" w:eastAsia="宋体"/>
                      <w:color w:val="auto"/>
                      <w:lang w:val="en-US" w:eastAsia="zh-CN"/>
                    </w:rPr>
                  </w:pPr>
                  <w:r>
                    <w:rPr>
                      <w:rFonts w:hint="eastAsia"/>
                      <w:color w:val="auto"/>
                      <w:lang w:val="en-US" w:eastAsia="zh-CN"/>
                    </w:rPr>
                    <w:t>Healvet干式荧光免疫分析仪</w:t>
                  </w:r>
                </w:p>
              </w:tc>
              <w:tc>
                <w:tcPr>
                  <w:tcW w:w="536" w:type="pct"/>
                  <w:noWrap w:val="0"/>
                  <w:vAlign w:val="center"/>
                </w:tcPr>
                <w:p>
                  <w:pPr>
                    <w:pStyle w:val="111"/>
                    <w:bidi w:val="0"/>
                    <w:rPr>
                      <w:rFonts w:hint="eastAsia"/>
                    </w:rPr>
                  </w:pPr>
                  <w:r>
                    <w:rPr>
                      <w:rFonts w:hint="eastAsia"/>
                      <w:lang w:val="en-US" w:eastAsia="zh-CN"/>
                    </w:rPr>
                    <w:t>1</w:t>
                  </w:r>
                </w:p>
              </w:tc>
              <w:tc>
                <w:tcPr>
                  <w:tcW w:w="1359" w:type="pct"/>
                  <w:noWrap w:val="0"/>
                  <w:vAlign w:val="center"/>
                </w:tcPr>
                <w:p>
                  <w:pPr>
                    <w:pStyle w:val="176"/>
                    <w:rPr>
                      <w:rFonts w:hint="default" w:eastAsia="宋体"/>
                      <w:color w:val="auto"/>
                      <w:lang w:val="en-US" w:eastAsia="zh-CN"/>
                    </w:rPr>
                  </w:pPr>
                  <w:r>
                    <w:rPr>
                      <w:rFonts w:hint="eastAsia"/>
                      <w:color w:val="auto"/>
                      <w:lang w:val="en-US" w:eastAsia="zh-CN"/>
                    </w:rPr>
                    <w:t>HV-Fia3000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340" w:type="pct"/>
                  <w:noWrap w:val="0"/>
                  <w:vAlign w:val="center"/>
                </w:tcPr>
                <w:p>
                  <w:pPr>
                    <w:pStyle w:val="176"/>
                    <w:rPr>
                      <w:rFonts w:hint="eastAsia"/>
                      <w:color w:val="auto"/>
                    </w:rPr>
                  </w:pPr>
                </w:p>
              </w:tc>
              <w:tc>
                <w:tcPr>
                  <w:tcW w:w="852" w:type="pct"/>
                  <w:vMerge w:val="continue"/>
                  <w:noWrap w:val="0"/>
                  <w:vAlign w:val="center"/>
                </w:tcPr>
                <w:p>
                  <w:pPr>
                    <w:pStyle w:val="176"/>
                    <w:rPr>
                      <w:color w:val="auto"/>
                    </w:rPr>
                  </w:pPr>
                </w:p>
              </w:tc>
              <w:tc>
                <w:tcPr>
                  <w:tcW w:w="1911" w:type="pct"/>
                  <w:noWrap w:val="0"/>
                  <w:vAlign w:val="center"/>
                </w:tcPr>
                <w:p>
                  <w:pPr>
                    <w:pStyle w:val="176"/>
                    <w:rPr>
                      <w:rFonts w:hint="eastAsia" w:eastAsia="宋体"/>
                      <w:color w:val="auto"/>
                      <w:lang w:eastAsia="zh-CN"/>
                    </w:rPr>
                  </w:pPr>
                  <w:r>
                    <w:rPr>
                      <w:rFonts w:hint="eastAsia"/>
                      <w:color w:val="auto"/>
                      <w:lang w:eastAsia="zh-CN"/>
                    </w:rPr>
                    <w:t>万孚免疫荧光层析定量检测系统宠物版</w:t>
                  </w:r>
                </w:p>
              </w:tc>
              <w:tc>
                <w:tcPr>
                  <w:tcW w:w="536" w:type="pct"/>
                  <w:noWrap w:val="0"/>
                  <w:vAlign w:val="center"/>
                </w:tcPr>
                <w:p>
                  <w:pPr>
                    <w:pStyle w:val="111"/>
                    <w:bidi w:val="0"/>
                    <w:rPr>
                      <w:rFonts w:hint="eastAsia"/>
                    </w:rPr>
                  </w:pPr>
                  <w:r>
                    <w:rPr>
                      <w:rFonts w:hint="eastAsia"/>
                      <w:lang w:val="en-US" w:eastAsia="zh-CN"/>
                    </w:rPr>
                    <w:t>1</w:t>
                  </w:r>
                </w:p>
              </w:tc>
              <w:tc>
                <w:tcPr>
                  <w:tcW w:w="1359" w:type="pct"/>
                  <w:noWrap w:val="0"/>
                  <w:vAlign w:val="center"/>
                </w:tcPr>
                <w:p>
                  <w:pPr>
                    <w:pStyle w:val="176"/>
                    <w:rPr>
                      <w:rFonts w:hint="default" w:eastAsia="宋体"/>
                      <w:color w:val="auto"/>
                      <w:lang w:val="en-US" w:eastAsia="zh-CN"/>
                    </w:rPr>
                  </w:pPr>
                  <w:r>
                    <w:rPr>
                      <w:rFonts w:hint="eastAsia"/>
                      <w:color w:val="auto"/>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340" w:type="pct"/>
                  <w:noWrap w:val="0"/>
                  <w:vAlign w:val="center"/>
                </w:tcPr>
                <w:p>
                  <w:pPr>
                    <w:pStyle w:val="176"/>
                    <w:rPr>
                      <w:rFonts w:hint="eastAsia"/>
                      <w:color w:val="auto"/>
                    </w:rPr>
                  </w:pPr>
                </w:p>
              </w:tc>
              <w:tc>
                <w:tcPr>
                  <w:tcW w:w="852" w:type="pct"/>
                  <w:vMerge w:val="continue"/>
                  <w:noWrap w:val="0"/>
                  <w:vAlign w:val="center"/>
                </w:tcPr>
                <w:p>
                  <w:pPr>
                    <w:pStyle w:val="176"/>
                    <w:rPr>
                      <w:color w:val="auto"/>
                    </w:rPr>
                  </w:pPr>
                </w:p>
              </w:tc>
              <w:tc>
                <w:tcPr>
                  <w:tcW w:w="1911" w:type="pct"/>
                  <w:noWrap w:val="0"/>
                  <w:vAlign w:val="center"/>
                </w:tcPr>
                <w:p>
                  <w:pPr>
                    <w:pStyle w:val="176"/>
                    <w:rPr>
                      <w:rFonts w:hint="eastAsia" w:eastAsia="宋体"/>
                      <w:color w:val="auto"/>
                      <w:lang w:eastAsia="zh-CN"/>
                    </w:rPr>
                  </w:pPr>
                  <w:r>
                    <w:rPr>
                      <w:rFonts w:hint="eastAsia"/>
                      <w:color w:val="auto"/>
                      <w:lang w:eastAsia="zh-CN"/>
                    </w:rPr>
                    <w:t>迈瑞兽用全自动血液细胞分析仪</w:t>
                  </w:r>
                </w:p>
              </w:tc>
              <w:tc>
                <w:tcPr>
                  <w:tcW w:w="536" w:type="pct"/>
                  <w:noWrap w:val="0"/>
                  <w:vAlign w:val="center"/>
                </w:tcPr>
                <w:p>
                  <w:pPr>
                    <w:pStyle w:val="111"/>
                    <w:bidi w:val="0"/>
                    <w:rPr>
                      <w:rFonts w:hint="eastAsia"/>
                    </w:rPr>
                  </w:pPr>
                  <w:r>
                    <w:rPr>
                      <w:rFonts w:hint="eastAsia"/>
                      <w:lang w:val="en-US" w:eastAsia="zh-CN"/>
                    </w:rPr>
                    <w:t>1</w:t>
                  </w:r>
                </w:p>
              </w:tc>
              <w:tc>
                <w:tcPr>
                  <w:tcW w:w="1359" w:type="pct"/>
                  <w:noWrap w:val="0"/>
                  <w:vAlign w:val="center"/>
                </w:tcPr>
                <w:p>
                  <w:pPr>
                    <w:pStyle w:val="176"/>
                    <w:rPr>
                      <w:rFonts w:hint="default" w:eastAsia="宋体"/>
                      <w:color w:val="auto"/>
                      <w:lang w:val="en-US" w:eastAsia="zh-CN"/>
                    </w:rPr>
                  </w:pPr>
                  <w:r>
                    <w:rPr>
                      <w:rFonts w:hint="eastAsia"/>
                      <w:color w:val="auto"/>
                      <w:lang w:val="en-US" w:eastAsia="zh-CN"/>
                    </w:rPr>
                    <w:t>BC-2800 Vet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340" w:type="pct"/>
                  <w:noWrap w:val="0"/>
                  <w:vAlign w:val="center"/>
                </w:tcPr>
                <w:p>
                  <w:pPr>
                    <w:pStyle w:val="176"/>
                    <w:rPr>
                      <w:rFonts w:hint="eastAsia"/>
                      <w:color w:val="auto"/>
                    </w:rPr>
                  </w:pPr>
                </w:p>
              </w:tc>
              <w:tc>
                <w:tcPr>
                  <w:tcW w:w="852" w:type="pct"/>
                  <w:vMerge w:val="continue"/>
                  <w:noWrap w:val="0"/>
                  <w:vAlign w:val="center"/>
                </w:tcPr>
                <w:p>
                  <w:pPr>
                    <w:pStyle w:val="176"/>
                    <w:rPr>
                      <w:color w:val="auto"/>
                    </w:rPr>
                  </w:pPr>
                </w:p>
              </w:tc>
              <w:tc>
                <w:tcPr>
                  <w:tcW w:w="1911" w:type="pct"/>
                  <w:noWrap w:val="0"/>
                  <w:vAlign w:val="center"/>
                </w:tcPr>
                <w:p>
                  <w:pPr>
                    <w:pStyle w:val="176"/>
                    <w:rPr>
                      <w:rFonts w:hint="eastAsia"/>
                      <w:color w:val="auto"/>
                      <w:lang w:eastAsia="zh-CN"/>
                    </w:rPr>
                  </w:pPr>
                  <w:r>
                    <w:rPr>
                      <w:rFonts w:hint="eastAsia"/>
                      <w:color w:val="auto"/>
                      <w:lang w:eastAsia="zh-CN"/>
                    </w:rPr>
                    <w:t>美国爱倍思五类血液分析仪</w:t>
                  </w:r>
                </w:p>
              </w:tc>
              <w:tc>
                <w:tcPr>
                  <w:tcW w:w="536" w:type="pct"/>
                  <w:noWrap w:val="0"/>
                  <w:vAlign w:val="center"/>
                </w:tcPr>
                <w:p>
                  <w:pPr>
                    <w:pStyle w:val="111"/>
                    <w:bidi w:val="0"/>
                    <w:rPr>
                      <w:rFonts w:hint="eastAsia"/>
                    </w:rPr>
                  </w:pPr>
                  <w:r>
                    <w:rPr>
                      <w:rFonts w:hint="eastAsia"/>
                      <w:lang w:val="en-US" w:eastAsia="zh-CN"/>
                    </w:rPr>
                    <w:t>1</w:t>
                  </w:r>
                </w:p>
              </w:tc>
              <w:tc>
                <w:tcPr>
                  <w:tcW w:w="1359" w:type="pct"/>
                  <w:noWrap w:val="0"/>
                  <w:vAlign w:val="center"/>
                </w:tcPr>
                <w:p>
                  <w:pPr>
                    <w:pStyle w:val="176"/>
                    <w:rPr>
                      <w:rFonts w:hint="eastAsia" w:eastAsia="宋体"/>
                      <w:color w:val="auto"/>
                      <w:lang w:val="en-US" w:eastAsia="zh-CN"/>
                    </w:rPr>
                  </w:pPr>
                  <w:r>
                    <w:rPr>
                      <w:rFonts w:hint="eastAsia"/>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340" w:type="pct"/>
                  <w:noWrap w:val="0"/>
                  <w:vAlign w:val="center"/>
                </w:tcPr>
                <w:p>
                  <w:pPr>
                    <w:pStyle w:val="176"/>
                    <w:rPr>
                      <w:rFonts w:hint="eastAsia"/>
                      <w:color w:val="auto"/>
                    </w:rPr>
                  </w:pPr>
                </w:p>
              </w:tc>
              <w:tc>
                <w:tcPr>
                  <w:tcW w:w="852" w:type="pct"/>
                  <w:noWrap w:val="0"/>
                  <w:vAlign w:val="center"/>
                </w:tcPr>
                <w:p>
                  <w:pPr>
                    <w:pStyle w:val="176"/>
                    <w:rPr>
                      <w:rFonts w:hint="default" w:eastAsia="宋体"/>
                      <w:color w:val="auto"/>
                      <w:lang w:val="en-US" w:eastAsia="zh-CN"/>
                    </w:rPr>
                  </w:pPr>
                  <w:r>
                    <w:rPr>
                      <w:rFonts w:hint="eastAsia"/>
                      <w:color w:val="auto"/>
                      <w:lang w:val="en-US" w:eastAsia="zh-CN"/>
                    </w:rPr>
                    <w:t>彩超室</w:t>
                  </w:r>
                </w:p>
              </w:tc>
              <w:tc>
                <w:tcPr>
                  <w:tcW w:w="1911" w:type="pct"/>
                  <w:noWrap w:val="0"/>
                  <w:vAlign w:val="center"/>
                </w:tcPr>
                <w:p>
                  <w:pPr>
                    <w:pStyle w:val="176"/>
                    <w:rPr>
                      <w:rFonts w:hint="eastAsia"/>
                      <w:color w:val="auto"/>
                      <w:lang w:eastAsia="zh-CN"/>
                    </w:rPr>
                  </w:pPr>
                  <w:r>
                    <w:rPr>
                      <w:rFonts w:hint="eastAsia"/>
                      <w:color w:val="auto"/>
                      <w:lang w:eastAsia="zh-CN"/>
                    </w:rPr>
                    <w:t>飞依诺多普勒超声</w:t>
                  </w:r>
                </w:p>
              </w:tc>
              <w:tc>
                <w:tcPr>
                  <w:tcW w:w="536" w:type="pct"/>
                  <w:noWrap w:val="0"/>
                  <w:vAlign w:val="center"/>
                </w:tcPr>
                <w:p>
                  <w:pPr>
                    <w:pStyle w:val="111"/>
                    <w:bidi w:val="0"/>
                    <w:rPr>
                      <w:rFonts w:hint="eastAsia"/>
                    </w:rPr>
                  </w:pPr>
                  <w:r>
                    <w:rPr>
                      <w:rFonts w:hint="eastAsia"/>
                      <w:lang w:val="en-US" w:eastAsia="zh-CN"/>
                    </w:rPr>
                    <w:t>1</w:t>
                  </w:r>
                </w:p>
              </w:tc>
              <w:tc>
                <w:tcPr>
                  <w:tcW w:w="1359" w:type="pct"/>
                  <w:noWrap w:val="0"/>
                  <w:vAlign w:val="center"/>
                </w:tcPr>
                <w:p>
                  <w:pPr>
                    <w:pStyle w:val="176"/>
                    <w:rPr>
                      <w:rFonts w:hint="default" w:eastAsia="宋体"/>
                      <w:color w:val="auto"/>
                      <w:lang w:val="en-US" w:eastAsia="zh-CN"/>
                    </w:rPr>
                  </w:pPr>
                  <w:r>
                    <w:rPr>
                      <w:rFonts w:hint="eastAsia"/>
                      <w:color w:val="auto"/>
                      <w:lang w:val="en-US" w:eastAsia="zh-CN"/>
                    </w:rPr>
                    <w:t>VINNOE 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340" w:type="pct"/>
                  <w:noWrap w:val="0"/>
                  <w:vAlign w:val="center"/>
                </w:tcPr>
                <w:p>
                  <w:pPr>
                    <w:pStyle w:val="176"/>
                    <w:rPr>
                      <w:rFonts w:hint="eastAsia"/>
                      <w:color w:val="auto"/>
                    </w:rPr>
                  </w:pPr>
                </w:p>
              </w:tc>
              <w:tc>
                <w:tcPr>
                  <w:tcW w:w="852" w:type="pct"/>
                  <w:noWrap w:val="0"/>
                  <w:vAlign w:val="center"/>
                </w:tcPr>
                <w:p>
                  <w:pPr>
                    <w:pStyle w:val="176"/>
                    <w:rPr>
                      <w:rFonts w:hint="default" w:eastAsia="宋体"/>
                      <w:color w:val="auto"/>
                      <w:lang w:val="en-US" w:eastAsia="zh-CN"/>
                    </w:rPr>
                  </w:pPr>
                  <w:r>
                    <w:rPr>
                      <w:rFonts w:hint="eastAsia"/>
                      <w:color w:val="auto"/>
                      <w:lang w:val="en-US" w:eastAsia="zh-CN"/>
                    </w:rPr>
                    <w:t>DR室</w:t>
                  </w:r>
                </w:p>
              </w:tc>
              <w:tc>
                <w:tcPr>
                  <w:tcW w:w="1911" w:type="pct"/>
                  <w:noWrap w:val="0"/>
                  <w:vAlign w:val="center"/>
                </w:tcPr>
                <w:p>
                  <w:pPr>
                    <w:pStyle w:val="176"/>
                    <w:rPr>
                      <w:rFonts w:hint="default"/>
                      <w:color w:val="auto"/>
                      <w:lang w:val="en-US" w:eastAsia="zh-CN"/>
                    </w:rPr>
                  </w:pPr>
                  <w:r>
                    <w:rPr>
                      <w:rFonts w:hint="eastAsia"/>
                      <w:color w:val="auto"/>
                      <w:lang w:eastAsia="zh-CN"/>
                    </w:rPr>
                    <w:t>苏博尔宠物</w:t>
                  </w:r>
                  <w:r>
                    <w:rPr>
                      <w:rFonts w:hint="eastAsia"/>
                      <w:color w:val="auto"/>
                      <w:lang w:val="en-US" w:eastAsia="zh-CN"/>
                    </w:rPr>
                    <w:t>DR</w:t>
                  </w:r>
                </w:p>
              </w:tc>
              <w:tc>
                <w:tcPr>
                  <w:tcW w:w="536" w:type="pct"/>
                  <w:noWrap w:val="0"/>
                  <w:vAlign w:val="center"/>
                </w:tcPr>
                <w:p>
                  <w:pPr>
                    <w:pStyle w:val="111"/>
                    <w:bidi w:val="0"/>
                    <w:rPr>
                      <w:rFonts w:hint="eastAsia"/>
                    </w:rPr>
                  </w:pPr>
                  <w:r>
                    <w:rPr>
                      <w:rFonts w:hint="eastAsia"/>
                      <w:lang w:val="en-US" w:eastAsia="zh-CN"/>
                    </w:rPr>
                    <w:t>1</w:t>
                  </w:r>
                </w:p>
              </w:tc>
              <w:tc>
                <w:tcPr>
                  <w:tcW w:w="1359" w:type="pct"/>
                  <w:noWrap w:val="0"/>
                  <w:vAlign w:val="center"/>
                </w:tcPr>
                <w:p>
                  <w:pPr>
                    <w:pStyle w:val="176"/>
                    <w:rPr>
                      <w:rFonts w:hint="default" w:eastAsia="宋体"/>
                      <w:color w:val="auto"/>
                      <w:lang w:val="en-US" w:eastAsia="zh-CN"/>
                    </w:rPr>
                  </w:pPr>
                  <w:r>
                    <w:rPr>
                      <w:rFonts w:hint="eastAsia"/>
                      <w:color w:val="auto"/>
                      <w:lang w:val="en-US" w:eastAsia="zh-CN"/>
                    </w:rPr>
                    <w:t>Vet-520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340" w:type="pct"/>
                  <w:noWrap w:val="0"/>
                  <w:vAlign w:val="center"/>
                </w:tcPr>
                <w:p>
                  <w:pPr>
                    <w:pStyle w:val="176"/>
                    <w:rPr>
                      <w:rFonts w:hint="eastAsia"/>
                      <w:color w:val="auto"/>
                    </w:rPr>
                  </w:pPr>
                </w:p>
              </w:tc>
              <w:tc>
                <w:tcPr>
                  <w:tcW w:w="852" w:type="pct"/>
                  <w:vMerge w:val="restart"/>
                  <w:noWrap w:val="0"/>
                  <w:vAlign w:val="center"/>
                </w:tcPr>
                <w:p>
                  <w:pPr>
                    <w:pStyle w:val="176"/>
                    <w:rPr>
                      <w:rFonts w:hint="eastAsia" w:eastAsia="宋体"/>
                      <w:color w:val="auto"/>
                      <w:lang w:eastAsia="zh-CN"/>
                    </w:rPr>
                  </w:pPr>
                  <w:r>
                    <w:rPr>
                      <w:rFonts w:hint="eastAsia"/>
                      <w:color w:val="auto"/>
                      <w:lang w:eastAsia="zh-CN"/>
                    </w:rPr>
                    <w:t>住院部</w:t>
                  </w:r>
                </w:p>
              </w:tc>
              <w:tc>
                <w:tcPr>
                  <w:tcW w:w="1911" w:type="pct"/>
                  <w:noWrap w:val="0"/>
                  <w:vAlign w:val="center"/>
                </w:tcPr>
                <w:p>
                  <w:pPr>
                    <w:pStyle w:val="176"/>
                    <w:rPr>
                      <w:rFonts w:hint="eastAsia"/>
                      <w:color w:val="auto"/>
                      <w:lang w:eastAsia="zh-CN"/>
                    </w:rPr>
                  </w:pPr>
                  <w:r>
                    <w:rPr>
                      <w:rFonts w:hint="eastAsia"/>
                      <w:color w:val="auto"/>
                      <w:lang w:eastAsia="zh-CN"/>
                    </w:rPr>
                    <w:t>宠物输液泵</w:t>
                  </w:r>
                </w:p>
              </w:tc>
              <w:tc>
                <w:tcPr>
                  <w:tcW w:w="536" w:type="pct"/>
                  <w:noWrap w:val="0"/>
                  <w:vAlign w:val="center"/>
                </w:tcPr>
                <w:p>
                  <w:pPr>
                    <w:pStyle w:val="176"/>
                    <w:rPr>
                      <w:rFonts w:hint="default" w:eastAsia="宋体"/>
                      <w:color w:val="auto"/>
                      <w:lang w:val="en-US" w:eastAsia="zh-CN"/>
                    </w:rPr>
                  </w:pPr>
                  <w:r>
                    <w:rPr>
                      <w:rFonts w:hint="eastAsia"/>
                      <w:color w:val="auto"/>
                      <w:lang w:val="en-US" w:eastAsia="zh-CN"/>
                    </w:rPr>
                    <w:t>20</w:t>
                  </w:r>
                </w:p>
              </w:tc>
              <w:tc>
                <w:tcPr>
                  <w:tcW w:w="1359" w:type="pct"/>
                  <w:noWrap w:val="0"/>
                  <w:vAlign w:val="center"/>
                </w:tcPr>
                <w:p>
                  <w:pPr>
                    <w:pStyle w:val="176"/>
                    <w:rPr>
                      <w:rFonts w:hint="default" w:eastAsia="宋体"/>
                      <w:color w:val="auto"/>
                      <w:lang w:val="en-US" w:eastAsia="zh-CN"/>
                    </w:rPr>
                  </w:pPr>
                  <w:r>
                    <w:rPr>
                      <w:rFonts w:hint="eastAsia"/>
                      <w:color w:val="auto"/>
                      <w:lang w:val="en-US" w:eastAsia="zh-CN"/>
                    </w:rPr>
                    <w:t>HK-050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340" w:type="pct"/>
                  <w:noWrap w:val="0"/>
                  <w:vAlign w:val="center"/>
                </w:tcPr>
                <w:p>
                  <w:pPr>
                    <w:pStyle w:val="176"/>
                    <w:rPr>
                      <w:rFonts w:hint="eastAsia"/>
                      <w:color w:val="auto"/>
                    </w:rPr>
                  </w:pPr>
                </w:p>
              </w:tc>
              <w:tc>
                <w:tcPr>
                  <w:tcW w:w="852" w:type="pct"/>
                  <w:vMerge w:val="continue"/>
                  <w:noWrap w:val="0"/>
                  <w:vAlign w:val="center"/>
                </w:tcPr>
                <w:p>
                  <w:pPr>
                    <w:pStyle w:val="176"/>
                    <w:rPr>
                      <w:color w:val="auto"/>
                    </w:rPr>
                  </w:pPr>
                </w:p>
              </w:tc>
              <w:tc>
                <w:tcPr>
                  <w:tcW w:w="1911" w:type="pct"/>
                  <w:noWrap w:val="0"/>
                  <w:vAlign w:val="center"/>
                </w:tcPr>
                <w:p>
                  <w:pPr>
                    <w:pStyle w:val="176"/>
                    <w:rPr>
                      <w:rFonts w:hint="eastAsia"/>
                      <w:color w:val="auto"/>
                      <w:lang w:eastAsia="zh-CN"/>
                    </w:rPr>
                  </w:pPr>
                  <w:r>
                    <w:rPr>
                      <w:rFonts w:hint="eastAsia"/>
                      <w:color w:val="auto"/>
                      <w:lang w:eastAsia="zh-CN"/>
                    </w:rPr>
                    <w:t>鱼跃超声雾化器</w:t>
                  </w:r>
                </w:p>
              </w:tc>
              <w:tc>
                <w:tcPr>
                  <w:tcW w:w="536" w:type="pct"/>
                  <w:noWrap w:val="0"/>
                  <w:vAlign w:val="center"/>
                </w:tcPr>
                <w:p>
                  <w:pPr>
                    <w:pStyle w:val="176"/>
                    <w:rPr>
                      <w:rFonts w:hint="eastAsia" w:eastAsia="宋体"/>
                      <w:color w:val="auto"/>
                      <w:lang w:val="en-US" w:eastAsia="zh-CN"/>
                    </w:rPr>
                  </w:pPr>
                  <w:r>
                    <w:rPr>
                      <w:rFonts w:hint="eastAsia"/>
                      <w:color w:val="auto"/>
                      <w:lang w:val="en-US" w:eastAsia="zh-CN"/>
                    </w:rPr>
                    <w:t>2</w:t>
                  </w:r>
                </w:p>
              </w:tc>
              <w:tc>
                <w:tcPr>
                  <w:tcW w:w="1359" w:type="pct"/>
                  <w:noWrap w:val="0"/>
                  <w:vAlign w:val="center"/>
                </w:tcPr>
                <w:p>
                  <w:pPr>
                    <w:pStyle w:val="176"/>
                    <w:rPr>
                      <w:rFonts w:hint="default" w:eastAsia="宋体"/>
                      <w:color w:val="auto"/>
                      <w:lang w:val="en-US" w:eastAsia="zh-CN"/>
                    </w:rPr>
                  </w:pPr>
                  <w:r>
                    <w:rPr>
                      <w:rFonts w:hint="eastAsia"/>
                      <w:color w:val="auto"/>
                      <w:lang w:val="en-US" w:eastAsia="zh-CN"/>
                    </w:rPr>
                    <w:t>402AI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340" w:type="pct"/>
                  <w:noWrap w:val="0"/>
                  <w:vAlign w:val="center"/>
                </w:tcPr>
                <w:p>
                  <w:pPr>
                    <w:pStyle w:val="176"/>
                    <w:rPr>
                      <w:rFonts w:hint="eastAsia"/>
                      <w:color w:val="auto"/>
                    </w:rPr>
                  </w:pPr>
                </w:p>
              </w:tc>
              <w:tc>
                <w:tcPr>
                  <w:tcW w:w="852" w:type="pct"/>
                  <w:vMerge w:val="restart"/>
                  <w:noWrap w:val="0"/>
                  <w:vAlign w:val="center"/>
                </w:tcPr>
                <w:p>
                  <w:pPr>
                    <w:pStyle w:val="176"/>
                    <w:rPr>
                      <w:rFonts w:hint="eastAsia" w:eastAsia="宋体"/>
                      <w:color w:val="auto"/>
                      <w:lang w:eastAsia="zh-CN"/>
                    </w:rPr>
                  </w:pPr>
                  <w:r>
                    <w:rPr>
                      <w:rFonts w:hint="eastAsia"/>
                      <w:color w:val="auto"/>
                      <w:lang w:eastAsia="zh-CN"/>
                    </w:rPr>
                    <w:t>手术室</w:t>
                  </w:r>
                </w:p>
              </w:tc>
              <w:tc>
                <w:tcPr>
                  <w:tcW w:w="1911" w:type="pct"/>
                  <w:noWrap w:val="0"/>
                  <w:vAlign w:val="center"/>
                </w:tcPr>
                <w:p>
                  <w:pPr>
                    <w:pStyle w:val="176"/>
                    <w:rPr>
                      <w:rFonts w:hint="eastAsia"/>
                      <w:color w:val="auto"/>
                      <w:lang w:eastAsia="zh-CN"/>
                    </w:rPr>
                  </w:pPr>
                  <w:r>
                    <w:rPr>
                      <w:rFonts w:hint="eastAsia"/>
                      <w:color w:val="auto"/>
                      <w:lang w:eastAsia="zh-CN"/>
                    </w:rPr>
                    <w:t>内窥镜图像处理器</w:t>
                  </w:r>
                </w:p>
              </w:tc>
              <w:tc>
                <w:tcPr>
                  <w:tcW w:w="536" w:type="pct"/>
                  <w:noWrap w:val="0"/>
                  <w:vAlign w:val="center"/>
                </w:tcPr>
                <w:p>
                  <w:pPr>
                    <w:pStyle w:val="111"/>
                    <w:bidi w:val="0"/>
                    <w:rPr>
                      <w:rFonts w:hint="eastAsia"/>
                    </w:rPr>
                  </w:pPr>
                  <w:r>
                    <w:rPr>
                      <w:rFonts w:hint="eastAsia"/>
                      <w:lang w:val="en-US" w:eastAsia="zh-CN"/>
                    </w:rPr>
                    <w:t>1</w:t>
                  </w:r>
                </w:p>
              </w:tc>
              <w:tc>
                <w:tcPr>
                  <w:tcW w:w="1359" w:type="pct"/>
                  <w:noWrap w:val="0"/>
                  <w:vAlign w:val="center"/>
                </w:tcPr>
                <w:p>
                  <w:pPr>
                    <w:pStyle w:val="176"/>
                    <w:rPr>
                      <w:rFonts w:hint="default" w:eastAsia="宋体"/>
                      <w:color w:val="auto"/>
                      <w:lang w:val="en-US" w:eastAsia="zh-CN"/>
                    </w:rPr>
                  </w:pPr>
                  <w:r>
                    <w:rPr>
                      <w:rFonts w:hint="eastAsia"/>
                      <w:color w:val="auto"/>
                      <w:lang w:val="en-US" w:eastAsia="zh-CN"/>
                    </w:rPr>
                    <w:t>EV-230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340" w:type="pct"/>
                  <w:noWrap w:val="0"/>
                  <w:vAlign w:val="center"/>
                </w:tcPr>
                <w:p>
                  <w:pPr>
                    <w:pStyle w:val="176"/>
                    <w:rPr>
                      <w:rFonts w:hint="eastAsia"/>
                      <w:color w:val="auto"/>
                    </w:rPr>
                  </w:pPr>
                </w:p>
              </w:tc>
              <w:tc>
                <w:tcPr>
                  <w:tcW w:w="852" w:type="pct"/>
                  <w:vMerge w:val="continue"/>
                  <w:noWrap w:val="0"/>
                  <w:vAlign w:val="center"/>
                </w:tcPr>
                <w:p>
                  <w:pPr>
                    <w:pStyle w:val="176"/>
                    <w:rPr>
                      <w:color w:val="auto"/>
                    </w:rPr>
                  </w:pPr>
                </w:p>
              </w:tc>
              <w:tc>
                <w:tcPr>
                  <w:tcW w:w="1911" w:type="pct"/>
                  <w:noWrap w:val="0"/>
                  <w:vAlign w:val="center"/>
                </w:tcPr>
                <w:p>
                  <w:pPr>
                    <w:pStyle w:val="176"/>
                    <w:rPr>
                      <w:rFonts w:hint="eastAsia"/>
                      <w:color w:val="auto"/>
                      <w:lang w:eastAsia="zh-CN"/>
                    </w:rPr>
                  </w:pPr>
                  <w:r>
                    <w:rPr>
                      <w:rFonts w:hint="eastAsia"/>
                      <w:color w:val="auto"/>
                      <w:lang w:eastAsia="zh-CN"/>
                    </w:rPr>
                    <w:t>麦迪康维高频电刀</w:t>
                  </w:r>
                </w:p>
              </w:tc>
              <w:tc>
                <w:tcPr>
                  <w:tcW w:w="536" w:type="pct"/>
                  <w:noWrap w:val="0"/>
                  <w:vAlign w:val="center"/>
                </w:tcPr>
                <w:p>
                  <w:pPr>
                    <w:pStyle w:val="111"/>
                    <w:bidi w:val="0"/>
                    <w:rPr>
                      <w:rFonts w:hint="eastAsia"/>
                    </w:rPr>
                  </w:pPr>
                  <w:r>
                    <w:rPr>
                      <w:rFonts w:hint="eastAsia"/>
                      <w:lang w:val="en-US" w:eastAsia="zh-CN"/>
                    </w:rPr>
                    <w:t>1</w:t>
                  </w:r>
                </w:p>
              </w:tc>
              <w:tc>
                <w:tcPr>
                  <w:tcW w:w="1359" w:type="pct"/>
                  <w:noWrap w:val="0"/>
                  <w:vAlign w:val="center"/>
                </w:tcPr>
                <w:p>
                  <w:pPr>
                    <w:pStyle w:val="176"/>
                    <w:rPr>
                      <w:rFonts w:hint="default" w:eastAsia="宋体"/>
                      <w:color w:val="auto"/>
                      <w:lang w:val="en-US" w:eastAsia="zh-CN"/>
                    </w:rPr>
                  </w:pPr>
                  <w:r>
                    <w:rPr>
                      <w:rFonts w:hint="eastAsia"/>
                      <w:color w:val="auto"/>
                      <w:lang w:val="en-US" w:eastAsia="zh-CN"/>
                    </w:rPr>
                    <w:t>CM-350A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340" w:type="pct"/>
                  <w:noWrap w:val="0"/>
                  <w:vAlign w:val="center"/>
                </w:tcPr>
                <w:p>
                  <w:pPr>
                    <w:pStyle w:val="176"/>
                    <w:rPr>
                      <w:rFonts w:hint="eastAsia"/>
                      <w:color w:val="auto"/>
                    </w:rPr>
                  </w:pPr>
                </w:p>
              </w:tc>
              <w:tc>
                <w:tcPr>
                  <w:tcW w:w="852" w:type="pct"/>
                  <w:vMerge w:val="continue"/>
                  <w:noWrap w:val="0"/>
                  <w:vAlign w:val="center"/>
                </w:tcPr>
                <w:p>
                  <w:pPr>
                    <w:pStyle w:val="176"/>
                    <w:rPr>
                      <w:color w:val="auto"/>
                    </w:rPr>
                  </w:pPr>
                </w:p>
              </w:tc>
              <w:tc>
                <w:tcPr>
                  <w:tcW w:w="1911" w:type="pct"/>
                  <w:noWrap w:val="0"/>
                  <w:vAlign w:val="center"/>
                </w:tcPr>
                <w:p>
                  <w:pPr>
                    <w:pStyle w:val="176"/>
                    <w:rPr>
                      <w:rFonts w:hint="eastAsia"/>
                      <w:color w:val="auto"/>
                      <w:lang w:eastAsia="zh-CN"/>
                    </w:rPr>
                  </w:pPr>
                  <w:r>
                    <w:rPr>
                      <w:rFonts w:hint="eastAsia"/>
                      <w:color w:val="auto"/>
                      <w:lang w:eastAsia="zh-CN"/>
                    </w:rPr>
                    <w:t>动物用射频能量平台系统</w:t>
                  </w:r>
                </w:p>
              </w:tc>
              <w:tc>
                <w:tcPr>
                  <w:tcW w:w="536" w:type="pct"/>
                  <w:noWrap w:val="0"/>
                  <w:vAlign w:val="center"/>
                </w:tcPr>
                <w:p>
                  <w:pPr>
                    <w:pStyle w:val="111"/>
                    <w:bidi w:val="0"/>
                    <w:rPr>
                      <w:rFonts w:hint="eastAsia"/>
                    </w:rPr>
                  </w:pPr>
                  <w:r>
                    <w:rPr>
                      <w:rFonts w:hint="eastAsia"/>
                      <w:lang w:val="en-US" w:eastAsia="zh-CN"/>
                    </w:rPr>
                    <w:t>1</w:t>
                  </w:r>
                </w:p>
              </w:tc>
              <w:tc>
                <w:tcPr>
                  <w:tcW w:w="1359" w:type="pct"/>
                  <w:noWrap w:val="0"/>
                  <w:vAlign w:val="center"/>
                </w:tcPr>
                <w:p>
                  <w:pPr>
                    <w:pStyle w:val="176"/>
                    <w:rPr>
                      <w:rFonts w:hint="default" w:eastAsia="宋体"/>
                      <w:color w:val="auto"/>
                      <w:lang w:val="en-US" w:eastAsia="zh-CN"/>
                    </w:rPr>
                  </w:pPr>
                  <w:r>
                    <w:rPr>
                      <w:rFonts w:hint="eastAsia"/>
                      <w:color w:val="auto"/>
                      <w:lang w:val="en-US" w:eastAsia="zh-CN"/>
                    </w:rPr>
                    <w:t>LS11 Genevator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340" w:type="pct"/>
                  <w:noWrap w:val="0"/>
                  <w:vAlign w:val="center"/>
                </w:tcPr>
                <w:p>
                  <w:pPr>
                    <w:pStyle w:val="176"/>
                    <w:rPr>
                      <w:rFonts w:hint="eastAsia"/>
                      <w:color w:val="auto"/>
                    </w:rPr>
                  </w:pPr>
                </w:p>
              </w:tc>
              <w:tc>
                <w:tcPr>
                  <w:tcW w:w="852" w:type="pct"/>
                  <w:vMerge w:val="continue"/>
                  <w:noWrap w:val="0"/>
                  <w:vAlign w:val="center"/>
                </w:tcPr>
                <w:p>
                  <w:pPr>
                    <w:pStyle w:val="176"/>
                    <w:rPr>
                      <w:color w:val="auto"/>
                    </w:rPr>
                  </w:pPr>
                </w:p>
              </w:tc>
              <w:tc>
                <w:tcPr>
                  <w:tcW w:w="1911" w:type="pct"/>
                  <w:noWrap w:val="0"/>
                  <w:vAlign w:val="center"/>
                </w:tcPr>
                <w:p>
                  <w:pPr>
                    <w:pStyle w:val="176"/>
                    <w:rPr>
                      <w:rFonts w:hint="eastAsia"/>
                      <w:color w:val="auto"/>
                      <w:lang w:eastAsia="zh-CN"/>
                    </w:rPr>
                  </w:pPr>
                  <w:r>
                    <w:rPr>
                      <w:rFonts w:hint="eastAsia"/>
                      <w:color w:val="auto"/>
                      <w:lang w:eastAsia="zh-CN"/>
                    </w:rPr>
                    <w:t>动物用超声切割止血系统</w:t>
                  </w:r>
                </w:p>
              </w:tc>
              <w:tc>
                <w:tcPr>
                  <w:tcW w:w="536" w:type="pct"/>
                  <w:noWrap w:val="0"/>
                  <w:vAlign w:val="center"/>
                </w:tcPr>
                <w:p>
                  <w:pPr>
                    <w:pStyle w:val="111"/>
                    <w:bidi w:val="0"/>
                    <w:rPr>
                      <w:rFonts w:hint="eastAsia"/>
                    </w:rPr>
                  </w:pPr>
                  <w:r>
                    <w:rPr>
                      <w:rFonts w:hint="eastAsia"/>
                      <w:lang w:val="en-US" w:eastAsia="zh-CN"/>
                    </w:rPr>
                    <w:t>1</w:t>
                  </w:r>
                </w:p>
              </w:tc>
              <w:tc>
                <w:tcPr>
                  <w:tcW w:w="1359" w:type="pct"/>
                  <w:noWrap w:val="0"/>
                  <w:vAlign w:val="center"/>
                </w:tcPr>
                <w:p>
                  <w:pPr>
                    <w:pStyle w:val="176"/>
                    <w:rPr>
                      <w:rFonts w:hint="default" w:eastAsia="宋体"/>
                      <w:color w:val="auto"/>
                      <w:lang w:val="en-US" w:eastAsia="zh-CN"/>
                    </w:rPr>
                  </w:pPr>
                  <w:r>
                    <w:rPr>
                      <w:rFonts w:hint="eastAsia"/>
                      <w:color w:val="auto"/>
                      <w:lang w:val="en-US" w:eastAsia="zh-CN"/>
                    </w:rPr>
                    <w:t>UGH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340" w:type="pct"/>
                  <w:noWrap w:val="0"/>
                  <w:vAlign w:val="center"/>
                </w:tcPr>
                <w:p>
                  <w:pPr>
                    <w:pStyle w:val="176"/>
                    <w:rPr>
                      <w:rFonts w:hint="eastAsia"/>
                      <w:color w:val="auto"/>
                    </w:rPr>
                  </w:pPr>
                </w:p>
              </w:tc>
              <w:tc>
                <w:tcPr>
                  <w:tcW w:w="852" w:type="pct"/>
                  <w:vMerge w:val="continue"/>
                  <w:noWrap w:val="0"/>
                  <w:vAlign w:val="center"/>
                </w:tcPr>
                <w:p>
                  <w:pPr>
                    <w:pStyle w:val="176"/>
                    <w:rPr>
                      <w:color w:val="auto"/>
                    </w:rPr>
                  </w:pPr>
                </w:p>
              </w:tc>
              <w:tc>
                <w:tcPr>
                  <w:tcW w:w="1911" w:type="pct"/>
                  <w:noWrap w:val="0"/>
                  <w:vAlign w:val="center"/>
                </w:tcPr>
                <w:p>
                  <w:pPr>
                    <w:pStyle w:val="176"/>
                    <w:rPr>
                      <w:rFonts w:hint="eastAsia"/>
                      <w:color w:val="auto"/>
                      <w:lang w:eastAsia="zh-CN"/>
                    </w:rPr>
                  </w:pPr>
                  <w:r>
                    <w:rPr>
                      <w:rFonts w:hint="eastAsia"/>
                      <w:color w:val="auto"/>
                      <w:lang w:eastAsia="zh-CN"/>
                    </w:rPr>
                    <w:t>瑞沃德通用型动物麻醉机</w:t>
                  </w:r>
                </w:p>
              </w:tc>
              <w:tc>
                <w:tcPr>
                  <w:tcW w:w="536" w:type="pct"/>
                  <w:noWrap w:val="0"/>
                  <w:vAlign w:val="center"/>
                </w:tcPr>
                <w:p>
                  <w:pPr>
                    <w:pStyle w:val="111"/>
                    <w:bidi w:val="0"/>
                    <w:rPr>
                      <w:rFonts w:hint="eastAsia"/>
                    </w:rPr>
                  </w:pPr>
                  <w:r>
                    <w:rPr>
                      <w:rFonts w:hint="eastAsia"/>
                      <w:lang w:val="en-US" w:eastAsia="zh-CN"/>
                    </w:rPr>
                    <w:t>1</w:t>
                  </w:r>
                </w:p>
              </w:tc>
              <w:tc>
                <w:tcPr>
                  <w:tcW w:w="1359" w:type="pct"/>
                  <w:noWrap w:val="0"/>
                  <w:vAlign w:val="center"/>
                </w:tcPr>
                <w:p>
                  <w:pPr>
                    <w:pStyle w:val="176"/>
                    <w:rPr>
                      <w:rFonts w:hint="default" w:eastAsia="宋体"/>
                      <w:color w:val="auto"/>
                      <w:lang w:val="en-US" w:eastAsia="zh-CN"/>
                    </w:rPr>
                  </w:pPr>
                  <w:r>
                    <w:rPr>
                      <w:rFonts w:hint="eastAsia"/>
                      <w:color w:val="auto"/>
                      <w:lang w:val="en-US" w:eastAsia="zh-CN"/>
                    </w:rPr>
                    <w:t>R620-31-IECS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jc w:val="center"/>
              </w:trPr>
              <w:tc>
                <w:tcPr>
                  <w:tcW w:w="340" w:type="pct"/>
                  <w:noWrap w:val="0"/>
                  <w:vAlign w:val="center"/>
                </w:tcPr>
                <w:p>
                  <w:pPr>
                    <w:pStyle w:val="176"/>
                    <w:rPr>
                      <w:rFonts w:hint="eastAsia"/>
                      <w:color w:val="auto"/>
                    </w:rPr>
                  </w:pPr>
                </w:p>
              </w:tc>
              <w:tc>
                <w:tcPr>
                  <w:tcW w:w="852" w:type="pct"/>
                  <w:vMerge w:val="continue"/>
                  <w:noWrap w:val="0"/>
                  <w:vAlign w:val="center"/>
                </w:tcPr>
                <w:p>
                  <w:pPr>
                    <w:pStyle w:val="176"/>
                    <w:rPr>
                      <w:color w:val="auto"/>
                    </w:rPr>
                  </w:pPr>
                </w:p>
              </w:tc>
              <w:tc>
                <w:tcPr>
                  <w:tcW w:w="1911" w:type="pct"/>
                  <w:noWrap w:val="0"/>
                  <w:vAlign w:val="center"/>
                </w:tcPr>
                <w:p>
                  <w:pPr>
                    <w:pStyle w:val="176"/>
                    <w:rPr>
                      <w:rFonts w:hint="default"/>
                      <w:color w:val="auto"/>
                      <w:lang w:val="en-US" w:eastAsia="zh-CN"/>
                    </w:rPr>
                  </w:pPr>
                  <w:r>
                    <w:rPr>
                      <w:rFonts w:hint="eastAsia"/>
                      <w:color w:val="auto"/>
                      <w:lang w:eastAsia="zh-CN"/>
                    </w:rPr>
                    <w:t>瑞沃德</w:t>
                  </w:r>
                  <w:r>
                    <w:rPr>
                      <w:rFonts w:hint="eastAsia"/>
                      <w:color w:val="auto"/>
                      <w:lang w:val="en-US" w:eastAsia="zh-CN"/>
                    </w:rPr>
                    <w:t>R419智能动物呼吸机</w:t>
                  </w:r>
                </w:p>
              </w:tc>
              <w:tc>
                <w:tcPr>
                  <w:tcW w:w="536" w:type="pct"/>
                  <w:noWrap w:val="0"/>
                  <w:vAlign w:val="center"/>
                </w:tcPr>
                <w:p>
                  <w:pPr>
                    <w:pStyle w:val="111"/>
                    <w:bidi w:val="0"/>
                    <w:rPr>
                      <w:rFonts w:hint="eastAsia"/>
                    </w:rPr>
                  </w:pPr>
                  <w:r>
                    <w:rPr>
                      <w:rFonts w:hint="eastAsia"/>
                      <w:lang w:val="en-US" w:eastAsia="zh-CN"/>
                    </w:rPr>
                    <w:t>1</w:t>
                  </w:r>
                </w:p>
              </w:tc>
              <w:tc>
                <w:tcPr>
                  <w:tcW w:w="1359" w:type="pct"/>
                  <w:noWrap w:val="0"/>
                  <w:vAlign w:val="center"/>
                </w:tcPr>
                <w:p>
                  <w:pPr>
                    <w:pStyle w:val="176"/>
                    <w:rPr>
                      <w:rFonts w:hint="default" w:eastAsia="宋体"/>
                      <w:color w:val="auto"/>
                      <w:lang w:val="en-US" w:eastAsia="zh-CN"/>
                    </w:rPr>
                  </w:pPr>
                  <w:r>
                    <w:rPr>
                      <w:rFonts w:hint="eastAsia"/>
                      <w:color w:val="auto"/>
                      <w:lang w:val="en-US" w:eastAsia="zh-CN"/>
                    </w:rPr>
                    <w:t>R419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340" w:type="pct"/>
                  <w:noWrap w:val="0"/>
                  <w:vAlign w:val="center"/>
                </w:tcPr>
                <w:p>
                  <w:pPr>
                    <w:pStyle w:val="176"/>
                    <w:rPr>
                      <w:rFonts w:hint="eastAsia"/>
                      <w:color w:val="auto"/>
                    </w:rPr>
                  </w:pPr>
                </w:p>
              </w:tc>
              <w:tc>
                <w:tcPr>
                  <w:tcW w:w="852" w:type="pct"/>
                  <w:vMerge w:val="continue"/>
                  <w:noWrap w:val="0"/>
                  <w:vAlign w:val="center"/>
                </w:tcPr>
                <w:p>
                  <w:pPr>
                    <w:pStyle w:val="176"/>
                    <w:rPr>
                      <w:color w:val="auto"/>
                    </w:rPr>
                  </w:pPr>
                </w:p>
              </w:tc>
              <w:tc>
                <w:tcPr>
                  <w:tcW w:w="1911" w:type="pct"/>
                  <w:noWrap w:val="0"/>
                  <w:vAlign w:val="center"/>
                </w:tcPr>
                <w:p>
                  <w:pPr>
                    <w:pStyle w:val="176"/>
                    <w:rPr>
                      <w:rFonts w:hint="default"/>
                      <w:color w:val="auto"/>
                      <w:lang w:val="en-US" w:eastAsia="zh-CN"/>
                    </w:rPr>
                  </w:pPr>
                  <w:r>
                    <w:rPr>
                      <w:rFonts w:hint="eastAsia"/>
                      <w:color w:val="auto"/>
                      <w:lang w:val="en-US" w:eastAsia="zh-CN"/>
                    </w:rPr>
                    <w:t>Vetevinary Moniter</w:t>
                  </w:r>
                </w:p>
              </w:tc>
              <w:tc>
                <w:tcPr>
                  <w:tcW w:w="536" w:type="pct"/>
                  <w:noWrap w:val="0"/>
                  <w:vAlign w:val="center"/>
                </w:tcPr>
                <w:p>
                  <w:pPr>
                    <w:pStyle w:val="111"/>
                    <w:bidi w:val="0"/>
                    <w:rPr>
                      <w:rFonts w:hint="eastAsia"/>
                    </w:rPr>
                  </w:pPr>
                  <w:r>
                    <w:rPr>
                      <w:rFonts w:hint="eastAsia"/>
                      <w:lang w:val="en-US" w:eastAsia="zh-CN"/>
                    </w:rPr>
                    <w:t>1</w:t>
                  </w:r>
                </w:p>
              </w:tc>
              <w:tc>
                <w:tcPr>
                  <w:tcW w:w="1359" w:type="pct"/>
                  <w:noWrap w:val="0"/>
                  <w:vAlign w:val="center"/>
                </w:tcPr>
                <w:p>
                  <w:pPr>
                    <w:pStyle w:val="176"/>
                    <w:rPr>
                      <w:rFonts w:hint="default" w:eastAsia="宋体"/>
                      <w:color w:val="auto"/>
                      <w:lang w:val="en-US" w:eastAsia="zh-CN"/>
                    </w:rPr>
                  </w:pPr>
                  <w:r>
                    <w:rPr>
                      <w:rFonts w:hint="eastAsia"/>
                      <w:color w:val="auto"/>
                      <w:lang w:val="en-US" w:eastAsia="zh-CN"/>
                    </w:rPr>
                    <w:t>RM400S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7" w:hRule="atLeast"/>
                <w:jc w:val="center"/>
              </w:trPr>
              <w:tc>
                <w:tcPr>
                  <w:tcW w:w="340" w:type="pct"/>
                  <w:noWrap w:val="0"/>
                  <w:vAlign w:val="center"/>
                </w:tcPr>
                <w:p>
                  <w:pPr>
                    <w:pStyle w:val="176"/>
                    <w:rPr>
                      <w:color w:val="auto"/>
                    </w:rPr>
                  </w:pPr>
                </w:p>
              </w:tc>
              <w:tc>
                <w:tcPr>
                  <w:tcW w:w="852" w:type="pct"/>
                  <w:noWrap w:val="0"/>
                  <w:vAlign w:val="center"/>
                </w:tcPr>
                <w:p>
                  <w:pPr>
                    <w:pStyle w:val="176"/>
                    <w:rPr>
                      <w:rFonts w:hint="eastAsia"/>
                      <w:color w:val="auto"/>
                    </w:rPr>
                  </w:pPr>
                  <w:r>
                    <w:rPr>
                      <w:rFonts w:hint="eastAsia"/>
                      <w:color w:val="auto"/>
                    </w:rPr>
                    <w:t>污水处理间</w:t>
                  </w:r>
                </w:p>
              </w:tc>
              <w:tc>
                <w:tcPr>
                  <w:tcW w:w="1911" w:type="pct"/>
                  <w:noWrap w:val="0"/>
                  <w:vAlign w:val="center"/>
                </w:tcPr>
                <w:p>
                  <w:pPr>
                    <w:pStyle w:val="176"/>
                    <w:rPr>
                      <w:rFonts w:hint="eastAsia"/>
                      <w:color w:val="auto"/>
                    </w:rPr>
                  </w:pPr>
                  <w:r>
                    <w:rPr>
                      <w:rFonts w:hint="eastAsia"/>
                      <w:color w:val="auto"/>
                    </w:rPr>
                    <w:t>缓释消毒器</w:t>
                  </w:r>
                </w:p>
              </w:tc>
              <w:tc>
                <w:tcPr>
                  <w:tcW w:w="536" w:type="pct"/>
                  <w:noWrap w:val="0"/>
                  <w:vAlign w:val="center"/>
                </w:tcPr>
                <w:p>
                  <w:pPr>
                    <w:pStyle w:val="176"/>
                    <w:rPr>
                      <w:rFonts w:hint="eastAsia"/>
                      <w:color w:val="auto"/>
                    </w:rPr>
                  </w:pPr>
                  <w:r>
                    <w:rPr>
                      <w:rFonts w:hint="eastAsia"/>
                      <w:color w:val="auto"/>
                    </w:rPr>
                    <w:t>1</w:t>
                  </w:r>
                </w:p>
              </w:tc>
              <w:tc>
                <w:tcPr>
                  <w:tcW w:w="1359" w:type="pct"/>
                  <w:noWrap w:val="0"/>
                  <w:vAlign w:val="center"/>
                </w:tcPr>
                <w:p>
                  <w:pPr>
                    <w:pStyle w:val="176"/>
                    <w:rPr>
                      <w:color w:val="auto"/>
                    </w:rPr>
                  </w:pPr>
                  <w:r>
                    <w:rPr>
                      <w:rFonts w:hint="eastAsia"/>
                      <w:color w:val="auto"/>
                    </w:rPr>
                    <w:t>30*30*30cm</w:t>
                  </w:r>
                </w:p>
              </w:tc>
            </w:tr>
          </w:tbl>
          <w:p>
            <w:pPr>
              <w:pStyle w:val="5"/>
              <w:spacing w:after="120"/>
              <w:rPr>
                <w:color w:val="auto"/>
              </w:rPr>
            </w:pPr>
            <w:r>
              <w:rPr>
                <w:rFonts w:hint="eastAsia"/>
                <w:color w:val="auto"/>
                <w:lang w:val="en-US" w:eastAsia="zh-CN"/>
              </w:rPr>
              <w:t>7</w:t>
            </w:r>
            <w:r>
              <w:rPr>
                <w:color w:val="auto"/>
              </w:rPr>
              <w:t>、劳动定员与工作制度</w:t>
            </w:r>
          </w:p>
          <w:p>
            <w:pPr>
              <w:pStyle w:val="108"/>
              <w:ind w:firstLine="480"/>
              <w:rPr>
                <w:rFonts w:hint="eastAsia"/>
                <w:color w:val="auto"/>
              </w:rPr>
            </w:pPr>
            <w:r>
              <w:rPr>
                <w:rFonts w:hint="eastAsia"/>
                <w:color w:val="auto"/>
              </w:rPr>
              <w:t>根据建设单位资料提供，</w:t>
            </w:r>
            <w:r>
              <w:rPr>
                <w:color w:val="auto"/>
              </w:rPr>
              <w:t>本项目</w:t>
            </w:r>
            <w:r>
              <w:rPr>
                <w:rFonts w:hint="eastAsia"/>
                <w:color w:val="auto"/>
              </w:rPr>
              <w:t>在职</w:t>
            </w:r>
            <w:r>
              <w:rPr>
                <w:color w:val="auto"/>
              </w:rPr>
              <w:t>员工</w:t>
            </w:r>
            <w:r>
              <w:rPr>
                <w:rFonts w:hint="eastAsia"/>
                <w:color w:val="auto"/>
                <w:lang w:val="en-US" w:eastAsia="zh-CN"/>
              </w:rPr>
              <w:t>10</w:t>
            </w:r>
            <w:r>
              <w:rPr>
                <w:color w:val="auto"/>
              </w:rPr>
              <w:t>人，采用</w:t>
            </w:r>
            <w:r>
              <w:rPr>
                <w:rFonts w:hint="eastAsia"/>
                <w:color w:val="auto"/>
                <w:lang w:eastAsia="zh-CN"/>
              </w:rPr>
              <w:t>一</w:t>
            </w:r>
            <w:r>
              <w:rPr>
                <w:color w:val="auto"/>
              </w:rPr>
              <w:t>班制，每班</w:t>
            </w:r>
            <w:r>
              <w:rPr>
                <w:rFonts w:hint="eastAsia"/>
                <w:color w:val="auto"/>
                <w:lang w:val="en-US" w:eastAsia="zh-CN"/>
              </w:rPr>
              <w:t>10</w:t>
            </w:r>
            <w:r>
              <w:rPr>
                <w:color w:val="auto"/>
              </w:rPr>
              <w:t>小时，年工作36</w:t>
            </w:r>
            <w:r>
              <w:rPr>
                <w:rFonts w:hint="eastAsia"/>
                <w:color w:val="auto"/>
                <w:lang w:val="en-US" w:eastAsia="zh-CN"/>
              </w:rPr>
              <w:t>0</w:t>
            </w:r>
            <w:r>
              <w:rPr>
                <w:color w:val="auto"/>
              </w:rPr>
              <w:t>天</w:t>
            </w:r>
            <w:r>
              <w:rPr>
                <w:rFonts w:hint="eastAsia"/>
                <w:color w:val="auto"/>
              </w:rPr>
              <w:t>。</w:t>
            </w:r>
          </w:p>
          <w:p>
            <w:pPr>
              <w:pStyle w:val="5"/>
              <w:spacing w:after="120"/>
              <w:rPr>
                <w:color w:val="auto"/>
              </w:rPr>
            </w:pPr>
            <w:r>
              <w:rPr>
                <w:rFonts w:hint="eastAsia"/>
                <w:color w:val="auto"/>
                <w:lang w:val="en-US" w:eastAsia="zh-CN"/>
              </w:rPr>
              <w:t>8</w:t>
            </w:r>
            <w:r>
              <w:rPr>
                <w:color w:val="auto"/>
              </w:rPr>
              <w:t>、公用工程</w:t>
            </w:r>
          </w:p>
          <w:p>
            <w:pPr>
              <w:pStyle w:val="108"/>
              <w:ind w:firstLine="480"/>
              <w:rPr>
                <w:color w:val="auto"/>
              </w:rPr>
            </w:pPr>
            <w:r>
              <w:rPr>
                <w:color w:val="auto"/>
              </w:rPr>
              <w:t>（1）供电</w:t>
            </w:r>
          </w:p>
          <w:p>
            <w:pPr>
              <w:pStyle w:val="108"/>
              <w:ind w:firstLine="480"/>
              <w:rPr>
                <w:rFonts w:hint="eastAsia"/>
                <w:color w:val="auto"/>
              </w:rPr>
            </w:pPr>
            <w:r>
              <w:rPr>
                <w:rFonts w:hint="eastAsia"/>
                <w:color w:val="auto"/>
              </w:rPr>
              <w:t>本项目用电采用市政电网供电，不设置备用发电机。</w:t>
            </w:r>
          </w:p>
          <w:p>
            <w:pPr>
              <w:pStyle w:val="108"/>
              <w:ind w:firstLine="480"/>
              <w:rPr>
                <w:color w:val="auto"/>
              </w:rPr>
            </w:pPr>
            <w:r>
              <w:rPr>
                <w:color w:val="auto"/>
              </w:rPr>
              <w:t>（2）供水</w:t>
            </w:r>
          </w:p>
          <w:p>
            <w:pPr>
              <w:pStyle w:val="108"/>
              <w:ind w:firstLine="480"/>
              <w:rPr>
                <w:rFonts w:hint="eastAsia"/>
                <w:color w:val="auto"/>
              </w:rPr>
            </w:pPr>
            <w:r>
              <w:rPr>
                <w:rFonts w:hint="eastAsia"/>
                <w:color w:val="auto"/>
              </w:rPr>
              <w:t>本项目以市政自来水为水源，由市政给水管网给水管供水，供水能力能満足本项目的需要。</w:t>
            </w:r>
          </w:p>
          <w:p>
            <w:pPr>
              <w:pStyle w:val="108"/>
              <w:ind w:firstLine="480"/>
              <w:rPr>
                <w:rFonts w:hint="eastAsia"/>
                <w:color w:val="auto"/>
              </w:rPr>
            </w:pPr>
            <w:r>
              <w:rPr>
                <w:rFonts w:hint="eastAsia"/>
                <w:color w:val="auto"/>
              </w:rPr>
              <w:t>项目运营期，其用水主要为生活用水、医疗用水（包含宠物门诊、</w:t>
            </w:r>
            <w:r>
              <w:rPr>
                <w:rFonts w:hint="eastAsia"/>
                <w:color w:val="auto"/>
                <w:lang w:eastAsia="zh-CN"/>
              </w:rPr>
              <w:t>手术</w:t>
            </w:r>
            <w:r>
              <w:rPr>
                <w:rFonts w:hint="eastAsia"/>
                <w:color w:val="auto"/>
              </w:rPr>
              <w:t>及地面清洁用水等）。按照《建筑给水排水设计规范》(GB500520090)及《四川省用水定额》所制定的各项用水定额，并参照同等规模的宠物医院用水量，本项目用水情况具体见下表。</w:t>
            </w:r>
          </w:p>
          <w:p>
            <w:pPr>
              <w:spacing w:line="480" w:lineRule="exact"/>
              <w:ind w:firstLine="422"/>
              <w:jc w:val="center"/>
              <w:rPr>
                <w:b/>
                <w:color w:val="auto"/>
              </w:rPr>
            </w:pPr>
            <w:r>
              <w:rPr>
                <w:b/>
                <w:color w:val="auto"/>
              </w:rPr>
              <w:t>表2-</w:t>
            </w:r>
            <w:r>
              <w:rPr>
                <w:rFonts w:hint="eastAsia"/>
                <w:b/>
                <w:color w:val="auto"/>
                <w:lang w:val="en-US" w:eastAsia="zh-CN"/>
              </w:rPr>
              <w:t>4</w:t>
            </w:r>
            <w:r>
              <w:rPr>
                <w:b/>
                <w:color w:val="auto"/>
              </w:rPr>
              <w:t xml:space="preserve">  项目用水</w:t>
            </w:r>
            <w:r>
              <w:rPr>
                <w:rFonts w:hint="eastAsia"/>
                <w:b/>
                <w:color w:val="auto"/>
              </w:rPr>
              <w:t>及排水</w:t>
            </w:r>
            <w:r>
              <w:rPr>
                <w:b/>
                <w:color w:val="auto"/>
              </w:rPr>
              <w:t>情况汇总表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22"/>
              <w:gridCol w:w="1541"/>
              <w:gridCol w:w="1371"/>
              <w:gridCol w:w="1448"/>
              <w:gridCol w:w="1292"/>
              <w:gridCol w:w="991"/>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jc w:val="center"/>
              </w:trPr>
              <w:tc>
                <w:tcPr>
                  <w:tcW w:w="311" w:type="pct"/>
                  <w:noWrap w:val="0"/>
                  <w:vAlign w:val="center"/>
                </w:tcPr>
                <w:p>
                  <w:pPr>
                    <w:pStyle w:val="124"/>
                    <w:rPr>
                      <w:b w:val="0"/>
                      <w:bCs w:val="0"/>
                      <w:color w:val="auto"/>
                    </w:rPr>
                  </w:pPr>
                  <w:r>
                    <w:rPr>
                      <w:b w:val="0"/>
                      <w:bCs w:val="0"/>
                      <w:color w:val="auto"/>
                    </w:rPr>
                    <w:t>序号</w:t>
                  </w:r>
                </w:p>
              </w:tc>
              <w:tc>
                <w:tcPr>
                  <w:tcW w:w="916" w:type="pct"/>
                  <w:noWrap w:val="0"/>
                  <w:vAlign w:val="center"/>
                </w:tcPr>
                <w:p>
                  <w:pPr>
                    <w:pStyle w:val="124"/>
                    <w:rPr>
                      <w:rFonts w:hint="eastAsia"/>
                      <w:b w:val="0"/>
                      <w:bCs w:val="0"/>
                      <w:color w:val="auto"/>
                    </w:rPr>
                  </w:pPr>
                  <w:r>
                    <w:rPr>
                      <w:rFonts w:hint="eastAsia"/>
                      <w:b w:val="0"/>
                      <w:bCs w:val="0"/>
                      <w:color w:val="auto"/>
                    </w:rPr>
                    <w:t>用水项目</w:t>
                  </w:r>
                </w:p>
              </w:tc>
              <w:tc>
                <w:tcPr>
                  <w:tcW w:w="816" w:type="pct"/>
                  <w:noWrap w:val="0"/>
                  <w:tcMar>
                    <w:left w:w="57" w:type="dxa"/>
                    <w:right w:w="57" w:type="dxa"/>
                  </w:tcMar>
                  <w:vAlign w:val="center"/>
                </w:tcPr>
                <w:p>
                  <w:pPr>
                    <w:pStyle w:val="124"/>
                    <w:rPr>
                      <w:b w:val="0"/>
                      <w:bCs w:val="0"/>
                      <w:color w:val="auto"/>
                    </w:rPr>
                  </w:pPr>
                  <w:r>
                    <w:rPr>
                      <w:b w:val="0"/>
                      <w:bCs w:val="0"/>
                      <w:color w:val="auto"/>
                    </w:rPr>
                    <w:t>规模</w:t>
                  </w:r>
                </w:p>
              </w:tc>
              <w:tc>
                <w:tcPr>
                  <w:tcW w:w="862" w:type="pct"/>
                  <w:noWrap w:val="0"/>
                  <w:tcMar>
                    <w:left w:w="57" w:type="dxa"/>
                    <w:right w:w="57" w:type="dxa"/>
                  </w:tcMar>
                  <w:vAlign w:val="center"/>
                </w:tcPr>
                <w:p>
                  <w:pPr>
                    <w:pStyle w:val="124"/>
                    <w:rPr>
                      <w:b w:val="0"/>
                      <w:bCs w:val="0"/>
                      <w:color w:val="auto"/>
                    </w:rPr>
                  </w:pPr>
                  <w:r>
                    <w:rPr>
                      <w:b w:val="0"/>
                      <w:bCs w:val="0"/>
                      <w:color w:val="auto"/>
                    </w:rPr>
                    <w:t>用水定额</w:t>
                  </w:r>
                </w:p>
              </w:tc>
              <w:tc>
                <w:tcPr>
                  <w:tcW w:w="769" w:type="pct"/>
                  <w:noWrap w:val="0"/>
                  <w:tcMar>
                    <w:left w:w="57" w:type="dxa"/>
                    <w:right w:w="57" w:type="dxa"/>
                  </w:tcMar>
                  <w:vAlign w:val="center"/>
                </w:tcPr>
                <w:p>
                  <w:pPr>
                    <w:pStyle w:val="124"/>
                    <w:rPr>
                      <w:b w:val="0"/>
                      <w:bCs w:val="0"/>
                      <w:color w:val="auto"/>
                    </w:rPr>
                  </w:pPr>
                  <w:r>
                    <w:rPr>
                      <w:b w:val="0"/>
                      <w:bCs w:val="0"/>
                      <w:color w:val="auto"/>
                    </w:rPr>
                    <w:t>用水量</w:t>
                  </w:r>
                </w:p>
                <w:p>
                  <w:pPr>
                    <w:pStyle w:val="124"/>
                    <w:rPr>
                      <w:b w:val="0"/>
                      <w:bCs w:val="0"/>
                      <w:color w:val="auto"/>
                    </w:rPr>
                  </w:pPr>
                  <w:r>
                    <w:rPr>
                      <w:b w:val="0"/>
                      <w:bCs w:val="0"/>
                      <w:color w:val="auto"/>
                    </w:rPr>
                    <w:t>（m</w:t>
                  </w:r>
                  <w:r>
                    <w:rPr>
                      <w:b w:val="0"/>
                      <w:bCs w:val="0"/>
                      <w:color w:val="auto"/>
                      <w:vertAlign w:val="superscript"/>
                    </w:rPr>
                    <w:t>3</w:t>
                  </w:r>
                  <w:r>
                    <w:rPr>
                      <w:b w:val="0"/>
                      <w:bCs w:val="0"/>
                      <w:color w:val="auto"/>
                    </w:rPr>
                    <w:t>/d）</w:t>
                  </w:r>
                </w:p>
              </w:tc>
              <w:tc>
                <w:tcPr>
                  <w:tcW w:w="590" w:type="pct"/>
                  <w:noWrap w:val="0"/>
                  <w:vAlign w:val="center"/>
                </w:tcPr>
                <w:p>
                  <w:pPr>
                    <w:pStyle w:val="124"/>
                    <w:rPr>
                      <w:b w:val="0"/>
                      <w:bCs w:val="0"/>
                      <w:color w:val="auto"/>
                    </w:rPr>
                  </w:pPr>
                  <w:r>
                    <w:rPr>
                      <w:b w:val="0"/>
                      <w:bCs w:val="0"/>
                      <w:color w:val="auto"/>
                    </w:rPr>
                    <w:t>排污系数</w:t>
                  </w:r>
                </w:p>
              </w:tc>
              <w:tc>
                <w:tcPr>
                  <w:tcW w:w="734" w:type="pct"/>
                  <w:noWrap w:val="0"/>
                  <w:vAlign w:val="center"/>
                </w:tcPr>
                <w:p>
                  <w:pPr>
                    <w:pStyle w:val="124"/>
                    <w:rPr>
                      <w:b w:val="0"/>
                      <w:bCs w:val="0"/>
                      <w:color w:val="auto"/>
                    </w:rPr>
                  </w:pPr>
                  <w:r>
                    <w:rPr>
                      <w:b w:val="0"/>
                      <w:bCs w:val="0"/>
                      <w:color w:val="auto"/>
                    </w:rPr>
                    <w:t>排水量</w:t>
                  </w:r>
                </w:p>
                <w:p>
                  <w:pPr>
                    <w:pStyle w:val="124"/>
                    <w:rPr>
                      <w:b w:val="0"/>
                      <w:bCs w:val="0"/>
                      <w:color w:val="auto"/>
                    </w:rPr>
                  </w:pPr>
                  <w:r>
                    <w:rPr>
                      <w:b w:val="0"/>
                      <w:bCs w:val="0"/>
                      <w:color w:val="auto"/>
                    </w:rPr>
                    <w:t>（m</w:t>
                  </w:r>
                  <w:r>
                    <w:rPr>
                      <w:b w:val="0"/>
                      <w:bCs w:val="0"/>
                      <w:color w:val="auto"/>
                      <w:vertAlign w:val="superscript"/>
                    </w:rPr>
                    <w:t>3</w:t>
                  </w:r>
                  <w:r>
                    <w:rPr>
                      <w:b w:val="0"/>
                      <w:bCs w:val="0"/>
                      <w:color w:val="auto"/>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 w:hRule="atLeast"/>
                <w:jc w:val="center"/>
              </w:trPr>
              <w:tc>
                <w:tcPr>
                  <w:tcW w:w="311" w:type="pct"/>
                  <w:noWrap w:val="0"/>
                  <w:vAlign w:val="center"/>
                </w:tcPr>
                <w:p>
                  <w:pPr>
                    <w:pStyle w:val="124"/>
                    <w:rPr>
                      <w:color w:val="auto"/>
                    </w:rPr>
                  </w:pPr>
                  <w:r>
                    <w:rPr>
                      <w:color w:val="auto"/>
                    </w:rPr>
                    <w:t>1</w:t>
                  </w:r>
                </w:p>
              </w:tc>
              <w:tc>
                <w:tcPr>
                  <w:tcW w:w="916" w:type="pct"/>
                  <w:noWrap w:val="0"/>
                  <w:vAlign w:val="center"/>
                </w:tcPr>
                <w:p>
                  <w:pPr>
                    <w:pStyle w:val="124"/>
                    <w:rPr>
                      <w:rFonts w:hint="eastAsia"/>
                      <w:color w:val="auto"/>
                    </w:rPr>
                  </w:pPr>
                  <w:r>
                    <w:rPr>
                      <w:rFonts w:hint="eastAsia"/>
                      <w:color w:val="auto"/>
                    </w:rPr>
                    <w:t>职工生活用水</w:t>
                  </w:r>
                </w:p>
              </w:tc>
              <w:tc>
                <w:tcPr>
                  <w:tcW w:w="816" w:type="pct"/>
                  <w:noWrap w:val="0"/>
                  <w:tcMar>
                    <w:left w:w="57" w:type="dxa"/>
                    <w:right w:w="57" w:type="dxa"/>
                  </w:tcMar>
                  <w:vAlign w:val="center"/>
                </w:tcPr>
                <w:p>
                  <w:pPr>
                    <w:pStyle w:val="124"/>
                    <w:rPr>
                      <w:rFonts w:hint="eastAsia"/>
                      <w:color w:val="auto"/>
                    </w:rPr>
                  </w:pPr>
                  <w:r>
                    <w:rPr>
                      <w:rFonts w:hint="eastAsia"/>
                      <w:color w:val="auto"/>
                      <w:lang w:val="en-US" w:eastAsia="zh-CN"/>
                    </w:rPr>
                    <w:t>10</w:t>
                  </w:r>
                  <w:r>
                    <w:rPr>
                      <w:rFonts w:hint="eastAsia"/>
                      <w:color w:val="auto"/>
                    </w:rPr>
                    <w:t>人</w:t>
                  </w:r>
                </w:p>
              </w:tc>
              <w:tc>
                <w:tcPr>
                  <w:tcW w:w="862" w:type="pct"/>
                  <w:noWrap w:val="0"/>
                  <w:tcMar>
                    <w:left w:w="57" w:type="dxa"/>
                    <w:right w:w="57" w:type="dxa"/>
                  </w:tcMar>
                  <w:vAlign w:val="center"/>
                </w:tcPr>
                <w:p>
                  <w:pPr>
                    <w:pStyle w:val="124"/>
                    <w:rPr>
                      <w:color w:val="auto"/>
                    </w:rPr>
                  </w:pPr>
                  <w:r>
                    <w:rPr>
                      <w:rFonts w:hint="eastAsia"/>
                      <w:color w:val="auto"/>
                    </w:rPr>
                    <w:t>50L/人·d</w:t>
                  </w:r>
                </w:p>
              </w:tc>
              <w:tc>
                <w:tcPr>
                  <w:tcW w:w="769" w:type="pct"/>
                  <w:noWrap w:val="0"/>
                  <w:tcMar>
                    <w:left w:w="57" w:type="dxa"/>
                    <w:right w:w="57" w:type="dxa"/>
                  </w:tcMar>
                  <w:vAlign w:val="center"/>
                </w:tcPr>
                <w:p>
                  <w:pPr>
                    <w:pStyle w:val="124"/>
                    <w:rPr>
                      <w:rFonts w:hint="eastAsia" w:eastAsia="宋体"/>
                      <w:color w:val="auto"/>
                      <w:lang w:eastAsia="zh-CN"/>
                    </w:rPr>
                  </w:pPr>
                  <w:r>
                    <w:rPr>
                      <w:rFonts w:hint="eastAsia"/>
                      <w:color w:val="auto"/>
                    </w:rPr>
                    <w:t>0.</w:t>
                  </w:r>
                  <w:r>
                    <w:rPr>
                      <w:rFonts w:hint="eastAsia"/>
                      <w:color w:val="auto"/>
                      <w:lang w:val="en-US" w:eastAsia="zh-CN"/>
                    </w:rPr>
                    <w:t>5</w:t>
                  </w:r>
                </w:p>
              </w:tc>
              <w:tc>
                <w:tcPr>
                  <w:tcW w:w="590" w:type="pct"/>
                  <w:vMerge w:val="restart"/>
                  <w:noWrap w:val="0"/>
                  <w:vAlign w:val="center"/>
                </w:tcPr>
                <w:p>
                  <w:pPr>
                    <w:pStyle w:val="124"/>
                    <w:rPr>
                      <w:color w:val="auto"/>
                    </w:rPr>
                  </w:pPr>
                  <w:r>
                    <w:rPr>
                      <w:rFonts w:hint="eastAsia"/>
                      <w:color w:val="auto"/>
                    </w:rPr>
                    <w:t>0.8</w:t>
                  </w:r>
                </w:p>
              </w:tc>
              <w:tc>
                <w:tcPr>
                  <w:tcW w:w="734" w:type="pct"/>
                  <w:noWrap w:val="0"/>
                  <w:vAlign w:val="center"/>
                </w:tcPr>
                <w:p>
                  <w:pPr>
                    <w:pStyle w:val="124"/>
                    <w:rPr>
                      <w:rFonts w:hint="eastAsia" w:eastAsia="宋体"/>
                      <w:color w:val="auto"/>
                      <w:lang w:eastAsia="zh-CN"/>
                    </w:rPr>
                  </w:pPr>
                  <w:r>
                    <w:rPr>
                      <w:rFonts w:hint="eastAsia"/>
                      <w:color w:val="auto"/>
                    </w:rPr>
                    <w:t>0.</w:t>
                  </w:r>
                  <w:r>
                    <w:rPr>
                      <w:rFonts w:hint="eastAsia"/>
                      <w:color w:val="auto"/>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 w:hRule="atLeast"/>
                <w:jc w:val="center"/>
              </w:trPr>
              <w:tc>
                <w:tcPr>
                  <w:tcW w:w="311" w:type="pct"/>
                  <w:noWrap w:val="0"/>
                  <w:vAlign w:val="center"/>
                </w:tcPr>
                <w:p>
                  <w:pPr>
                    <w:pStyle w:val="124"/>
                    <w:rPr>
                      <w:rFonts w:hint="eastAsia"/>
                      <w:color w:val="auto"/>
                    </w:rPr>
                  </w:pPr>
                  <w:r>
                    <w:rPr>
                      <w:rFonts w:hint="eastAsia"/>
                      <w:color w:val="auto"/>
                    </w:rPr>
                    <w:t>2</w:t>
                  </w:r>
                </w:p>
              </w:tc>
              <w:tc>
                <w:tcPr>
                  <w:tcW w:w="916" w:type="pct"/>
                  <w:noWrap w:val="0"/>
                  <w:vAlign w:val="center"/>
                </w:tcPr>
                <w:p>
                  <w:pPr>
                    <w:pStyle w:val="124"/>
                    <w:rPr>
                      <w:rFonts w:hint="eastAsia"/>
                      <w:color w:val="auto"/>
                    </w:rPr>
                  </w:pPr>
                  <w:r>
                    <w:rPr>
                      <w:rFonts w:hint="eastAsia"/>
                      <w:color w:val="auto"/>
                    </w:rPr>
                    <w:t>顾客生活用水</w:t>
                  </w:r>
                </w:p>
              </w:tc>
              <w:tc>
                <w:tcPr>
                  <w:tcW w:w="816" w:type="pct"/>
                  <w:noWrap w:val="0"/>
                  <w:tcMar>
                    <w:left w:w="57" w:type="dxa"/>
                    <w:right w:w="57" w:type="dxa"/>
                  </w:tcMar>
                  <w:vAlign w:val="center"/>
                </w:tcPr>
                <w:p>
                  <w:pPr>
                    <w:pStyle w:val="124"/>
                    <w:rPr>
                      <w:color w:val="auto"/>
                    </w:rPr>
                  </w:pPr>
                  <w:r>
                    <w:rPr>
                      <w:rFonts w:hint="eastAsia"/>
                      <w:color w:val="auto"/>
                      <w:lang w:val="en-US" w:eastAsia="zh-CN"/>
                    </w:rPr>
                    <w:t>2</w:t>
                  </w:r>
                  <w:r>
                    <w:rPr>
                      <w:rFonts w:hint="eastAsia"/>
                      <w:color w:val="auto"/>
                    </w:rPr>
                    <w:t>0人</w:t>
                  </w:r>
                </w:p>
              </w:tc>
              <w:tc>
                <w:tcPr>
                  <w:tcW w:w="862" w:type="pct"/>
                  <w:noWrap w:val="0"/>
                  <w:tcMar>
                    <w:left w:w="57" w:type="dxa"/>
                    <w:right w:w="57" w:type="dxa"/>
                  </w:tcMar>
                  <w:vAlign w:val="center"/>
                </w:tcPr>
                <w:p>
                  <w:pPr>
                    <w:pStyle w:val="124"/>
                    <w:rPr>
                      <w:color w:val="auto"/>
                    </w:rPr>
                  </w:pPr>
                  <w:r>
                    <w:rPr>
                      <w:rFonts w:hint="eastAsia"/>
                      <w:color w:val="auto"/>
                    </w:rPr>
                    <w:t>20L/人·d</w:t>
                  </w:r>
                </w:p>
              </w:tc>
              <w:tc>
                <w:tcPr>
                  <w:tcW w:w="769" w:type="pct"/>
                  <w:noWrap w:val="0"/>
                  <w:tcMar>
                    <w:left w:w="57" w:type="dxa"/>
                    <w:right w:w="57" w:type="dxa"/>
                  </w:tcMar>
                  <w:vAlign w:val="center"/>
                </w:tcPr>
                <w:p>
                  <w:pPr>
                    <w:pStyle w:val="124"/>
                    <w:rPr>
                      <w:rFonts w:hint="default"/>
                      <w:color w:val="auto"/>
                      <w:lang w:val="en-US" w:eastAsia="zh-CN"/>
                    </w:rPr>
                  </w:pPr>
                  <w:r>
                    <w:rPr>
                      <w:rFonts w:hint="eastAsia"/>
                      <w:color w:val="auto"/>
                      <w:lang w:val="en-US" w:eastAsia="zh-CN"/>
                    </w:rPr>
                    <w:t>0.4</w:t>
                  </w:r>
                </w:p>
              </w:tc>
              <w:tc>
                <w:tcPr>
                  <w:tcW w:w="590" w:type="pct"/>
                  <w:vMerge w:val="continue"/>
                  <w:noWrap w:val="0"/>
                  <w:vAlign w:val="center"/>
                </w:tcPr>
                <w:p>
                  <w:pPr>
                    <w:pStyle w:val="124"/>
                    <w:rPr>
                      <w:rFonts w:hint="eastAsia"/>
                      <w:color w:val="auto"/>
                    </w:rPr>
                  </w:pPr>
                </w:p>
              </w:tc>
              <w:tc>
                <w:tcPr>
                  <w:tcW w:w="734" w:type="pct"/>
                  <w:noWrap w:val="0"/>
                  <w:vAlign w:val="center"/>
                </w:tcPr>
                <w:p>
                  <w:pPr>
                    <w:pStyle w:val="124"/>
                    <w:rPr>
                      <w:rFonts w:hint="default" w:eastAsia="宋体"/>
                      <w:color w:val="auto"/>
                      <w:lang w:val="en-US" w:eastAsia="zh-CN"/>
                    </w:rPr>
                  </w:pPr>
                  <w:r>
                    <w:rPr>
                      <w:rFonts w:hint="eastAsia"/>
                      <w:color w:val="auto"/>
                    </w:rPr>
                    <w:t>0.</w:t>
                  </w:r>
                  <w:r>
                    <w:rPr>
                      <w:rFonts w:hint="eastAsia"/>
                      <w:color w:val="auto"/>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 w:hRule="atLeast"/>
                <w:jc w:val="center"/>
              </w:trPr>
              <w:tc>
                <w:tcPr>
                  <w:tcW w:w="311" w:type="pct"/>
                  <w:noWrap w:val="0"/>
                  <w:vAlign w:val="center"/>
                </w:tcPr>
                <w:p>
                  <w:pPr>
                    <w:pStyle w:val="124"/>
                    <w:rPr>
                      <w:rFonts w:hint="eastAsia"/>
                      <w:color w:val="auto"/>
                    </w:rPr>
                  </w:pPr>
                  <w:r>
                    <w:rPr>
                      <w:rFonts w:hint="eastAsia"/>
                      <w:color w:val="auto"/>
                    </w:rPr>
                    <w:t>3</w:t>
                  </w:r>
                </w:p>
              </w:tc>
              <w:tc>
                <w:tcPr>
                  <w:tcW w:w="916" w:type="pct"/>
                  <w:noWrap w:val="0"/>
                  <w:vAlign w:val="center"/>
                </w:tcPr>
                <w:p>
                  <w:pPr>
                    <w:pStyle w:val="124"/>
                    <w:rPr>
                      <w:rFonts w:hint="eastAsia"/>
                      <w:color w:val="auto"/>
                    </w:rPr>
                  </w:pPr>
                  <w:r>
                    <w:rPr>
                      <w:rFonts w:hint="eastAsia"/>
                      <w:color w:val="auto"/>
                    </w:rPr>
                    <w:t>宠物门诊用水</w:t>
                  </w:r>
                </w:p>
              </w:tc>
              <w:tc>
                <w:tcPr>
                  <w:tcW w:w="816" w:type="pct"/>
                  <w:noWrap w:val="0"/>
                  <w:tcMar>
                    <w:left w:w="57" w:type="dxa"/>
                    <w:right w:w="57" w:type="dxa"/>
                  </w:tcMar>
                  <w:vAlign w:val="center"/>
                </w:tcPr>
                <w:p>
                  <w:pPr>
                    <w:pStyle w:val="124"/>
                    <w:rPr>
                      <w:color w:val="auto"/>
                    </w:rPr>
                  </w:pPr>
                  <w:r>
                    <w:rPr>
                      <w:rFonts w:hint="eastAsia"/>
                      <w:color w:val="auto"/>
                      <w:lang w:val="en-US" w:eastAsia="zh-CN"/>
                    </w:rPr>
                    <w:t>2</w:t>
                  </w:r>
                  <w:r>
                    <w:rPr>
                      <w:rFonts w:hint="eastAsia"/>
                      <w:color w:val="auto"/>
                    </w:rPr>
                    <w:t>0只</w:t>
                  </w:r>
                </w:p>
              </w:tc>
              <w:tc>
                <w:tcPr>
                  <w:tcW w:w="862" w:type="pct"/>
                  <w:noWrap w:val="0"/>
                  <w:tcMar>
                    <w:left w:w="57" w:type="dxa"/>
                    <w:right w:w="57" w:type="dxa"/>
                  </w:tcMar>
                  <w:vAlign w:val="center"/>
                </w:tcPr>
                <w:p>
                  <w:pPr>
                    <w:pStyle w:val="176"/>
                    <w:rPr>
                      <w:color w:val="auto"/>
                    </w:rPr>
                  </w:pPr>
                  <w:r>
                    <w:rPr>
                      <w:rFonts w:hint="eastAsia"/>
                      <w:color w:val="auto"/>
                      <w:lang w:val="en-US" w:eastAsia="zh-CN"/>
                    </w:rPr>
                    <w:t>2</w:t>
                  </w:r>
                  <w:r>
                    <w:rPr>
                      <w:rFonts w:hint="eastAsia"/>
                      <w:color w:val="auto"/>
                    </w:rPr>
                    <w:t>0L/只·d</w:t>
                  </w:r>
                </w:p>
              </w:tc>
              <w:tc>
                <w:tcPr>
                  <w:tcW w:w="769" w:type="pct"/>
                  <w:noWrap w:val="0"/>
                  <w:tcMar>
                    <w:left w:w="57" w:type="dxa"/>
                    <w:right w:w="57" w:type="dxa"/>
                  </w:tcMar>
                  <w:vAlign w:val="center"/>
                </w:tcPr>
                <w:p>
                  <w:pPr>
                    <w:pStyle w:val="124"/>
                    <w:rPr>
                      <w:rFonts w:hint="default" w:eastAsia="宋体"/>
                      <w:color w:val="auto"/>
                      <w:lang w:val="en-US" w:eastAsia="zh-CN"/>
                    </w:rPr>
                  </w:pPr>
                  <w:r>
                    <w:rPr>
                      <w:rFonts w:hint="eastAsia"/>
                      <w:color w:val="auto"/>
                      <w:lang w:val="en-US" w:eastAsia="zh-CN"/>
                    </w:rPr>
                    <w:t>0.4</w:t>
                  </w:r>
                </w:p>
              </w:tc>
              <w:tc>
                <w:tcPr>
                  <w:tcW w:w="590" w:type="pct"/>
                  <w:vMerge w:val="continue"/>
                  <w:noWrap w:val="0"/>
                  <w:vAlign w:val="center"/>
                </w:tcPr>
                <w:p>
                  <w:pPr>
                    <w:pStyle w:val="124"/>
                    <w:rPr>
                      <w:color w:val="auto"/>
                    </w:rPr>
                  </w:pPr>
                </w:p>
              </w:tc>
              <w:tc>
                <w:tcPr>
                  <w:tcW w:w="734" w:type="pct"/>
                  <w:noWrap w:val="0"/>
                  <w:vAlign w:val="center"/>
                </w:tcPr>
                <w:p>
                  <w:pPr>
                    <w:pStyle w:val="124"/>
                    <w:rPr>
                      <w:rFonts w:hint="default" w:eastAsia="宋体"/>
                      <w:color w:val="auto"/>
                      <w:lang w:val="en-US" w:eastAsia="zh-CN"/>
                    </w:rPr>
                  </w:pPr>
                  <w:r>
                    <w:rPr>
                      <w:rFonts w:hint="eastAsia"/>
                      <w:color w:val="auto"/>
                    </w:rPr>
                    <w:t>0.</w:t>
                  </w:r>
                  <w:r>
                    <w:rPr>
                      <w:rFonts w:hint="eastAsia"/>
                      <w:color w:val="auto"/>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 w:hRule="atLeast"/>
                <w:jc w:val="center"/>
              </w:trPr>
              <w:tc>
                <w:tcPr>
                  <w:tcW w:w="311" w:type="pct"/>
                  <w:noWrap w:val="0"/>
                  <w:vAlign w:val="center"/>
                </w:tcPr>
                <w:p>
                  <w:pPr>
                    <w:pStyle w:val="124"/>
                    <w:rPr>
                      <w:rFonts w:hint="eastAsia"/>
                      <w:color w:val="auto"/>
                    </w:rPr>
                  </w:pPr>
                  <w:r>
                    <w:rPr>
                      <w:rFonts w:hint="eastAsia"/>
                      <w:color w:val="auto"/>
                    </w:rPr>
                    <w:t>4</w:t>
                  </w:r>
                </w:p>
              </w:tc>
              <w:tc>
                <w:tcPr>
                  <w:tcW w:w="916" w:type="pct"/>
                  <w:noWrap w:val="0"/>
                  <w:vAlign w:val="center"/>
                </w:tcPr>
                <w:p>
                  <w:pPr>
                    <w:pStyle w:val="124"/>
                    <w:rPr>
                      <w:rFonts w:hint="eastAsia"/>
                      <w:color w:val="auto"/>
                    </w:rPr>
                  </w:pPr>
                  <w:r>
                    <w:rPr>
                      <w:rFonts w:hint="eastAsia"/>
                      <w:color w:val="auto"/>
                    </w:rPr>
                    <w:t>宠物</w:t>
                  </w:r>
                  <w:r>
                    <w:rPr>
                      <w:rFonts w:hint="eastAsia"/>
                      <w:color w:val="auto"/>
                      <w:lang w:eastAsia="zh-CN"/>
                    </w:rPr>
                    <w:t>手术</w:t>
                  </w:r>
                  <w:r>
                    <w:rPr>
                      <w:rFonts w:hint="eastAsia"/>
                      <w:color w:val="auto"/>
                    </w:rPr>
                    <w:t>用水</w:t>
                  </w:r>
                </w:p>
              </w:tc>
              <w:tc>
                <w:tcPr>
                  <w:tcW w:w="816" w:type="pct"/>
                  <w:noWrap w:val="0"/>
                  <w:tcMar>
                    <w:left w:w="57" w:type="dxa"/>
                    <w:right w:w="57" w:type="dxa"/>
                  </w:tcMar>
                  <w:vAlign w:val="center"/>
                </w:tcPr>
                <w:p>
                  <w:pPr>
                    <w:pStyle w:val="124"/>
                    <w:rPr>
                      <w:color w:val="auto"/>
                    </w:rPr>
                  </w:pPr>
                  <w:r>
                    <w:rPr>
                      <w:rFonts w:hint="eastAsia"/>
                      <w:color w:val="auto"/>
                      <w:lang w:val="en-US" w:eastAsia="zh-CN"/>
                    </w:rPr>
                    <w:t>20</w:t>
                  </w:r>
                  <w:r>
                    <w:rPr>
                      <w:rFonts w:hint="eastAsia"/>
                      <w:color w:val="auto"/>
                    </w:rPr>
                    <w:t>只</w:t>
                  </w:r>
                </w:p>
              </w:tc>
              <w:tc>
                <w:tcPr>
                  <w:tcW w:w="862" w:type="pct"/>
                  <w:noWrap w:val="0"/>
                  <w:tcMar>
                    <w:left w:w="57" w:type="dxa"/>
                    <w:right w:w="57" w:type="dxa"/>
                  </w:tcMar>
                  <w:vAlign w:val="center"/>
                </w:tcPr>
                <w:p>
                  <w:pPr>
                    <w:pStyle w:val="176"/>
                    <w:rPr>
                      <w:color w:val="auto"/>
                    </w:rPr>
                  </w:pPr>
                  <w:r>
                    <w:rPr>
                      <w:rFonts w:hint="eastAsia"/>
                      <w:color w:val="auto"/>
                    </w:rPr>
                    <w:t>50L/只·d</w:t>
                  </w:r>
                </w:p>
              </w:tc>
              <w:tc>
                <w:tcPr>
                  <w:tcW w:w="769" w:type="pct"/>
                  <w:noWrap w:val="0"/>
                  <w:tcMar>
                    <w:left w:w="57" w:type="dxa"/>
                    <w:right w:w="57" w:type="dxa"/>
                  </w:tcMar>
                  <w:vAlign w:val="center"/>
                </w:tcPr>
                <w:p>
                  <w:pPr>
                    <w:pStyle w:val="124"/>
                    <w:rPr>
                      <w:rFonts w:hint="default" w:eastAsia="宋体"/>
                      <w:color w:val="auto"/>
                      <w:lang w:val="en-US" w:eastAsia="zh-CN"/>
                    </w:rPr>
                  </w:pPr>
                  <w:r>
                    <w:rPr>
                      <w:rFonts w:hint="eastAsia"/>
                      <w:color w:val="auto"/>
                      <w:lang w:val="en-US" w:eastAsia="zh-CN"/>
                    </w:rPr>
                    <w:t>1.0</w:t>
                  </w:r>
                </w:p>
              </w:tc>
              <w:tc>
                <w:tcPr>
                  <w:tcW w:w="590" w:type="pct"/>
                  <w:vMerge w:val="continue"/>
                  <w:noWrap w:val="0"/>
                  <w:vAlign w:val="center"/>
                </w:tcPr>
                <w:p>
                  <w:pPr>
                    <w:pStyle w:val="124"/>
                    <w:rPr>
                      <w:color w:val="auto"/>
                    </w:rPr>
                  </w:pPr>
                </w:p>
              </w:tc>
              <w:tc>
                <w:tcPr>
                  <w:tcW w:w="734" w:type="pct"/>
                  <w:noWrap w:val="0"/>
                  <w:vAlign w:val="center"/>
                </w:tcPr>
                <w:p>
                  <w:pPr>
                    <w:pStyle w:val="124"/>
                    <w:rPr>
                      <w:rFonts w:hint="default"/>
                      <w:color w:val="auto"/>
                      <w:lang w:val="en-US"/>
                    </w:rPr>
                  </w:pPr>
                  <w:r>
                    <w:rPr>
                      <w:rFonts w:hint="eastAsia"/>
                      <w:color w:val="auto"/>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 w:hRule="atLeast"/>
                <w:jc w:val="center"/>
              </w:trPr>
              <w:tc>
                <w:tcPr>
                  <w:tcW w:w="311" w:type="pct"/>
                  <w:noWrap w:val="0"/>
                  <w:vAlign w:val="center"/>
                </w:tcPr>
                <w:p>
                  <w:pPr>
                    <w:pStyle w:val="124"/>
                    <w:rPr>
                      <w:rFonts w:hint="eastAsia"/>
                      <w:color w:val="auto"/>
                    </w:rPr>
                  </w:pPr>
                  <w:r>
                    <w:rPr>
                      <w:rFonts w:hint="eastAsia"/>
                      <w:color w:val="auto"/>
                    </w:rPr>
                    <w:t>5</w:t>
                  </w:r>
                </w:p>
              </w:tc>
              <w:tc>
                <w:tcPr>
                  <w:tcW w:w="916" w:type="pct"/>
                  <w:noWrap w:val="0"/>
                  <w:vAlign w:val="center"/>
                </w:tcPr>
                <w:p>
                  <w:pPr>
                    <w:pStyle w:val="124"/>
                    <w:rPr>
                      <w:rFonts w:hint="eastAsia"/>
                      <w:color w:val="auto"/>
                    </w:rPr>
                  </w:pPr>
                  <w:r>
                    <w:rPr>
                      <w:rFonts w:hint="eastAsia"/>
                      <w:color w:val="auto"/>
                    </w:rPr>
                    <w:t>地面清洁用水</w:t>
                  </w:r>
                </w:p>
              </w:tc>
              <w:tc>
                <w:tcPr>
                  <w:tcW w:w="816" w:type="pct"/>
                  <w:noWrap w:val="0"/>
                  <w:tcMar>
                    <w:left w:w="57" w:type="dxa"/>
                    <w:right w:w="57" w:type="dxa"/>
                  </w:tcMar>
                  <w:vAlign w:val="center"/>
                </w:tcPr>
                <w:p>
                  <w:pPr>
                    <w:pStyle w:val="124"/>
                    <w:rPr>
                      <w:rFonts w:hint="eastAsia"/>
                      <w:color w:val="auto"/>
                    </w:rPr>
                  </w:pPr>
                  <w:r>
                    <w:rPr>
                      <w:rFonts w:hint="eastAsia"/>
                      <w:color w:val="auto"/>
                    </w:rPr>
                    <w:t>/</w:t>
                  </w:r>
                </w:p>
              </w:tc>
              <w:tc>
                <w:tcPr>
                  <w:tcW w:w="862" w:type="pct"/>
                  <w:noWrap w:val="0"/>
                  <w:tcMar>
                    <w:left w:w="57" w:type="dxa"/>
                    <w:right w:w="57" w:type="dxa"/>
                  </w:tcMar>
                  <w:vAlign w:val="center"/>
                </w:tcPr>
                <w:p>
                  <w:pPr>
                    <w:pStyle w:val="124"/>
                    <w:rPr>
                      <w:rFonts w:hint="eastAsia"/>
                      <w:color w:val="auto"/>
                    </w:rPr>
                  </w:pPr>
                  <w:r>
                    <w:rPr>
                      <w:rFonts w:hint="eastAsia"/>
                      <w:color w:val="auto"/>
                    </w:rPr>
                    <w:t>/</w:t>
                  </w:r>
                </w:p>
              </w:tc>
              <w:tc>
                <w:tcPr>
                  <w:tcW w:w="769" w:type="pct"/>
                  <w:noWrap w:val="0"/>
                  <w:tcMar>
                    <w:left w:w="57" w:type="dxa"/>
                    <w:right w:w="57" w:type="dxa"/>
                  </w:tcMar>
                  <w:vAlign w:val="center"/>
                </w:tcPr>
                <w:p>
                  <w:pPr>
                    <w:pStyle w:val="124"/>
                    <w:rPr>
                      <w:rFonts w:hint="default" w:eastAsia="宋体"/>
                      <w:color w:val="auto"/>
                      <w:lang w:val="en-US" w:eastAsia="zh-CN"/>
                    </w:rPr>
                  </w:pPr>
                  <w:r>
                    <w:rPr>
                      <w:rFonts w:hint="eastAsia"/>
                      <w:color w:val="auto"/>
                      <w:lang w:val="en-US" w:eastAsia="zh-CN"/>
                    </w:rPr>
                    <w:t>0.2</w:t>
                  </w:r>
                </w:p>
              </w:tc>
              <w:tc>
                <w:tcPr>
                  <w:tcW w:w="590" w:type="pct"/>
                  <w:vMerge w:val="continue"/>
                  <w:noWrap w:val="0"/>
                  <w:vAlign w:val="center"/>
                </w:tcPr>
                <w:p>
                  <w:pPr>
                    <w:pStyle w:val="124"/>
                    <w:rPr>
                      <w:color w:val="auto"/>
                    </w:rPr>
                  </w:pPr>
                </w:p>
              </w:tc>
              <w:tc>
                <w:tcPr>
                  <w:tcW w:w="734" w:type="pct"/>
                  <w:noWrap w:val="0"/>
                  <w:vAlign w:val="center"/>
                </w:tcPr>
                <w:p>
                  <w:pPr>
                    <w:pStyle w:val="124"/>
                    <w:rPr>
                      <w:rFonts w:hint="default" w:eastAsia="宋体"/>
                      <w:color w:val="auto"/>
                      <w:lang w:val="en-US" w:eastAsia="zh-CN"/>
                    </w:rPr>
                  </w:pPr>
                  <w:r>
                    <w:rPr>
                      <w:rFonts w:hint="eastAsia"/>
                      <w:color w:val="auto"/>
                    </w:rPr>
                    <w:t>0.</w:t>
                  </w:r>
                  <w:r>
                    <w:rPr>
                      <w:rFonts w:hint="eastAsia"/>
                      <w:color w:val="auto"/>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 w:hRule="atLeast"/>
                <w:jc w:val="center"/>
              </w:trPr>
              <w:tc>
                <w:tcPr>
                  <w:tcW w:w="1228" w:type="pct"/>
                  <w:gridSpan w:val="2"/>
                  <w:noWrap w:val="0"/>
                  <w:vAlign w:val="center"/>
                </w:tcPr>
                <w:p>
                  <w:pPr>
                    <w:pStyle w:val="124"/>
                    <w:rPr>
                      <w:rFonts w:hint="eastAsia"/>
                      <w:color w:val="auto"/>
                    </w:rPr>
                  </w:pPr>
                  <w:r>
                    <w:rPr>
                      <w:rFonts w:hint="eastAsia"/>
                      <w:color w:val="auto"/>
                    </w:rPr>
                    <w:t>未预见用水</w:t>
                  </w:r>
                </w:p>
              </w:tc>
              <w:tc>
                <w:tcPr>
                  <w:tcW w:w="1678" w:type="pct"/>
                  <w:gridSpan w:val="2"/>
                  <w:noWrap w:val="0"/>
                  <w:tcMar>
                    <w:left w:w="57" w:type="dxa"/>
                    <w:right w:w="57" w:type="dxa"/>
                  </w:tcMar>
                  <w:vAlign w:val="center"/>
                </w:tcPr>
                <w:p>
                  <w:pPr>
                    <w:pStyle w:val="124"/>
                    <w:rPr>
                      <w:rFonts w:hint="eastAsia"/>
                      <w:color w:val="auto"/>
                    </w:rPr>
                  </w:pPr>
                  <w:r>
                    <w:rPr>
                      <w:rFonts w:hint="eastAsia"/>
                      <w:color w:val="auto"/>
                    </w:rPr>
                    <w:t>按总用水量 10%计</w:t>
                  </w:r>
                </w:p>
              </w:tc>
              <w:tc>
                <w:tcPr>
                  <w:tcW w:w="769" w:type="pct"/>
                  <w:noWrap w:val="0"/>
                  <w:tcMar>
                    <w:left w:w="57" w:type="dxa"/>
                    <w:right w:w="57" w:type="dxa"/>
                  </w:tcMar>
                  <w:vAlign w:val="center"/>
                </w:tcPr>
                <w:p>
                  <w:pPr>
                    <w:pStyle w:val="124"/>
                    <w:rPr>
                      <w:rFonts w:hint="default" w:eastAsia="宋体"/>
                      <w:color w:val="auto"/>
                      <w:lang w:val="en-US" w:eastAsia="zh-CN"/>
                    </w:rPr>
                  </w:pPr>
                  <w:r>
                    <w:rPr>
                      <w:rFonts w:hint="eastAsia"/>
                      <w:color w:val="auto"/>
                      <w:lang w:val="en-US" w:eastAsia="zh-CN"/>
                    </w:rPr>
                    <w:t>0.25</w:t>
                  </w:r>
                </w:p>
              </w:tc>
              <w:tc>
                <w:tcPr>
                  <w:tcW w:w="590" w:type="pct"/>
                  <w:noWrap w:val="0"/>
                  <w:vAlign w:val="center"/>
                </w:tcPr>
                <w:p>
                  <w:pPr>
                    <w:pStyle w:val="124"/>
                    <w:rPr>
                      <w:rFonts w:hint="eastAsia"/>
                      <w:color w:val="auto"/>
                    </w:rPr>
                  </w:pPr>
                  <w:r>
                    <w:rPr>
                      <w:rFonts w:hint="eastAsia"/>
                      <w:color w:val="auto"/>
                    </w:rPr>
                    <w:t>/</w:t>
                  </w:r>
                </w:p>
              </w:tc>
              <w:tc>
                <w:tcPr>
                  <w:tcW w:w="734" w:type="pct"/>
                  <w:noWrap w:val="0"/>
                  <w:vAlign w:val="center"/>
                </w:tcPr>
                <w:p>
                  <w:pPr>
                    <w:pStyle w:val="124"/>
                    <w:rPr>
                      <w:rFonts w:hint="eastAsia"/>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 w:hRule="atLeast"/>
                <w:jc w:val="center"/>
              </w:trPr>
              <w:tc>
                <w:tcPr>
                  <w:tcW w:w="2906" w:type="pct"/>
                  <w:gridSpan w:val="4"/>
                  <w:noWrap w:val="0"/>
                  <w:vAlign w:val="center"/>
                </w:tcPr>
                <w:p>
                  <w:pPr>
                    <w:pStyle w:val="124"/>
                    <w:rPr>
                      <w:color w:val="auto"/>
                    </w:rPr>
                  </w:pPr>
                  <w:r>
                    <w:rPr>
                      <w:color w:val="auto"/>
                    </w:rPr>
                    <w:t>合计</w:t>
                  </w:r>
                </w:p>
              </w:tc>
              <w:tc>
                <w:tcPr>
                  <w:tcW w:w="769" w:type="pct"/>
                  <w:noWrap w:val="0"/>
                  <w:tcMar>
                    <w:left w:w="57" w:type="dxa"/>
                    <w:right w:w="57" w:type="dxa"/>
                  </w:tcMar>
                  <w:vAlign w:val="center"/>
                </w:tcPr>
                <w:p>
                  <w:pPr>
                    <w:pStyle w:val="124"/>
                    <w:rPr>
                      <w:rFonts w:hint="default" w:eastAsia="宋体"/>
                      <w:color w:val="auto"/>
                      <w:lang w:val="en-US" w:eastAsia="zh-CN"/>
                    </w:rPr>
                  </w:pPr>
                  <w:r>
                    <w:rPr>
                      <w:rFonts w:hint="eastAsia"/>
                      <w:color w:val="auto"/>
                      <w:lang w:val="en-US" w:eastAsia="zh-CN"/>
                    </w:rPr>
                    <w:t>2.75</w:t>
                  </w:r>
                </w:p>
              </w:tc>
              <w:tc>
                <w:tcPr>
                  <w:tcW w:w="590" w:type="pct"/>
                  <w:noWrap w:val="0"/>
                  <w:vAlign w:val="center"/>
                </w:tcPr>
                <w:p>
                  <w:pPr>
                    <w:pStyle w:val="124"/>
                    <w:rPr>
                      <w:rFonts w:hint="eastAsia"/>
                      <w:color w:val="auto"/>
                    </w:rPr>
                  </w:pPr>
                  <w:r>
                    <w:rPr>
                      <w:rFonts w:hint="eastAsia"/>
                      <w:color w:val="auto"/>
                    </w:rPr>
                    <w:t>/</w:t>
                  </w:r>
                </w:p>
              </w:tc>
              <w:tc>
                <w:tcPr>
                  <w:tcW w:w="734" w:type="pct"/>
                  <w:noWrap w:val="0"/>
                  <w:vAlign w:val="center"/>
                </w:tcPr>
                <w:p>
                  <w:pPr>
                    <w:pStyle w:val="124"/>
                    <w:rPr>
                      <w:rFonts w:hint="default" w:eastAsia="宋体"/>
                      <w:color w:val="auto"/>
                      <w:lang w:val="en-US" w:eastAsia="zh-CN"/>
                    </w:rPr>
                  </w:pPr>
                  <w:r>
                    <w:rPr>
                      <w:rFonts w:hint="eastAsia"/>
                      <w:color w:val="auto"/>
                      <w:lang w:val="en-US" w:eastAsia="zh-CN"/>
                    </w:rPr>
                    <w:t>2.0</w:t>
                  </w:r>
                </w:p>
              </w:tc>
            </w:tr>
          </w:tbl>
          <w:p>
            <w:pPr>
              <w:pStyle w:val="108"/>
              <w:ind w:left="480" w:leftChars="200" w:firstLine="0" w:firstLineChars="0"/>
              <w:rPr>
                <w:rFonts w:hint="eastAsia"/>
                <w:color w:val="auto"/>
              </w:rPr>
            </w:pPr>
            <w:r>
              <w:rPr>
                <w:rFonts w:hint="eastAsia"/>
                <w:color w:val="auto"/>
              </w:rPr>
              <w:t>（3）</w:t>
            </w:r>
            <w:r>
              <w:rPr>
                <w:color w:val="auto"/>
              </w:rPr>
              <w:t>排水</w:t>
            </w:r>
            <w:r>
              <w:rPr>
                <w:rFonts w:hint="eastAsia"/>
                <w:color w:val="auto"/>
              </w:rPr>
              <w:t>系统</w:t>
            </w:r>
          </w:p>
          <w:p>
            <w:pPr>
              <w:pStyle w:val="110"/>
              <w:ind w:firstLine="480"/>
              <w:rPr>
                <w:rFonts w:hint="eastAsia"/>
                <w:color w:val="auto"/>
              </w:rPr>
            </w:pPr>
            <w:r>
              <w:rPr>
                <w:rFonts w:hint="eastAsia"/>
                <w:color w:val="auto"/>
              </w:rPr>
              <w:t>项目排水实行“雨污分流”制，雨水经屋面雨水漏斗收集，经雨水管道排入城市雨水管网；项目产生的医疗废水经一体化污水处理设备采用“</w:t>
            </w:r>
            <w:r>
              <w:rPr>
                <w:rFonts w:hint="eastAsia"/>
                <w:color w:val="auto"/>
                <w:lang w:eastAsia="zh-CN"/>
              </w:rPr>
              <w:t>过滤沉淀</w:t>
            </w:r>
            <w:r>
              <w:rPr>
                <w:rFonts w:hint="eastAsia"/>
                <w:color w:val="auto"/>
              </w:rPr>
              <w:t>+消毒”处理</w:t>
            </w:r>
            <w:r>
              <w:rPr>
                <w:rFonts w:hint="eastAsia"/>
                <w:color w:val="auto"/>
                <w:lang w:eastAsia="zh-CN"/>
              </w:rPr>
              <w:t>后</w:t>
            </w:r>
            <w:r>
              <w:rPr>
                <w:rFonts w:hint="eastAsia"/>
                <w:color w:val="auto"/>
              </w:rPr>
              <w:t>和员工生活污水一起通过污水管道进入</w:t>
            </w:r>
            <w:r>
              <w:rPr>
                <w:rFonts w:hint="eastAsia"/>
                <w:color w:val="auto"/>
                <w:lang w:eastAsia="zh-CN"/>
              </w:rPr>
              <w:t>邦泰国际社区小区</w:t>
            </w:r>
            <w:r>
              <w:rPr>
                <w:rFonts w:hint="eastAsia"/>
                <w:color w:val="auto"/>
              </w:rPr>
              <w:t>预处理池处理</w:t>
            </w:r>
            <w:r>
              <w:rPr>
                <w:rFonts w:hint="eastAsia"/>
                <w:color w:val="auto"/>
                <w:lang w:eastAsia="zh-CN"/>
              </w:rPr>
              <w:t>，</w:t>
            </w:r>
            <w:r>
              <w:rPr>
                <w:rFonts w:hint="eastAsia"/>
                <w:color w:val="auto"/>
              </w:rPr>
              <w:t>处理后排入市政污水管网，最终进入乐山市第一污水处理厂处理后排放。</w:t>
            </w:r>
          </w:p>
          <w:p>
            <w:pPr>
              <w:pStyle w:val="108"/>
              <w:ind w:firstLine="480"/>
              <w:rPr>
                <w:color w:val="auto"/>
              </w:rPr>
            </w:pPr>
            <w:r>
              <w:rPr>
                <w:color w:val="auto"/>
              </w:rPr>
              <w:t>项目运营期水平衡图如下：</w:t>
            </w:r>
          </w:p>
          <w:p>
            <w:pPr>
              <w:pStyle w:val="111"/>
              <w:bidi w:val="0"/>
              <w:spacing w:line="360" w:lineRule="auto"/>
            </w:pPr>
            <w:r>
              <w:object>
                <v:shape id="_x0000_i1032" o:spt="75" type="#_x0000_t75" style="height:215.95pt;width:410.85pt;" o:ole="t" filled="f" o:preferrelative="t" stroked="f" coordsize="21600,21600">
                  <v:path/>
                  <v:fill on="f" focussize="0,0"/>
                  <v:stroke on="f"/>
                  <v:imagedata r:id="rId19" o:title=""/>
                  <o:lock v:ext="edit" aspectratio="f"/>
                  <w10:wrap type="none"/>
                  <w10:anchorlock/>
                </v:shape>
                <o:OLEObject Type="Embed" ProgID="Visio.Drawing.15" ShapeID="_x0000_i1032" DrawAspect="Content" ObjectID="_1468075725" r:id="rId18">
                  <o:LockedField>false</o:LockedField>
                </o:OLEObject>
              </w:object>
            </w:r>
          </w:p>
          <w:p>
            <w:pPr>
              <w:pStyle w:val="123"/>
              <w:rPr>
                <w:color w:val="auto"/>
              </w:rPr>
            </w:pPr>
            <w:r>
              <w:rPr>
                <w:color w:val="auto"/>
              </w:rPr>
              <w:t>图2-1  项目水平衡图单位：m</w:t>
            </w:r>
            <w:r>
              <w:rPr>
                <w:color w:val="auto"/>
                <w:vertAlign w:val="superscript"/>
              </w:rPr>
              <w:t>3</w:t>
            </w:r>
            <w:r>
              <w:rPr>
                <w:color w:val="auto"/>
              </w:rPr>
              <w:t>/d</w:t>
            </w:r>
          </w:p>
          <w:p>
            <w:pPr>
              <w:pStyle w:val="110"/>
              <w:numPr>
                <w:ilvl w:val="0"/>
                <w:numId w:val="9"/>
              </w:numPr>
              <w:ind w:firstLine="480"/>
              <w:rPr>
                <w:rFonts w:hint="eastAsia"/>
                <w:color w:val="auto"/>
              </w:rPr>
            </w:pPr>
            <w:r>
              <w:rPr>
                <w:rFonts w:hint="eastAsia"/>
                <w:color w:val="auto"/>
              </w:rPr>
              <w:t>消毒供应</w:t>
            </w:r>
          </w:p>
          <w:p>
            <w:pPr>
              <w:pStyle w:val="110"/>
              <w:ind w:firstLine="480"/>
              <w:rPr>
                <w:color w:val="auto"/>
              </w:rPr>
            </w:pPr>
            <w:r>
              <w:rPr>
                <w:rFonts w:hint="eastAsia"/>
                <w:color w:val="auto"/>
              </w:rPr>
              <w:t>医疗废水消毒采用二氧化氯泡腾片；医院环境地面消毒采用月芐三甲氯胺；</w:t>
            </w:r>
            <w:r>
              <w:rPr>
                <w:rFonts w:hint="eastAsia"/>
                <w:color w:val="auto"/>
                <w:lang w:eastAsia="zh-CN"/>
              </w:rPr>
              <w:t>手术室消毒采用移动式紫外线灯；</w:t>
            </w:r>
            <w:r>
              <w:rPr>
                <w:rFonts w:hint="eastAsia"/>
                <w:color w:val="auto"/>
              </w:rPr>
              <w:t>手术室仪器设备消毒采用高压蒸汽灭菌锅。</w:t>
            </w:r>
          </w:p>
          <w:p>
            <w:pPr>
              <w:pStyle w:val="110"/>
              <w:ind w:firstLine="482"/>
              <w:rPr>
                <w:rFonts w:hint="eastAsia"/>
                <w:b/>
                <w:bCs/>
                <w:color w:val="auto"/>
              </w:rPr>
            </w:pPr>
            <w:r>
              <w:rPr>
                <w:rFonts w:hint="eastAsia"/>
                <w:b/>
                <w:bCs/>
                <w:color w:val="auto"/>
              </w:rPr>
              <w:t>关于本项目具体情况说明如下：</w:t>
            </w:r>
          </w:p>
          <w:p>
            <w:pPr>
              <w:pStyle w:val="110"/>
              <w:ind w:firstLine="482"/>
              <w:rPr>
                <w:rFonts w:hint="eastAsia"/>
                <w:b/>
                <w:bCs/>
                <w:color w:val="auto"/>
              </w:rPr>
            </w:pPr>
            <w:r>
              <w:rPr>
                <w:rFonts w:hint="eastAsia"/>
                <w:b/>
                <w:bCs/>
                <w:color w:val="auto"/>
              </w:rPr>
              <w:t xml:space="preserve">（1）项目医学影像科采用数码打印方式，无洗印废水产生和排放； </w:t>
            </w:r>
          </w:p>
          <w:p>
            <w:pPr>
              <w:pStyle w:val="110"/>
              <w:ind w:firstLine="482"/>
              <w:rPr>
                <w:rFonts w:hint="eastAsia"/>
                <w:b/>
                <w:bCs/>
                <w:color w:val="auto"/>
              </w:rPr>
            </w:pPr>
            <w:r>
              <w:rPr>
                <w:rFonts w:hint="eastAsia"/>
                <w:b/>
                <w:bCs/>
                <w:color w:val="auto"/>
              </w:rPr>
              <w:t xml:space="preserve">（2）项目不设置食堂，职工就餐已自带和外卖的形式，因此无餐饮废水产生； </w:t>
            </w:r>
          </w:p>
          <w:p>
            <w:pPr>
              <w:pStyle w:val="110"/>
              <w:ind w:firstLine="482"/>
              <w:rPr>
                <w:rFonts w:hint="eastAsia"/>
                <w:b/>
                <w:bCs/>
                <w:color w:val="auto"/>
              </w:rPr>
            </w:pPr>
            <w:r>
              <w:rPr>
                <w:rFonts w:hint="eastAsia"/>
                <w:b/>
                <w:bCs/>
                <w:color w:val="auto"/>
              </w:rPr>
              <w:t>（3）本项目不接收传染病宠物;</w:t>
            </w:r>
          </w:p>
          <w:p>
            <w:pPr>
              <w:pStyle w:val="110"/>
              <w:ind w:firstLine="482"/>
              <w:rPr>
                <w:rFonts w:hint="default" w:eastAsia="宋体"/>
                <w:b/>
                <w:bCs/>
                <w:color w:val="auto"/>
                <w:lang w:val="en-US" w:eastAsia="zh-CN"/>
              </w:rPr>
            </w:pPr>
            <w:r>
              <w:rPr>
                <w:rFonts w:hint="eastAsia"/>
                <w:b/>
                <w:bCs/>
                <w:color w:val="auto"/>
              </w:rPr>
              <w:t>（4）另外，本项目化验区采用成品试剂进行血常规检验，不使用水，此类检查产生的污染物主要为沾有血液的棉签、棉球、采血针、</w:t>
            </w:r>
            <w:r>
              <w:rPr>
                <w:rFonts w:hint="eastAsia"/>
                <w:b/>
                <w:bCs/>
                <w:color w:val="auto"/>
                <w:lang w:eastAsia="zh-CN"/>
              </w:rPr>
              <w:t>针筒</w:t>
            </w:r>
            <w:r>
              <w:rPr>
                <w:rFonts w:hint="eastAsia"/>
                <w:b/>
                <w:bCs/>
                <w:color w:val="auto"/>
              </w:rPr>
              <w:t>、量杯等，全部作为医疗垃圾处理，因此，本项目无检验废水的产生。</w:t>
            </w:r>
          </w:p>
          <w:p>
            <w:pPr>
              <w:pStyle w:val="5"/>
              <w:rPr>
                <w:color w:val="auto"/>
              </w:rPr>
            </w:pPr>
            <w:r>
              <w:rPr>
                <w:rFonts w:hint="eastAsia"/>
                <w:color w:val="auto"/>
                <w:lang w:val="en-US" w:eastAsia="zh-CN"/>
              </w:rPr>
              <w:t>9</w:t>
            </w:r>
            <w:r>
              <w:rPr>
                <w:color w:val="auto"/>
              </w:rPr>
              <w:t>、总平面布置合理性分析</w:t>
            </w:r>
          </w:p>
          <w:p>
            <w:pPr>
              <w:pStyle w:val="110"/>
              <w:ind w:firstLine="480"/>
              <w:rPr>
                <w:rFonts w:hint="eastAsia"/>
                <w:color w:val="auto"/>
                <w:lang w:val="en-US" w:eastAsia="zh-CN"/>
              </w:rPr>
            </w:pPr>
            <w:r>
              <w:rPr>
                <w:rFonts w:hint="eastAsia"/>
                <w:color w:val="auto"/>
              </w:rPr>
              <w:t>本项目已建成，根据现场踏勘，项目总共为2层建筑，一层主要设置前台、</w:t>
            </w:r>
            <w:r>
              <w:rPr>
                <w:rFonts w:hint="eastAsia"/>
                <w:color w:val="auto"/>
                <w:lang w:eastAsia="zh-CN"/>
              </w:rPr>
              <w:t>顾客休息区域、门诊治疗室、化验室、中央处置室及医生办公室，</w:t>
            </w:r>
            <w:r>
              <w:rPr>
                <w:rFonts w:hint="eastAsia"/>
                <w:color w:val="auto"/>
              </w:rPr>
              <w:t>二层主要设置了</w:t>
            </w:r>
            <w:r>
              <w:rPr>
                <w:rFonts w:hint="eastAsia"/>
                <w:color w:val="auto"/>
                <w:lang w:eastAsia="zh-CN"/>
              </w:rPr>
              <w:t>犬科住院部、猫住院病房、员工休息室、诊室、库房、</w:t>
            </w:r>
            <w:r>
              <w:rPr>
                <w:rFonts w:hint="eastAsia"/>
                <w:color w:val="auto"/>
                <w:lang w:val="en-US" w:eastAsia="zh-CN"/>
              </w:rPr>
              <w:t>DR室及手术室，项目平面布局紧凑，各功能单位分布明朗，互不影响，组织有序</w:t>
            </w:r>
            <w:r>
              <w:rPr>
                <w:rFonts w:hint="eastAsia"/>
                <w:color w:val="auto"/>
              </w:rPr>
              <w:t>，宠物住院病房和手术室均设置在二楼，避免室外的社会噪声对动物的影响，能保证给予住院动物的一个安静的治疗环境，同时动物发出的声音在经过墙体、门窗等隔声之后不会对周围环境造成较大影响</w:t>
            </w:r>
            <w:r>
              <w:rPr>
                <w:rFonts w:hint="eastAsia"/>
                <w:color w:val="auto"/>
                <w:lang w:eastAsia="zh-CN"/>
              </w:rPr>
              <w:t>。日常，项目诊疗区域通过移动式紫外线灯和消毒剂对院区环境进行消毒，除此之外，项目设置了</w:t>
            </w:r>
            <w:r>
              <w:rPr>
                <w:rFonts w:hint="eastAsia"/>
                <w:color w:val="auto"/>
                <w:lang w:val="en-US" w:eastAsia="zh-CN"/>
              </w:rPr>
              <w:t>1套新风系统，采用中央机械式送、排风系统。双向流系统中的新风是由新风主机送入。新风主机通过管道与室内的空气分布器相连接，新风主机不断的把室外新风通过管道送入室内；排风系统则通过与各房间的废气收集口连接，通过管道排风口将废气排出。</w:t>
            </w:r>
          </w:p>
          <w:p>
            <w:pPr>
              <w:pStyle w:val="110"/>
              <w:ind w:firstLine="480"/>
              <w:rPr>
                <w:rFonts w:hint="eastAsia"/>
                <w:color w:val="FF0000"/>
              </w:rPr>
            </w:pPr>
            <w:r>
              <w:rPr>
                <w:rFonts w:hint="eastAsia"/>
                <w:color w:val="auto"/>
              </w:rPr>
              <w:t>项目医疗废物暂存间</w:t>
            </w:r>
            <w:r>
              <w:rPr>
                <w:rFonts w:hint="eastAsia"/>
                <w:color w:val="auto"/>
                <w:lang w:eastAsia="zh-CN"/>
              </w:rPr>
              <w:t>拟</w:t>
            </w:r>
            <w:r>
              <w:rPr>
                <w:rFonts w:hint="eastAsia"/>
                <w:color w:val="auto"/>
              </w:rPr>
              <w:t>设置于二层临近手术室，能满足手术过程中产生的医疗废物短距离收集，减少了交叉感染和环境污染的风险。</w:t>
            </w:r>
          </w:p>
          <w:p>
            <w:pPr>
              <w:pStyle w:val="110"/>
              <w:ind w:firstLine="480"/>
              <w:rPr>
                <w:rFonts w:hint="eastAsia"/>
                <w:b/>
                <w:bCs/>
                <w:color w:val="auto"/>
              </w:rPr>
            </w:pPr>
            <w:r>
              <w:rPr>
                <w:rFonts w:hint="eastAsia"/>
                <w:color w:val="auto"/>
              </w:rPr>
              <w:t>综上所述，项目总平面设计合理，各功能分区明确，各种环保设施布置较为合理，满足医疗卫生的要求和环境保护的要求，故项目总体平面布置合理可行。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627" w:type="dxa"/>
            <w:noWrap w:val="0"/>
            <w:vAlign w:val="center"/>
          </w:tcPr>
          <w:p>
            <w:pPr>
              <w:pStyle w:val="108"/>
              <w:ind w:firstLine="0" w:firstLineChars="0"/>
              <w:jc w:val="center"/>
              <w:rPr>
                <w:color w:val="auto"/>
              </w:rPr>
            </w:pPr>
            <w:r>
              <w:rPr>
                <w:rFonts w:hint="eastAsia"/>
                <w:color w:val="auto"/>
              </w:rPr>
              <w:t>工艺流程及产排污环节</w:t>
            </w:r>
          </w:p>
        </w:tc>
        <w:tc>
          <w:tcPr>
            <w:tcW w:w="8433" w:type="dxa"/>
            <w:noWrap w:val="0"/>
            <w:vAlign w:val="top"/>
          </w:tcPr>
          <w:p>
            <w:pPr>
              <w:pStyle w:val="110"/>
              <w:ind w:firstLine="480"/>
              <w:rPr>
                <w:color w:val="auto"/>
              </w:rPr>
            </w:pPr>
            <w:r>
              <w:rPr>
                <w:rFonts w:hint="eastAsia"/>
                <w:color w:val="auto"/>
              </w:rPr>
              <w:t>本项目建设分为工程施工期和营运期两个阶段。</w:t>
            </w:r>
          </w:p>
          <w:p>
            <w:pPr>
              <w:pStyle w:val="5"/>
              <w:rPr>
                <w:color w:val="auto"/>
              </w:rPr>
            </w:pPr>
            <w:r>
              <w:rPr>
                <w:rFonts w:hint="eastAsia"/>
                <w:color w:val="auto"/>
                <w:lang w:val="en-US" w:eastAsia="zh-CN"/>
              </w:rPr>
              <w:t>1</w:t>
            </w:r>
            <w:r>
              <w:rPr>
                <w:color w:val="auto"/>
              </w:rPr>
              <w:t xml:space="preserve">、施工期 </w:t>
            </w:r>
          </w:p>
          <w:p>
            <w:pPr>
              <w:pStyle w:val="110"/>
              <w:ind w:firstLine="480"/>
              <w:rPr>
                <w:rFonts w:hint="eastAsia"/>
                <w:color w:val="auto"/>
              </w:rPr>
            </w:pPr>
            <w:r>
              <w:rPr>
                <w:rFonts w:hint="eastAsia"/>
                <w:color w:val="auto"/>
              </w:rPr>
              <w:t>本项目系租用已建成的商业设施用于项目建设，项目仅对房间进行隔断装修和医疗设备安装，施工期污染物产生量少。根据现场调查，本项目已建设完成，施工期环境影响已结束，本次评价仅对施工期工艺流程及产排污情况进行回顾性分析。</w:t>
            </w:r>
          </w:p>
          <w:p>
            <w:pPr>
              <w:pStyle w:val="6"/>
              <w:bidi w:val="0"/>
              <w:rPr>
                <w:rFonts w:hint="eastAsia"/>
              </w:rPr>
            </w:pPr>
            <w:r>
              <w:rPr>
                <w:rFonts w:hint="eastAsia"/>
                <w:lang w:val="en-US" w:eastAsia="zh-CN"/>
              </w:rPr>
              <w:t>1.1</w:t>
            </w:r>
            <w:r>
              <w:rPr>
                <w:rFonts w:hint="eastAsia"/>
              </w:rPr>
              <w:t>施工期工艺流程及产排污分析</w:t>
            </w:r>
          </w:p>
          <w:p>
            <w:pPr>
              <w:pStyle w:val="110"/>
              <w:ind w:firstLine="480"/>
              <w:rPr>
                <w:rFonts w:hint="eastAsia"/>
                <w:color w:val="auto"/>
              </w:rPr>
            </w:pPr>
            <w:r>
              <w:rPr>
                <w:rFonts w:hint="eastAsia"/>
                <w:color w:val="auto"/>
              </w:rPr>
              <w:t>本项目为新建，项目施工期施工内容主要为改造工程、装修工程、设备安装工程，施工期约1个月，施工过程中将产生噪声、粉尘、固体废弃物、废水、废气等污染物，随着工程的完工和投入使用，施工期产生的各种污染物也随之消失。由于项目工程量较小，施工时间较短，污染物产排量较少，对周边环境的影响程度较小。项目施工期工艺流程如下图：</w:t>
            </w:r>
          </w:p>
          <w:p>
            <w:pPr>
              <w:pStyle w:val="176"/>
              <w:rPr>
                <w:color w:val="auto"/>
              </w:rPr>
            </w:pPr>
          </w:p>
          <w:p>
            <w:pPr>
              <w:pStyle w:val="176"/>
              <w:rPr>
                <w:color w:val="auto"/>
              </w:rPr>
            </w:pPr>
          </w:p>
          <w:p>
            <w:pPr>
              <w:pStyle w:val="176"/>
              <w:jc w:val="both"/>
              <w:rPr>
                <w:color w:val="auto"/>
              </w:rPr>
            </w:pPr>
            <w:r>
              <w:rPr>
                <w:color w:val="auto"/>
              </w:rPr>
              <w:object>
                <v:shape id="_x0000_i1033" o:spt="75" type="#_x0000_t75" style="height:98.55pt;width:410.55pt;" o:ole="t" filled="f" o:preferrelative="t" stroked="f" coordsize="21600,21600">
                  <v:path/>
                  <v:fill on="f" focussize="0,0"/>
                  <v:stroke on="f"/>
                  <v:imagedata r:id="rId21" o:title=""/>
                  <o:lock v:ext="edit" aspectratio="f"/>
                  <w10:wrap type="none"/>
                  <w10:anchorlock/>
                </v:shape>
                <o:OLEObject Type="Embed" ProgID="Visio.Drawing.15" ShapeID="_x0000_i1033" DrawAspect="Content" ObjectID="_1468075726" r:id="rId20">
                  <o:LockedField>false</o:LockedField>
                </o:OLEObject>
              </w:object>
            </w:r>
          </w:p>
          <w:p>
            <w:pPr>
              <w:pStyle w:val="123"/>
              <w:rPr>
                <w:color w:val="auto"/>
              </w:rPr>
            </w:pPr>
            <w:r>
              <w:rPr>
                <w:color w:val="auto"/>
              </w:rPr>
              <w:t>图2-2 施工期工艺流程及产排污分布图</w:t>
            </w:r>
          </w:p>
          <w:p>
            <w:pPr>
              <w:pStyle w:val="110"/>
              <w:ind w:firstLine="480"/>
              <w:rPr>
                <w:color w:val="auto"/>
              </w:rPr>
            </w:pPr>
            <w:r>
              <w:rPr>
                <w:color w:val="auto"/>
              </w:rPr>
              <w:t>工艺流程简述：</w:t>
            </w:r>
          </w:p>
          <w:p>
            <w:pPr>
              <w:pStyle w:val="110"/>
              <w:ind w:firstLine="480"/>
              <w:rPr>
                <w:color w:val="auto"/>
              </w:rPr>
            </w:pPr>
            <w:r>
              <w:rPr>
                <w:rFonts w:hint="eastAsia"/>
                <w:color w:val="auto"/>
                <w:lang w:eastAsia="zh-CN"/>
              </w:rPr>
              <w:t>（</w:t>
            </w:r>
            <w:r>
              <w:rPr>
                <w:color w:val="auto"/>
              </w:rPr>
              <w:t>1</w:t>
            </w:r>
            <w:r>
              <w:rPr>
                <w:rFonts w:hint="eastAsia"/>
                <w:color w:val="auto"/>
                <w:lang w:eastAsia="zh-CN"/>
              </w:rPr>
              <w:t>）</w:t>
            </w:r>
            <w:r>
              <w:rPr>
                <w:color w:val="auto"/>
              </w:rPr>
              <w:t>改造工程</w:t>
            </w:r>
          </w:p>
          <w:p>
            <w:pPr>
              <w:pStyle w:val="110"/>
              <w:ind w:firstLine="480"/>
              <w:rPr>
                <w:rFonts w:hint="eastAsia"/>
                <w:b/>
                <w:bCs/>
                <w:color w:val="auto"/>
              </w:rPr>
            </w:pPr>
            <w:r>
              <w:rPr>
                <w:color w:val="auto"/>
              </w:rPr>
              <w:t>改造工程主要为</w:t>
            </w:r>
            <w:r>
              <w:rPr>
                <w:rFonts w:hint="eastAsia"/>
                <w:color w:val="auto"/>
              </w:rPr>
              <w:t>对商铺进行隔断，根据项目各功能用房需要设置，施工过程中将产生少量粉尘、噪声等。</w:t>
            </w:r>
          </w:p>
          <w:p>
            <w:pPr>
              <w:pStyle w:val="110"/>
              <w:ind w:firstLine="480"/>
              <w:rPr>
                <w:color w:val="auto"/>
              </w:rPr>
            </w:pPr>
            <w:r>
              <w:rPr>
                <w:rFonts w:hint="eastAsia"/>
                <w:color w:val="auto"/>
                <w:lang w:eastAsia="zh-CN"/>
              </w:rPr>
              <w:t>（</w:t>
            </w:r>
            <w:r>
              <w:rPr>
                <w:color w:val="auto"/>
              </w:rPr>
              <w:t>2</w:t>
            </w:r>
            <w:r>
              <w:rPr>
                <w:rFonts w:hint="eastAsia"/>
                <w:color w:val="auto"/>
                <w:lang w:eastAsia="zh-CN"/>
              </w:rPr>
              <w:t>）</w:t>
            </w:r>
            <w:r>
              <w:rPr>
                <w:rFonts w:hint="eastAsia"/>
                <w:color w:val="auto"/>
              </w:rPr>
              <w:t>装修工程</w:t>
            </w:r>
          </w:p>
          <w:p>
            <w:pPr>
              <w:pStyle w:val="110"/>
              <w:ind w:firstLine="480"/>
              <w:rPr>
                <w:rFonts w:hint="eastAsia"/>
                <w:color w:val="auto"/>
              </w:rPr>
            </w:pPr>
            <w:r>
              <w:rPr>
                <w:rFonts w:hint="eastAsia"/>
                <w:color w:val="auto"/>
              </w:rPr>
              <w:t>装修工程主要为地面硬化及铺砖、墙体墙面粉刷、门窗安装等，施工工程量较小，施工时间较短，施工过程中将产生废气、噪声、固废及生活污水等。</w:t>
            </w:r>
          </w:p>
          <w:p>
            <w:pPr>
              <w:pStyle w:val="110"/>
              <w:ind w:firstLine="480"/>
              <w:rPr>
                <w:color w:val="auto"/>
              </w:rPr>
            </w:pPr>
            <w:r>
              <w:rPr>
                <w:rFonts w:hint="eastAsia"/>
                <w:color w:val="auto"/>
                <w:lang w:eastAsia="zh-CN"/>
              </w:rPr>
              <w:t>（</w:t>
            </w:r>
            <w:r>
              <w:rPr>
                <w:color w:val="auto"/>
              </w:rPr>
              <w:t>3</w:t>
            </w:r>
            <w:r>
              <w:rPr>
                <w:rFonts w:hint="eastAsia"/>
                <w:color w:val="auto"/>
                <w:lang w:eastAsia="zh-CN"/>
              </w:rPr>
              <w:t>）</w:t>
            </w:r>
            <w:r>
              <w:rPr>
                <w:color w:val="auto"/>
              </w:rPr>
              <w:t>设备安装</w:t>
            </w:r>
          </w:p>
          <w:p>
            <w:pPr>
              <w:pStyle w:val="110"/>
              <w:ind w:firstLine="480"/>
              <w:rPr>
                <w:color w:val="auto"/>
              </w:rPr>
            </w:pPr>
            <w:r>
              <w:rPr>
                <w:color w:val="auto"/>
              </w:rPr>
              <w:t>项目设备安装主要为</w:t>
            </w:r>
            <w:r>
              <w:rPr>
                <w:rFonts w:hint="eastAsia"/>
                <w:color w:val="auto"/>
              </w:rPr>
              <w:t>手术室设备安装、B超市及化验室等设备安装，</w:t>
            </w:r>
            <w:r>
              <w:rPr>
                <w:color w:val="auto"/>
              </w:rPr>
              <w:t>设备安装过程中涉及设备固定等，将产生一定的噪声。</w:t>
            </w:r>
          </w:p>
          <w:p>
            <w:pPr>
              <w:pStyle w:val="110"/>
              <w:ind w:firstLine="480"/>
              <w:rPr>
                <w:rFonts w:hint="eastAsia"/>
                <w:color w:val="auto"/>
              </w:rPr>
            </w:pPr>
            <w:r>
              <w:rPr>
                <w:rFonts w:hint="eastAsia"/>
                <w:color w:val="auto"/>
              </w:rPr>
              <w:t>本工程施工期为1个月，施工期对环境的影响通过采取加强管理、合理安排施工时间等措施能够得到一定缓解，随着施工阶段的推进，施工期污染物产排及对环境的影响将发生变化，最终随着施工的结束而消失。</w:t>
            </w:r>
          </w:p>
          <w:p>
            <w:pPr>
              <w:pStyle w:val="110"/>
              <w:ind w:firstLine="480"/>
              <w:rPr>
                <w:rFonts w:hint="eastAsia" w:eastAsia="宋体"/>
                <w:color w:val="auto"/>
                <w:lang w:eastAsia="zh-CN"/>
              </w:rPr>
            </w:pPr>
            <w:r>
              <w:rPr>
                <w:rFonts w:hint="eastAsia"/>
                <w:color w:val="auto"/>
                <w:lang w:eastAsia="zh-CN"/>
              </w:rPr>
              <w:t>根据调查，项目已建成投产，施工期间，未接到相关环境投诉。</w:t>
            </w:r>
          </w:p>
          <w:p>
            <w:pPr>
              <w:pStyle w:val="5"/>
              <w:numPr>
                <w:ilvl w:val="0"/>
                <w:numId w:val="0"/>
              </w:numPr>
              <w:rPr>
                <w:color w:val="auto"/>
              </w:rPr>
            </w:pPr>
            <w:r>
              <w:rPr>
                <w:rFonts w:hint="eastAsia"/>
                <w:color w:val="auto"/>
                <w:lang w:val="en-US" w:eastAsia="zh-CN"/>
              </w:rPr>
              <w:t>2、</w:t>
            </w:r>
            <w:r>
              <w:rPr>
                <w:color w:val="auto"/>
              </w:rPr>
              <w:t>营运期</w:t>
            </w:r>
          </w:p>
          <w:p>
            <w:pPr>
              <w:pStyle w:val="110"/>
              <w:ind w:firstLine="480"/>
              <w:rPr>
                <w:rFonts w:hint="eastAsia"/>
                <w:color w:val="auto"/>
              </w:rPr>
            </w:pPr>
            <w:r>
              <w:rPr>
                <w:rFonts w:hint="eastAsia"/>
                <w:color w:val="auto"/>
              </w:rPr>
              <w:t>本项目为宠物医院项目，年运营日为</w:t>
            </w:r>
            <w:r>
              <w:rPr>
                <w:rFonts w:hint="eastAsia"/>
                <w:color w:val="auto"/>
                <w:lang w:val="en-US" w:eastAsia="zh-CN"/>
              </w:rPr>
              <w:t>360</w:t>
            </w:r>
            <w:r>
              <w:rPr>
                <w:rFonts w:hint="eastAsia"/>
                <w:color w:val="auto"/>
              </w:rPr>
              <w:t>天/年，员工共</w:t>
            </w:r>
            <w:r>
              <w:rPr>
                <w:rFonts w:hint="eastAsia"/>
                <w:color w:val="auto"/>
                <w:lang w:val="en-US" w:eastAsia="zh-CN"/>
              </w:rPr>
              <w:t>10</w:t>
            </w:r>
            <w:r>
              <w:rPr>
                <w:rFonts w:hint="eastAsia"/>
                <w:color w:val="auto"/>
              </w:rPr>
              <w:t>人，项目不提供住宿、不设食堂。</w:t>
            </w:r>
          </w:p>
          <w:p>
            <w:pPr>
              <w:pStyle w:val="110"/>
              <w:ind w:firstLine="480"/>
              <w:rPr>
                <w:rFonts w:hint="eastAsia"/>
                <w:color w:val="auto"/>
              </w:rPr>
            </w:pPr>
            <w:r>
              <w:rPr>
                <w:rFonts w:hint="eastAsia"/>
                <w:color w:val="auto"/>
              </w:rPr>
              <w:t>项目运营后，主要为宠物提供医疗服务。其工作流程及主要排污节点如图 2-2 所示。</w:t>
            </w:r>
          </w:p>
          <w:p>
            <w:pPr>
              <w:pStyle w:val="111"/>
              <w:bidi w:val="0"/>
              <w:spacing w:line="240" w:lineRule="auto"/>
            </w:pPr>
            <w:r>
              <w:drawing>
                <wp:inline distT="0" distB="0" distL="114300" distR="114300">
                  <wp:extent cx="5300345" cy="2900680"/>
                  <wp:effectExtent l="9525" t="9525" r="24130" b="23495"/>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22"/>
                          <a:stretch>
                            <a:fillRect/>
                          </a:stretch>
                        </pic:blipFill>
                        <pic:spPr>
                          <a:xfrm>
                            <a:off x="0" y="0"/>
                            <a:ext cx="5300345" cy="2900680"/>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123"/>
              <w:rPr>
                <w:rFonts w:hint="eastAsia"/>
                <w:color w:val="auto"/>
              </w:rPr>
            </w:pPr>
            <w:r>
              <w:rPr>
                <w:rFonts w:hint="eastAsia"/>
                <w:color w:val="auto"/>
              </w:rPr>
              <w:t>图2-3  运营期基本工艺流程及产污环节图</w:t>
            </w:r>
          </w:p>
          <w:p>
            <w:pPr>
              <w:pStyle w:val="110"/>
              <w:spacing w:line="360" w:lineRule="auto"/>
              <w:ind w:firstLine="480"/>
              <w:rPr>
                <w:rFonts w:hint="eastAsia"/>
                <w:color w:val="auto"/>
              </w:rPr>
            </w:pPr>
            <w:r>
              <w:rPr>
                <w:rFonts w:hint="eastAsia"/>
                <w:color w:val="auto"/>
              </w:rPr>
              <w:t>工艺流程简述：</w:t>
            </w:r>
          </w:p>
          <w:p>
            <w:pPr>
              <w:pStyle w:val="110"/>
              <w:ind w:firstLine="480"/>
              <w:rPr>
                <w:rFonts w:hint="eastAsia"/>
                <w:color w:val="auto"/>
              </w:rPr>
            </w:pPr>
            <w:r>
              <w:rPr>
                <w:rFonts w:hint="eastAsia"/>
                <w:color w:val="auto"/>
                <w:lang w:val="en-US" w:eastAsia="zh-CN"/>
              </w:rPr>
              <w:t xml:space="preserve">接待：患病犬、猫入院后由前台医护人员进行初步了解和登记，根据患病犬猫病情和问诊方案安排就诊。 </w:t>
            </w:r>
          </w:p>
          <w:p>
            <w:pPr>
              <w:pStyle w:val="110"/>
              <w:ind w:firstLine="480"/>
              <w:rPr>
                <w:rFonts w:hint="eastAsia"/>
                <w:color w:val="auto"/>
              </w:rPr>
            </w:pPr>
            <w:r>
              <w:rPr>
                <w:rFonts w:hint="eastAsia"/>
                <w:color w:val="auto"/>
                <w:lang w:val="en-US" w:eastAsia="zh-CN"/>
              </w:rPr>
              <w:t xml:space="preserve">诊断：根据就诊方案安排至对应的诊断室，包括采血、寄生虫检查、尿液检查等。诊断主要在犬猫诊室及化验室进行。根据犬猫身体情况及检查结果确定治疗方案，包括门诊治疗和手术住院治疗。 </w:t>
            </w:r>
          </w:p>
          <w:p>
            <w:pPr>
              <w:pStyle w:val="110"/>
              <w:ind w:firstLine="480"/>
              <w:rPr>
                <w:rFonts w:hint="eastAsia"/>
                <w:color w:val="auto"/>
              </w:rPr>
            </w:pPr>
            <w:r>
              <w:rPr>
                <w:rFonts w:hint="eastAsia"/>
                <w:color w:val="auto"/>
                <w:u w:val="single"/>
                <w:lang w:val="en-US" w:eastAsia="zh-CN"/>
              </w:rPr>
              <w:t>主要污染物：医疗废水、噪声、医疗废物、药品废包装材料</w:t>
            </w:r>
            <w:r>
              <w:rPr>
                <w:rFonts w:hint="eastAsia"/>
                <w:color w:val="auto"/>
                <w:lang w:val="en-US" w:eastAsia="zh-CN"/>
              </w:rPr>
              <w:t xml:space="preserve"> </w:t>
            </w:r>
          </w:p>
          <w:p>
            <w:pPr>
              <w:pStyle w:val="110"/>
              <w:ind w:firstLine="480"/>
              <w:rPr>
                <w:rFonts w:hint="eastAsia"/>
                <w:color w:val="auto"/>
              </w:rPr>
            </w:pPr>
            <w:r>
              <w:rPr>
                <w:rFonts w:hint="eastAsia"/>
                <w:color w:val="auto"/>
                <w:lang w:val="en-US" w:eastAsia="zh-CN"/>
              </w:rPr>
              <w:t xml:space="preserve">①门诊： </w:t>
            </w:r>
          </w:p>
          <w:p>
            <w:pPr>
              <w:pStyle w:val="110"/>
              <w:ind w:firstLine="480"/>
              <w:rPr>
                <w:rFonts w:hint="eastAsia"/>
                <w:color w:val="auto"/>
              </w:rPr>
            </w:pPr>
            <w:r>
              <w:rPr>
                <w:rFonts w:hint="eastAsia"/>
                <w:color w:val="auto"/>
                <w:lang w:val="en-US" w:eastAsia="zh-CN"/>
              </w:rPr>
              <w:t xml:space="preserve">治疗：病情较轻的患病宠物在犬猫诊室进行常见疾病治疗。 </w:t>
            </w:r>
          </w:p>
          <w:p>
            <w:pPr>
              <w:pStyle w:val="110"/>
              <w:ind w:firstLine="480"/>
              <w:rPr>
                <w:rFonts w:hint="eastAsia"/>
                <w:color w:val="auto"/>
              </w:rPr>
            </w:pPr>
            <w:r>
              <w:rPr>
                <w:rFonts w:hint="eastAsia"/>
                <w:color w:val="auto"/>
                <w:u w:val="single"/>
                <w:lang w:val="en-US" w:eastAsia="zh-CN"/>
              </w:rPr>
              <w:t>主要污染物：医疗废水、噪声、医疗废物</w:t>
            </w:r>
            <w:r>
              <w:rPr>
                <w:rFonts w:hint="eastAsia"/>
                <w:color w:val="auto"/>
                <w:lang w:val="en-US" w:eastAsia="zh-CN"/>
              </w:rPr>
              <w:t xml:space="preserve"> </w:t>
            </w:r>
          </w:p>
          <w:p>
            <w:pPr>
              <w:pStyle w:val="110"/>
              <w:ind w:firstLine="480"/>
              <w:rPr>
                <w:rFonts w:hint="eastAsia"/>
                <w:color w:val="auto"/>
              </w:rPr>
            </w:pPr>
            <w:r>
              <w:rPr>
                <w:rFonts w:hint="eastAsia"/>
                <w:color w:val="auto"/>
                <w:lang w:val="en-US" w:eastAsia="zh-CN"/>
              </w:rPr>
              <w:t xml:space="preserve">取药：开具治疗药品后即可自行离开医院。 </w:t>
            </w:r>
          </w:p>
          <w:p>
            <w:pPr>
              <w:pStyle w:val="110"/>
              <w:ind w:firstLine="480"/>
              <w:rPr>
                <w:rFonts w:hint="eastAsia"/>
                <w:color w:val="auto"/>
              </w:rPr>
            </w:pPr>
            <w:r>
              <w:rPr>
                <w:rFonts w:hint="eastAsia"/>
                <w:color w:val="auto"/>
                <w:lang w:val="en-US" w:eastAsia="zh-CN"/>
              </w:rPr>
              <w:t>②手术住院：</w:t>
            </w:r>
          </w:p>
          <w:p>
            <w:pPr>
              <w:pStyle w:val="110"/>
              <w:ind w:firstLine="480"/>
              <w:rPr>
                <w:rFonts w:hint="eastAsia"/>
                <w:color w:val="auto"/>
              </w:rPr>
            </w:pPr>
            <w:r>
              <w:rPr>
                <w:rFonts w:hint="eastAsia"/>
                <w:color w:val="auto"/>
                <w:lang w:val="en-US" w:eastAsia="zh-CN"/>
              </w:rPr>
              <w:t xml:space="preserve">手术：病情较重或需要手术治疗的犬猫送入住院室或手术室进行后续治疗。手术室主要开展宠物骨科手术、胸腹腔手术、颅腔手术、绝育手术等。 </w:t>
            </w:r>
          </w:p>
          <w:p>
            <w:pPr>
              <w:pStyle w:val="110"/>
              <w:ind w:firstLine="480"/>
              <w:rPr>
                <w:rFonts w:hint="eastAsia"/>
                <w:color w:val="auto"/>
              </w:rPr>
            </w:pPr>
            <w:r>
              <w:rPr>
                <w:rFonts w:hint="eastAsia"/>
                <w:color w:val="auto"/>
                <w:u w:val="single"/>
                <w:lang w:val="en-US" w:eastAsia="zh-CN"/>
              </w:rPr>
              <w:t>主要污染物：异味、医疗废水、噪声、医疗废物</w:t>
            </w:r>
            <w:r>
              <w:rPr>
                <w:rFonts w:hint="eastAsia"/>
                <w:color w:val="auto"/>
                <w:lang w:val="en-US" w:eastAsia="zh-CN"/>
              </w:rPr>
              <w:t xml:space="preserve"> </w:t>
            </w:r>
          </w:p>
          <w:p>
            <w:pPr>
              <w:pStyle w:val="110"/>
              <w:ind w:firstLine="480"/>
              <w:rPr>
                <w:rFonts w:hint="eastAsia"/>
                <w:color w:val="auto"/>
              </w:rPr>
            </w:pPr>
            <w:r>
              <w:rPr>
                <w:rFonts w:hint="eastAsia"/>
                <w:color w:val="auto"/>
                <w:lang w:val="en-US" w:eastAsia="zh-CN"/>
              </w:rPr>
              <w:t xml:space="preserve">住院观察：术后宠物留院观察，可能进行二次手术、术后换药、术后护理等，主要在手术室和处置室内进行。 </w:t>
            </w:r>
          </w:p>
          <w:p>
            <w:pPr>
              <w:pStyle w:val="110"/>
              <w:ind w:firstLine="480"/>
              <w:rPr>
                <w:rFonts w:hint="eastAsia"/>
                <w:color w:val="auto"/>
              </w:rPr>
            </w:pPr>
            <w:r>
              <w:rPr>
                <w:rFonts w:hint="eastAsia"/>
                <w:color w:val="auto"/>
                <w:u w:val="single"/>
                <w:lang w:val="en-US" w:eastAsia="zh-CN"/>
              </w:rPr>
              <w:t>主要污染物：异味、噪声、医疗废物</w:t>
            </w:r>
            <w:r>
              <w:rPr>
                <w:rFonts w:hint="eastAsia"/>
                <w:color w:val="auto"/>
                <w:lang w:val="en-US" w:eastAsia="zh-CN"/>
              </w:rPr>
              <w:t xml:space="preserve"> </w:t>
            </w:r>
          </w:p>
          <w:p>
            <w:pPr>
              <w:pStyle w:val="110"/>
              <w:ind w:firstLine="480"/>
              <w:rPr>
                <w:rFonts w:hint="eastAsia"/>
                <w:color w:val="auto"/>
              </w:rPr>
            </w:pPr>
            <w:r>
              <w:rPr>
                <w:rFonts w:hint="eastAsia"/>
                <w:color w:val="auto"/>
                <w:lang w:val="en-US" w:eastAsia="zh-CN"/>
              </w:rPr>
              <w:t>出院：术后恢复的宠物办理出院手续。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627" w:type="dxa"/>
            <w:noWrap w:val="0"/>
            <w:vAlign w:val="center"/>
          </w:tcPr>
          <w:p>
            <w:pPr>
              <w:pStyle w:val="108"/>
              <w:ind w:firstLine="0" w:firstLineChars="0"/>
              <w:jc w:val="center"/>
              <w:rPr>
                <w:rFonts w:hint="eastAsia"/>
                <w:color w:val="auto"/>
              </w:rPr>
            </w:pPr>
            <w:r>
              <w:rPr>
                <w:rFonts w:hint="eastAsia"/>
                <w:color w:val="auto"/>
              </w:rPr>
              <w:t>与项目有关的原有环境污染问题</w:t>
            </w:r>
          </w:p>
        </w:tc>
        <w:tc>
          <w:tcPr>
            <w:tcW w:w="8433" w:type="dxa"/>
            <w:noWrap w:val="0"/>
            <w:vAlign w:val="center"/>
          </w:tcPr>
          <w:p>
            <w:pPr>
              <w:pStyle w:val="110"/>
              <w:bidi w:val="0"/>
              <w:rPr>
                <w:rFonts w:hint="eastAsia"/>
                <w:color w:val="auto"/>
              </w:rPr>
            </w:pPr>
            <w:r>
              <w:rPr>
                <w:rFonts w:hint="eastAsia"/>
                <w:color w:val="auto"/>
              </w:rPr>
              <w:t>本项目为新建项目，租用</w:t>
            </w:r>
            <w:r>
              <w:rPr>
                <w:rFonts w:hint="eastAsia"/>
                <w:color w:val="auto"/>
                <w:lang w:eastAsia="zh-CN"/>
              </w:rPr>
              <w:t>乐山市市中区凤洲路2028号2楼2号</w:t>
            </w:r>
            <w:r>
              <w:rPr>
                <w:rFonts w:hint="eastAsia"/>
                <w:color w:val="auto"/>
              </w:rPr>
              <w:t>的商铺来进行建设，</w:t>
            </w:r>
            <w:r>
              <w:rPr>
                <w:rFonts w:hint="eastAsia"/>
                <w:color w:val="auto"/>
                <w:lang w:eastAsia="zh-CN"/>
              </w:rPr>
              <w:t>本项目已建成尚未投入运营</w:t>
            </w:r>
            <w:r>
              <w:rPr>
                <w:rFonts w:hint="eastAsia"/>
                <w:color w:val="auto"/>
              </w:rPr>
              <w:t>，经走访调查，该商铺原作为商业性用途使用，不涉及原有环境污染问题，项目建设地址无环境遗留问题</w:t>
            </w:r>
            <w:r>
              <w:rPr>
                <w:rFonts w:hint="eastAsia"/>
                <w:color w:val="auto"/>
                <w:lang w:eastAsia="zh-CN"/>
              </w:rPr>
              <w:t>，项目建设期间未接到环境相关投诉，施工期产生的污染物均得到了合理处置</w:t>
            </w:r>
            <w:r>
              <w:rPr>
                <w:rFonts w:hint="eastAsia"/>
                <w:color w:val="auto"/>
              </w:rPr>
              <w:t>。</w:t>
            </w:r>
          </w:p>
          <w:p>
            <w:pPr>
              <w:pStyle w:val="110"/>
              <w:bidi w:val="0"/>
              <w:rPr>
                <w:rFonts w:hint="eastAsia"/>
                <w:color w:val="auto"/>
                <w:lang w:eastAsia="zh-CN"/>
              </w:rPr>
            </w:pPr>
            <w:r>
              <w:rPr>
                <w:rFonts w:hint="eastAsia"/>
                <w:color w:val="auto"/>
                <w:lang w:eastAsia="zh-CN"/>
              </w:rPr>
              <w:t>项目涉及未批先建，本项目已基本建成，本次环评为补评手续，环评工作开展之前，针对项目已建成的现场情况进行了详细调查。根据现场调查情况，本次评价将针对项目存在的问题进行汇总，并提出针对性的整改措施。根据现场调查，本项目存在的主要环境问题及整改要求如下：</w:t>
            </w:r>
          </w:p>
          <w:p>
            <w:pPr>
              <w:pStyle w:val="123"/>
              <w:bidi w:val="0"/>
              <w:rPr>
                <w:rFonts w:hint="eastAsia"/>
                <w:lang w:eastAsia="zh-CN"/>
              </w:rPr>
            </w:pPr>
            <w:r>
              <w:rPr>
                <w:rFonts w:hint="eastAsia"/>
                <w:lang w:eastAsia="zh-CN"/>
              </w:rPr>
              <w:t>表2-</w:t>
            </w:r>
            <w:r>
              <w:rPr>
                <w:rFonts w:hint="eastAsia"/>
                <w:lang w:val="en-US" w:eastAsia="zh-CN"/>
              </w:rPr>
              <w:t>5</w:t>
            </w:r>
            <w:r>
              <w:rPr>
                <w:rFonts w:hint="eastAsia"/>
                <w:lang w:eastAsia="zh-CN"/>
              </w:rPr>
              <w:t xml:space="preserve"> 本项目整改问题一览表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2223"/>
              <w:gridCol w:w="4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4" w:type="dxa"/>
                  <w:noWrap w:val="0"/>
                  <w:vAlign w:val="center"/>
                </w:tcPr>
                <w:p>
                  <w:pPr>
                    <w:pStyle w:val="111"/>
                    <w:bidi w:val="0"/>
                    <w:rPr>
                      <w:rFonts w:hint="eastAsia"/>
                      <w:lang w:eastAsia="zh-CN"/>
                    </w:rPr>
                  </w:pPr>
                  <w:r>
                    <w:rPr>
                      <w:rFonts w:hint="eastAsia"/>
                      <w:lang w:eastAsia="zh-CN"/>
                    </w:rPr>
                    <w:t>序号</w:t>
                  </w:r>
                </w:p>
              </w:tc>
              <w:tc>
                <w:tcPr>
                  <w:tcW w:w="2370" w:type="dxa"/>
                  <w:noWrap w:val="0"/>
                  <w:vAlign w:val="center"/>
                </w:tcPr>
                <w:p>
                  <w:pPr>
                    <w:pStyle w:val="111"/>
                    <w:bidi w:val="0"/>
                    <w:rPr>
                      <w:rFonts w:hint="eastAsia"/>
                      <w:lang w:eastAsia="zh-CN"/>
                    </w:rPr>
                  </w:pPr>
                  <w:r>
                    <w:rPr>
                      <w:rFonts w:hint="eastAsia"/>
                      <w:lang w:eastAsia="zh-CN"/>
                    </w:rPr>
                    <w:t>现存问题</w:t>
                  </w:r>
                </w:p>
              </w:tc>
              <w:tc>
                <w:tcPr>
                  <w:tcW w:w="5062" w:type="dxa"/>
                  <w:noWrap w:val="0"/>
                  <w:vAlign w:val="center"/>
                </w:tcPr>
                <w:p>
                  <w:pPr>
                    <w:pStyle w:val="111"/>
                    <w:bidi w:val="0"/>
                    <w:rPr>
                      <w:rFonts w:hint="eastAsia"/>
                      <w:lang w:eastAsia="zh-CN"/>
                    </w:rPr>
                  </w:pPr>
                  <w:r>
                    <w:rPr>
                      <w:rFonts w:hint="eastAsia"/>
                      <w:lang w:eastAsia="zh-CN"/>
                    </w:rPr>
                    <w:t>整改措施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noWrap w:val="0"/>
                  <w:vAlign w:val="center"/>
                </w:tcPr>
                <w:p>
                  <w:pPr>
                    <w:pStyle w:val="111"/>
                    <w:bidi w:val="0"/>
                    <w:rPr>
                      <w:rFonts w:hint="eastAsia"/>
                      <w:lang w:eastAsia="zh-CN"/>
                    </w:rPr>
                  </w:pPr>
                  <w:r>
                    <w:rPr>
                      <w:rFonts w:hint="eastAsia"/>
                      <w:lang w:eastAsia="zh-CN"/>
                    </w:rPr>
                    <w:t>1</w:t>
                  </w:r>
                </w:p>
              </w:tc>
              <w:tc>
                <w:tcPr>
                  <w:tcW w:w="2370" w:type="dxa"/>
                  <w:noWrap w:val="0"/>
                  <w:vAlign w:val="center"/>
                </w:tcPr>
                <w:p>
                  <w:pPr>
                    <w:pStyle w:val="111"/>
                    <w:bidi w:val="0"/>
                    <w:rPr>
                      <w:rFonts w:hint="eastAsia"/>
                      <w:lang w:eastAsia="zh-CN"/>
                    </w:rPr>
                  </w:pPr>
                  <w:r>
                    <w:rPr>
                      <w:rFonts w:hint="eastAsia"/>
                      <w:lang w:eastAsia="zh-CN"/>
                    </w:rPr>
                    <w:t>医院内无规范的医疗废物暂存设施</w:t>
                  </w:r>
                </w:p>
              </w:tc>
              <w:tc>
                <w:tcPr>
                  <w:tcW w:w="5062" w:type="dxa"/>
                  <w:noWrap w:val="0"/>
                  <w:vAlign w:val="center"/>
                </w:tcPr>
                <w:p>
                  <w:pPr>
                    <w:pStyle w:val="111"/>
                    <w:bidi w:val="0"/>
                    <w:rPr>
                      <w:rFonts w:hint="eastAsia"/>
                      <w:lang w:eastAsia="zh-CN"/>
                    </w:rPr>
                  </w:pPr>
                  <w:r>
                    <w:rPr>
                      <w:rFonts w:hint="eastAsia"/>
                      <w:lang w:eastAsia="zh-CN"/>
                    </w:rPr>
                    <w:t>按照《危险废物贮存污染控制标准》（GB18597-2001）要求进行设置医疗废物暂存间，张贴标示标牌，采取重点防渗措施：在原有地面硬化的基础上，铺设 2mm 厚环氧树脂地坪漆+不锈钢金属托盘进行防渗，满足等效黏土层 Mb≥6.0m，渗透系数 K≤1.0×10-10cm/s 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noWrap w:val="0"/>
                  <w:vAlign w:val="center"/>
                </w:tcPr>
                <w:p>
                  <w:pPr>
                    <w:pStyle w:val="111"/>
                    <w:bidi w:val="0"/>
                    <w:rPr>
                      <w:rFonts w:hint="eastAsia"/>
                      <w:lang w:eastAsia="zh-CN"/>
                    </w:rPr>
                  </w:pPr>
                  <w:r>
                    <w:rPr>
                      <w:rFonts w:hint="eastAsia"/>
                      <w:lang w:val="en-US" w:eastAsia="zh-CN"/>
                    </w:rPr>
                    <w:t>2</w:t>
                  </w:r>
                </w:p>
              </w:tc>
              <w:tc>
                <w:tcPr>
                  <w:tcW w:w="2370" w:type="dxa"/>
                  <w:noWrap w:val="0"/>
                  <w:vAlign w:val="center"/>
                </w:tcPr>
                <w:p>
                  <w:pPr>
                    <w:pStyle w:val="111"/>
                    <w:bidi w:val="0"/>
                    <w:rPr>
                      <w:rFonts w:hint="eastAsia"/>
                      <w:lang w:eastAsia="zh-CN"/>
                    </w:rPr>
                  </w:pPr>
                  <w:r>
                    <w:rPr>
                      <w:rFonts w:hint="eastAsia"/>
                      <w:lang w:eastAsia="zh-CN"/>
                    </w:rPr>
                    <w:t>无废水事故收集设施</w:t>
                  </w:r>
                </w:p>
              </w:tc>
              <w:tc>
                <w:tcPr>
                  <w:tcW w:w="5062" w:type="dxa"/>
                  <w:noWrap w:val="0"/>
                  <w:vAlign w:val="center"/>
                </w:tcPr>
                <w:p>
                  <w:pPr>
                    <w:pStyle w:val="111"/>
                    <w:bidi w:val="0"/>
                    <w:rPr>
                      <w:rFonts w:hint="eastAsia"/>
                      <w:lang w:eastAsia="zh-CN"/>
                    </w:rPr>
                  </w:pPr>
                  <w:r>
                    <w:rPr>
                      <w:rFonts w:hint="eastAsia"/>
                      <w:lang w:eastAsia="zh-CN"/>
                    </w:rPr>
                    <w:t>设置事故废水应急收集池（桶）</w:t>
                  </w:r>
                </w:p>
              </w:tc>
            </w:tr>
          </w:tbl>
          <w:p>
            <w:pPr>
              <w:pStyle w:val="110"/>
              <w:bidi w:val="0"/>
              <w:ind w:left="0" w:leftChars="0" w:firstLine="0" w:firstLineChars="0"/>
              <w:rPr>
                <w:rFonts w:hint="eastAsia"/>
                <w:color w:val="auto"/>
                <w:lang w:eastAsia="zh-CN"/>
              </w:rPr>
            </w:pPr>
          </w:p>
        </w:tc>
      </w:tr>
    </w:tbl>
    <w:p>
      <w:pPr>
        <w:pStyle w:val="34"/>
        <w:jc w:val="center"/>
        <w:rPr>
          <w:rFonts w:ascii="黑体" w:hAnsi="黑体" w:eastAsia="黑体"/>
          <w:snapToGrid w:val="0"/>
          <w:color w:val="auto"/>
          <w:sz w:val="36"/>
          <w:szCs w:val="36"/>
        </w:rPr>
        <w:sectPr>
          <w:headerReference r:id="rId13" w:type="default"/>
          <w:pgSz w:w="11906" w:h="16838"/>
          <w:pgMar w:top="1701" w:right="1531" w:bottom="1701" w:left="1531" w:header="851" w:footer="851" w:gutter="0"/>
          <w:cols w:space="720" w:num="1"/>
          <w:docGrid w:linePitch="312" w:charSpace="0"/>
        </w:sectPr>
      </w:pPr>
    </w:p>
    <w:p>
      <w:pPr>
        <w:pStyle w:val="34"/>
        <w:adjustRightInd w:val="0"/>
        <w:snapToGrid w:val="0"/>
        <w:spacing w:before="0" w:beforeAutospacing="0" w:after="0" w:afterAutospacing="0" w:line="14" w:lineRule="auto"/>
        <w:ind w:firstLine="600"/>
        <w:jc w:val="center"/>
        <w:rPr>
          <w:rFonts w:hint="eastAsia" w:ascii="黑体" w:hAnsi="黑体" w:eastAsia="黑体"/>
          <w:snapToGrid w:val="0"/>
          <w:color w:val="auto"/>
          <w:sz w:val="30"/>
          <w:szCs w:val="30"/>
        </w:rPr>
      </w:pPr>
    </w:p>
    <w:p>
      <w:pPr>
        <w:pStyle w:val="4"/>
        <w:ind w:firstLine="602"/>
        <w:rPr>
          <w:color w:val="auto"/>
        </w:rPr>
      </w:pPr>
      <w:bookmarkStart w:id="4" w:name="_Toc29106"/>
      <w:r>
        <w:rPr>
          <w:rFonts w:hint="eastAsia"/>
          <w:color w:val="auto"/>
        </w:rPr>
        <w:t>三、区域环境质量现状、环境保护目标及评价标准</w:t>
      </w:r>
      <w:bookmarkEnd w:id="4"/>
    </w:p>
    <w:tbl>
      <w:tblPr>
        <w:tblStyle w:val="39"/>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89"/>
        <w:gridCol w:w="86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48" w:type="pct"/>
            <w:noWrap w:val="0"/>
            <w:vAlign w:val="center"/>
          </w:tcPr>
          <w:p>
            <w:pPr>
              <w:pStyle w:val="110"/>
              <w:ind w:firstLine="0" w:firstLineChars="0"/>
              <w:jc w:val="center"/>
              <w:rPr>
                <w:rFonts w:hint="eastAsia"/>
                <w:color w:val="auto"/>
              </w:rPr>
            </w:pPr>
            <w:r>
              <w:rPr>
                <w:rFonts w:hint="eastAsia"/>
                <w:color w:val="auto"/>
              </w:rPr>
              <w:t>区域环境质量现状</w:t>
            </w:r>
          </w:p>
        </w:tc>
        <w:tc>
          <w:tcPr>
            <w:tcW w:w="4651" w:type="pct"/>
            <w:noWrap w:val="0"/>
            <w:vAlign w:val="center"/>
          </w:tcPr>
          <w:p>
            <w:pPr>
              <w:pStyle w:val="110"/>
              <w:ind w:firstLine="480"/>
              <w:rPr>
                <w:rFonts w:hint="eastAsia"/>
                <w:color w:val="auto"/>
              </w:rPr>
            </w:pPr>
            <w:r>
              <w:rPr>
                <w:color w:val="auto"/>
              </w:rPr>
              <w:t>本项目为</w:t>
            </w:r>
            <w:r>
              <w:rPr>
                <w:rFonts w:hint="eastAsia"/>
                <w:color w:val="auto"/>
              </w:rPr>
              <w:t>新</w:t>
            </w:r>
            <w:r>
              <w:rPr>
                <w:color w:val="auto"/>
              </w:rPr>
              <w:t>建项目，</w:t>
            </w:r>
            <w:r>
              <w:rPr>
                <w:rFonts w:hint="eastAsia"/>
                <w:color w:val="auto"/>
              </w:rPr>
              <w:t>建设地点</w:t>
            </w:r>
            <w:r>
              <w:rPr>
                <w:color w:val="auto"/>
              </w:rPr>
              <w:t>位于</w:t>
            </w:r>
            <w:r>
              <w:rPr>
                <w:rFonts w:hint="eastAsia"/>
                <w:color w:val="auto"/>
                <w:lang w:eastAsia="zh-CN"/>
              </w:rPr>
              <w:t>乐山市市中区凤洲路2028号2楼2号</w:t>
            </w:r>
            <w:r>
              <w:rPr>
                <w:color w:val="auto"/>
              </w:rPr>
              <w:t>，</w:t>
            </w:r>
            <w:r>
              <w:rPr>
                <w:rFonts w:hint="eastAsia"/>
                <w:color w:val="auto"/>
              </w:rPr>
              <w:t>为了解当地空气环境质量现状，本次评价采用现场监测与资料复用法相结合的方式，对本项目所在区域地块的环境质量现状进行分析。项目特委托四川清蓝检测科技有限责任公司对项目建设所在地进行了环境现状监测。</w:t>
            </w:r>
          </w:p>
          <w:p>
            <w:pPr>
              <w:pStyle w:val="5"/>
              <w:numPr>
                <w:ilvl w:val="0"/>
                <w:numId w:val="0"/>
              </w:numPr>
              <w:spacing w:after="120"/>
              <w:rPr>
                <w:color w:val="auto"/>
              </w:rPr>
            </w:pPr>
            <w:r>
              <w:rPr>
                <w:rFonts w:hint="eastAsia"/>
                <w:color w:val="auto"/>
                <w:lang w:val="en-US" w:eastAsia="zh-CN"/>
              </w:rPr>
              <w:t>1、</w:t>
            </w:r>
            <w:r>
              <w:rPr>
                <w:color w:val="auto"/>
              </w:rPr>
              <w:t>大气环境质量现状</w:t>
            </w:r>
          </w:p>
          <w:p>
            <w:pPr>
              <w:spacing w:line="480" w:lineRule="exact"/>
              <w:ind w:firstLine="480"/>
              <w:rPr>
                <w:color w:val="auto"/>
                <w:sz w:val="24"/>
              </w:rPr>
            </w:pPr>
            <w:r>
              <w:rPr>
                <w:rFonts w:hint="eastAsia"/>
                <w:color w:val="auto"/>
                <w:sz w:val="24"/>
              </w:rPr>
              <w:t>根据《乐山市2021年环境质量公报》：2021年乐山市主城区环境空气有效监测天数为365天，达标天数314天，达标率86.0%，全年优125天，良189天，轻度污染45天，中度污染6天，重度污染0天。全年以臭氧为首要污染物的天数为111天，占46.2%；以细微颗粒物为首要污染物的天数为105天，占比43.8%；以可吸入颗粒物为首要污染物的天数为22天，占9.2%；以可吸入颗粒物和细颗粒同时为首要污染物的天数为2天，占0.8%。</w:t>
            </w:r>
          </w:p>
          <w:p>
            <w:pPr>
              <w:spacing w:line="480" w:lineRule="exact"/>
              <w:ind w:firstLine="480"/>
              <w:rPr>
                <w:rFonts w:hint="eastAsia"/>
                <w:color w:val="auto"/>
                <w:sz w:val="24"/>
              </w:rPr>
            </w:pPr>
            <w:r>
              <w:rPr>
                <w:rFonts w:hint="eastAsia"/>
                <w:color w:val="auto"/>
                <w:sz w:val="24"/>
              </w:rPr>
              <w:t xml:space="preserve">2021年乐山市空气质量数据统计见下表： </w:t>
            </w:r>
          </w:p>
          <w:p>
            <w:pPr>
              <w:pStyle w:val="123"/>
              <w:bidi w:val="0"/>
            </w:pPr>
            <w:r>
              <w:rPr>
                <w:rFonts w:hint="eastAsia"/>
              </w:rPr>
              <w:t>表3-1 乐山市2021年空气质量数据统计表   单位：ug/m</w:t>
            </w:r>
            <w:r>
              <w:t>³</w:t>
            </w:r>
            <w:r>
              <w:rPr>
                <w:rFonts w:hint="eastAsia"/>
              </w:rPr>
              <w:t xml:space="preserve">  CO为m</w:t>
            </w:r>
            <w:r>
              <w:t>g/m³</w:t>
            </w:r>
          </w:p>
          <w:tbl>
            <w:tblPr>
              <w:tblStyle w:val="3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3273"/>
              <w:gridCol w:w="1181"/>
              <w:gridCol w:w="1181"/>
              <w:gridCol w:w="1168"/>
              <w:gridCol w:w="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noWrap w:val="0"/>
                  <w:vAlign w:val="center"/>
                </w:tcPr>
                <w:p>
                  <w:pPr>
                    <w:pStyle w:val="124"/>
                    <w:rPr>
                      <w:rFonts w:hint="eastAsia"/>
                      <w:color w:val="auto"/>
                    </w:rPr>
                  </w:pPr>
                  <w:r>
                    <w:rPr>
                      <w:rFonts w:hint="eastAsia"/>
                      <w:color w:val="auto"/>
                    </w:rPr>
                    <w:t>污染物</w:t>
                  </w:r>
                </w:p>
              </w:tc>
              <w:tc>
                <w:tcPr>
                  <w:tcW w:w="1937" w:type="pct"/>
                  <w:noWrap w:val="0"/>
                  <w:vAlign w:val="center"/>
                </w:tcPr>
                <w:p>
                  <w:pPr>
                    <w:pStyle w:val="124"/>
                    <w:rPr>
                      <w:rFonts w:hint="eastAsia"/>
                      <w:color w:val="auto"/>
                    </w:rPr>
                  </w:pPr>
                  <w:r>
                    <w:rPr>
                      <w:rFonts w:hint="eastAsia"/>
                      <w:color w:val="auto"/>
                    </w:rPr>
                    <w:t>年</w:t>
                  </w:r>
                  <w:r>
                    <w:rPr>
                      <w:color w:val="auto"/>
                    </w:rPr>
                    <w:t>评价指标</w:t>
                  </w:r>
                </w:p>
              </w:tc>
              <w:tc>
                <w:tcPr>
                  <w:tcW w:w="699" w:type="pct"/>
                  <w:noWrap w:val="0"/>
                  <w:vAlign w:val="center"/>
                </w:tcPr>
                <w:p>
                  <w:pPr>
                    <w:pStyle w:val="124"/>
                    <w:rPr>
                      <w:rFonts w:hint="eastAsia"/>
                      <w:color w:val="auto"/>
                    </w:rPr>
                  </w:pPr>
                  <w:r>
                    <w:rPr>
                      <w:rFonts w:hint="eastAsia"/>
                      <w:color w:val="auto"/>
                    </w:rPr>
                    <w:t>现状</w:t>
                  </w:r>
                  <w:r>
                    <w:rPr>
                      <w:color w:val="auto"/>
                    </w:rPr>
                    <w:t>浓度（ug/m³）</w:t>
                  </w:r>
                </w:p>
              </w:tc>
              <w:tc>
                <w:tcPr>
                  <w:tcW w:w="699" w:type="pct"/>
                  <w:noWrap w:val="0"/>
                  <w:vAlign w:val="center"/>
                </w:tcPr>
                <w:p>
                  <w:pPr>
                    <w:pStyle w:val="124"/>
                    <w:rPr>
                      <w:rFonts w:hint="eastAsia"/>
                      <w:color w:val="auto"/>
                    </w:rPr>
                  </w:pPr>
                  <w:r>
                    <w:rPr>
                      <w:rFonts w:hint="eastAsia"/>
                      <w:color w:val="auto"/>
                    </w:rPr>
                    <w:t>标准</w:t>
                  </w:r>
                  <w:r>
                    <w:rPr>
                      <w:color w:val="auto"/>
                    </w:rPr>
                    <w:t>值（ug/m³）</w:t>
                  </w:r>
                </w:p>
              </w:tc>
              <w:tc>
                <w:tcPr>
                  <w:tcW w:w="691" w:type="pct"/>
                  <w:noWrap w:val="0"/>
                  <w:vAlign w:val="center"/>
                </w:tcPr>
                <w:p>
                  <w:pPr>
                    <w:pStyle w:val="124"/>
                    <w:rPr>
                      <w:rFonts w:hint="eastAsia"/>
                      <w:color w:val="auto"/>
                    </w:rPr>
                  </w:pPr>
                  <w:r>
                    <w:rPr>
                      <w:rFonts w:hint="eastAsia"/>
                      <w:color w:val="auto"/>
                    </w:rPr>
                    <w:t>占标率</w:t>
                  </w:r>
                  <w:r>
                    <w:rPr>
                      <w:color w:val="auto"/>
                    </w:rPr>
                    <w:t>（</w:t>
                  </w:r>
                  <w:r>
                    <w:rPr>
                      <w:rFonts w:hint="eastAsia"/>
                      <w:color w:val="auto"/>
                    </w:rPr>
                    <w:t>%</w:t>
                  </w:r>
                  <w:r>
                    <w:rPr>
                      <w:color w:val="auto"/>
                    </w:rPr>
                    <w:t>）</w:t>
                  </w:r>
                </w:p>
              </w:tc>
              <w:tc>
                <w:tcPr>
                  <w:tcW w:w="442" w:type="pct"/>
                  <w:noWrap w:val="0"/>
                  <w:vAlign w:val="center"/>
                </w:tcPr>
                <w:p>
                  <w:pPr>
                    <w:pStyle w:val="124"/>
                    <w:rPr>
                      <w:rFonts w:hint="eastAsia"/>
                      <w:color w:val="auto"/>
                    </w:rPr>
                  </w:pPr>
                  <w:r>
                    <w:rPr>
                      <w:rFonts w:hint="eastAsia"/>
                      <w:color w:val="auto"/>
                    </w:rPr>
                    <w:t>达标</w:t>
                  </w:r>
                  <w:r>
                    <w:rPr>
                      <w:color w:val="auto"/>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noWrap w:val="0"/>
                  <w:vAlign w:val="center"/>
                </w:tcPr>
                <w:p>
                  <w:pPr>
                    <w:pStyle w:val="124"/>
                    <w:rPr>
                      <w:rFonts w:hint="eastAsia"/>
                      <w:color w:val="auto"/>
                    </w:rPr>
                  </w:pPr>
                  <w:r>
                    <w:rPr>
                      <w:rFonts w:hint="eastAsia"/>
                      <w:color w:val="auto"/>
                    </w:rPr>
                    <w:t>SO</w:t>
                  </w:r>
                  <w:r>
                    <w:rPr>
                      <w:rFonts w:hint="eastAsia"/>
                      <w:color w:val="auto"/>
                      <w:vertAlign w:val="subscript"/>
                    </w:rPr>
                    <w:t>2</w:t>
                  </w:r>
                </w:p>
              </w:tc>
              <w:tc>
                <w:tcPr>
                  <w:tcW w:w="1937" w:type="pct"/>
                  <w:vMerge w:val="restart"/>
                  <w:noWrap w:val="0"/>
                  <w:vAlign w:val="center"/>
                </w:tcPr>
                <w:p>
                  <w:pPr>
                    <w:pStyle w:val="124"/>
                    <w:rPr>
                      <w:rFonts w:hint="eastAsia"/>
                      <w:color w:val="auto"/>
                    </w:rPr>
                  </w:pPr>
                  <w:r>
                    <w:rPr>
                      <w:rFonts w:hint="eastAsia"/>
                      <w:color w:val="auto"/>
                    </w:rPr>
                    <w:t>年平均</w:t>
                  </w:r>
                  <w:r>
                    <w:rPr>
                      <w:color w:val="auto"/>
                    </w:rPr>
                    <w:t>质量浓度</w:t>
                  </w:r>
                </w:p>
              </w:tc>
              <w:tc>
                <w:tcPr>
                  <w:tcW w:w="699" w:type="pct"/>
                  <w:noWrap w:val="0"/>
                  <w:vAlign w:val="center"/>
                </w:tcPr>
                <w:p>
                  <w:pPr>
                    <w:pStyle w:val="124"/>
                    <w:rPr>
                      <w:rFonts w:hint="eastAsia"/>
                      <w:color w:val="auto"/>
                    </w:rPr>
                  </w:pPr>
                  <w:r>
                    <w:rPr>
                      <w:rFonts w:hint="eastAsia"/>
                      <w:color w:val="auto"/>
                    </w:rPr>
                    <w:t>9</w:t>
                  </w:r>
                </w:p>
              </w:tc>
              <w:tc>
                <w:tcPr>
                  <w:tcW w:w="699" w:type="pct"/>
                  <w:noWrap w:val="0"/>
                  <w:vAlign w:val="center"/>
                </w:tcPr>
                <w:p>
                  <w:pPr>
                    <w:pStyle w:val="124"/>
                    <w:rPr>
                      <w:rFonts w:hint="eastAsia"/>
                      <w:color w:val="auto"/>
                    </w:rPr>
                  </w:pPr>
                  <w:r>
                    <w:rPr>
                      <w:rFonts w:hint="eastAsia"/>
                      <w:color w:val="auto"/>
                    </w:rPr>
                    <w:t>60</w:t>
                  </w:r>
                </w:p>
              </w:tc>
              <w:tc>
                <w:tcPr>
                  <w:tcW w:w="691" w:type="pct"/>
                  <w:noWrap w:val="0"/>
                  <w:vAlign w:val="center"/>
                </w:tcPr>
                <w:p>
                  <w:pPr>
                    <w:pStyle w:val="124"/>
                    <w:rPr>
                      <w:color w:val="auto"/>
                    </w:rPr>
                  </w:pPr>
                  <w:r>
                    <w:rPr>
                      <w:rFonts w:hint="eastAsia"/>
                      <w:color w:val="auto"/>
                    </w:rPr>
                    <w:t>15.0</w:t>
                  </w:r>
                </w:p>
              </w:tc>
              <w:tc>
                <w:tcPr>
                  <w:tcW w:w="442" w:type="pct"/>
                  <w:noWrap w:val="0"/>
                  <w:vAlign w:val="center"/>
                </w:tcPr>
                <w:p>
                  <w:pPr>
                    <w:pStyle w:val="124"/>
                    <w:rPr>
                      <w:rFonts w:hint="eastAsia"/>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noWrap w:val="0"/>
                  <w:vAlign w:val="center"/>
                </w:tcPr>
                <w:p>
                  <w:pPr>
                    <w:pStyle w:val="124"/>
                    <w:rPr>
                      <w:rFonts w:hint="eastAsia"/>
                      <w:color w:val="auto"/>
                    </w:rPr>
                  </w:pPr>
                  <w:r>
                    <w:rPr>
                      <w:rFonts w:hint="eastAsia"/>
                      <w:color w:val="auto"/>
                    </w:rPr>
                    <w:t>NO</w:t>
                  </w:r>
                  <w:r>
                    <w:rPr>
                      <w:rFonts w:hint="eastAsia"/>
                      <w:color w:val="auto"/>
                      <w:vertAlign w:val="subscript"/>
                    </w:rPr>
                    <w:t>2</w:t>
                  </w:r>
                </w:p>
              </w:tc>
              <w:tc>
                <w:tcPr>
                  <w:tcW w:w="1937" w:type="pct"/>
                  <w:vMerge w:val="continue"/>
                  <w:noWrap w:val="0"/>
                  <w:vAlign w:val="center"/>
                </w:tcPr>
                <w:p>
                  <w:pPr>
                    <w:pStyle w:val="124"/>
                    <w:rPr>
                      <w:rFonts w:hint="eastAsia"/>
                      <w:color w:val="auto"/>
                    </w:rPr>
                  </w:pPr>
                </w:p>
              </w:tc>
              <w:tc>
                <w:tcPr>
                  <w:tcW w:w="699" w:type="pct"/>
                  <w:noWrap w:val="0"/>
                  <w:vAlign w:val="center"/>
                </w:tcPr>
                <w:p>
                  <w:pPr>
                    <w:pStyle w:val="124"/>
                    <w:rPr>
                      <w:rFonts w:hint="eastAsia"/>
                      <w:color w:val="auto"/>
                    </w:rPr>
                  </w:pPr>
                  <w:r>
                    <w:rPr>
                      <w:rFonts w:hint="eastAsia"/>
                      <w:color w:val="auto"/>
                    </w:rPr>
                    <w:t>23</w:t>
                  </w:r>
                </w:p>
              </w:tc>
              <w:tc>
                <w:tcPr>
                  <w:tcW w:w="699" w:type="pct"/>
                  <w:noWrap w:val="0"/>
                  <w:vAlign w:val="center"/>
                </w:tcPr>
                <w:p>
                  <w:pPr>
                    <w:pStyle w:val="124"/>
                    <w:rPr>
                      <w:rFonts w:hint="eastAsia"/>
                      <w:color w:val="auto"/>
                    </w:rPr>
                  </w:pPr>
                  <w:r>
                    <w:rPr>
                      <w:rFonts w:hint="eastAsia"/>
                      <w:color w:val="auto"/>
                    </w:rPr>
                    <w:t>40</w:t>
                  </w:r>
                </w:p>
              </w:tc>
              <w:tc>
                <w:tcPr>
                  <w:tcW w:w="691" w:type="pct"/>
                  <w:noWrap w:val="0"/>
                  <w:vAlign w:val="center"/>
                </w:tcPr>
                <w:p>
                  <w:pPr>
                    <w:pStyle w:val="124"/>
                    <w:rPr>
                      <w:rFonts w:hint="eastAsia"/>
                      <w:color w:val="auto"/>
                    </w:rPr>
                  </w:pPr>
                  <w:r>
                    <w:rPr>
                      <w:rFonts w:hint="eastAsia"/>
                      <w:color w:val="auto"/>
                    </w:rPr>
                    <w:t>57.5</w:t>
                  </w:r>
                </w:p>
              </w:tc>
              <w:tc>
                <w:tcPr>
                  <w:tcW w:w="442" w:type="pct"/>
                  <w:noWrap w:val="0"/>
                  <w:vAlign w:val="center"/>
                </w:tcPr>
                <w:p>
                  <w:pPr>
                    <w:pStyle w:val="124"/>
                    <w:rPr>
                      <w:rFonts w:hint="eastAsia"/>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9" w:type="pct"/>
                  <w:noWrap w:val="0"/>
                  <w:vAlign w:val="center"/>
                </w:tcPr>
                <w:p>
                  <w:pPr>
                    <w:pStyle w:val="124"/>
                    <w:rPr>
                      <w:rFonts w:hint="eastAsia"/>
                      <w:color w:val="auto"/>
                    </w:rPr>
                  </w:pPr>
                  <w:r>
                    <w:rPr>
                      <w:rFonts w:hint="eastAsia"/>
                      <w:color w:val="auto"/>
                    </w:rPr>
                    <w:t>PM</w:t>
                  </w:r>
                  <w:r>
                    <w:rPr>
                      <w:rFonts w:hint="eastAsia"/>
                      <w:color w:val="auto"/>
                      <w:vertAlign w:val="subscript"/>
                    </w:rPr>
                    <w:t>10</w:t>
                  </w:r>
                </w:p>
              </w:tc>
              <w:tc>
                <w:tcPr>
                  <w:tcW w:w="1937" w:type="pct"/>
                  <w:vMerge w:val="continue"/>
                  <w:noWrap w:val="0"/>
                  <w:vAlign w:val="center"/>
                </w:tcPr>
                <w:p>
                  <w:pPr>
                    <w:pStyle w:val="124"/>
                    <w:rPr>
                      <w:rFonts w:hint="eastAsia"/>
                      <w:color w:val="auto"/>
                    </w:rPr>
                  </w:pPr>
                </w:p>
              </w:tc>
              <w:tc>
                <w:tcPr>
                  <w:tcW w:w="699" w:type="pct"/>
                  <w:noWrap w:val="0"/>
                  <w:vAlign w:val="center"/>
                </w:tcPr>
                <w:p>
                  <w:pPr>
                    <w:pStyle w:val="124"/>
                    <w:rPr>
                      <w:rFonts w:hint="eastAsia"/>
                      <w:color w:val="auto"/>
                    </w:rPr>
                  </w:pPr>
                  <w:r>
                    <w:rPr>
                      <w:rFonts w:hint="eastAsia"/>
                      <w:color w:val="auto"/>
                    </w:rPr>
                    <w:t>54</w:t>
                  </w:r>
                </w:p>
              </w:tc>
              <w:tc>
                <w:tcPr>
                  <w:tcW w:w="699" w:type="pct"/>
                  <w:noWrap w:val="0"/>
                  <w:vAlign w:val="center"/>
                </w:tcPr>
                <w:p>
                  <w:pPr>
                    <w:pStyle w:val="124"/>
                    <w:rPr>
                      <w:rFonts w:hint="eastAsia"/>
                      <w:color w:val="auto"/>
                    </w:rPr>
                  </w:pPr>
                  <w:r>
                    <w:rPr>
                      <w:rFonts w:hint="eastAsia"/>
                      <w:color w:val="auto"/>
                    </w:rPr>
                    <w:t>70</w:t>
                  </w:r>
                </w:p>
              </w:tc>
              <w:tc>
                <w:tcPr>
                  <w:tcW w:w="691" w:type="pct"/>
                  <w:noWrap w:val="0"/>
                  <w:vAlign w:val="center"/>
                </w:tcPr>
                <w:p>
                  <w:pPr>
                    <w:pStyle w:val="124"/>
                    <w:rPr>
                      <w:color w:val="auto"/>
                    </w:rPr>
                  </w:pPr>
                  <w:r>
                    <w:rPr>
                      <w:rFonts w:hint="eastAsia"/>
                      <w:color w:val="auto"/>
                    </w:rPr>
                    <w:t>77.14</w:t>
                  </w:r>
                </w:p>
              </w:tc>
              <w:tc>
                <w:tcPr>
                  <w:tcW w:w="442" w:type="pct"/>
                  <w:noWrap w:val="0"/>
                  <w:vAlign w:val="center"/>
                </w:tcPr>
                <w:p>
                  <w:pPr>
                    <w:pStyle w:val="124"/>
                    <w:rPr>
                      <w:rFonts w:hint="eastAsia"/>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noWrap w:val="0"/>
                  <w:vAlign w:val="center"/>
                </w:tcPr>
                <w:p>
                  <w:pPr>
                    <w:pStyle w:val="124"/>
                    <w:rPr>
                      <w:rFonts w:hint="eastAsia"/>
                      <w:color w:val="auto"/>
                    </w:rPr>
                  </w:pPr>
                  <w:r>
                    <w:rPr>
                      <w:rFonts w:hint="eastAsia"/>
                      <w:color w:val="auto"/>
                    </w:rPr>
                    <w:t>PM</w:t>
                  </w:r>
                  <w:r>
                    <w:rPr>
                      <w:color w:val="auto"/>
                      <w:vertAlign w:val="subscript"/>
                    </w:rPr>
                    <w:t>2.5</w:t>
                  </w:r>
                </w:p>
              </w:tc>
              <w:tc>
                <w:tcPr>
                  <w:tcW w:w="1937" w:type="pct"/>
                  <w:vMerge w:val="continue"/>
                  <w:noWrap w:val="0"/>
                  <w:vAlign w:val="center"/>
                </w:tcPr>
                <w:p>
                  <w:pPr>
                    <w:pStyle w:val="124"/>
                    <w:rPr>
                      <w:rFonts w:hint="eastAsia"/>
                      <w:color w:val="auto"/>
                    </w:rPr>
                  </w:pPr>
                </w:p>
              </w:tc>
              <w:tc>
                <w:tcPr>
                  <w:tcW w:w="699" w:type="pct"/>
                  <w:noWrap w:val="0"/>
                  <w:vAlign w:val="center"/>
                </w:tcPr>
                <w:p>
                  <w:pPr>
                    <w:pStyle w:val="124"/>
                    <w:rPr>
                      <w:rFonts w:hint="eastAsia"/>
                      <w:color w:val="auto"/>
                    </w:rPr>
                  </w:pPr>
                  <w:r>
                    <w:rPr>
                      <w:rFonts w:hint="eastAsia"/>
                      <w:color w:val="auto"/>
                    </w:rPr>
                    <w:t>35</w:t>
                  </w:r>
                </w:p>
              </w:tc>
              <w:tc>
                <w:tcPr>
                  <w:tcW w:w="699" w:type="pct"/>
                  <w:noWrap w:val="0"/>
                  <w:vAlign w:val="center"/>
                </w:tcPr>
                <w:p>
                  <w:pPr>
                    <w:pStyle w:val="124"/>
                    <w:rPr>
                      <w:rFonts w:hint="eastAsia"/>
                      <w:color w:val="auto"/>
                    </w:rPr>
                  </w:pPr>
                  <w:r>
                    <w:rPr>
                      <w:rFonts w:hint="eastAsia"/>
                      <w:color w:val="auto"/>
                    </w:rPr>
                    <w:t>35</w:t>
                  </w:r>
                </w:p>
              </w:tc>
              <w:tc>
                <w:tcPr>
                  <w:tcW w:w="691" w:type="pct"/>
                  <w:noWrap w:val="0"/>
                  <w:vAlign w:val="center"/>
                </w:tcPr>
                <w:p>
                  <w:pPr>
                    <w:pStyle w:val="124"/>
                    <w:rPr>
                      <w:color w:val="auto"/>
                    </w:rPr>
                  </w:pPr>
                  <w:r>
                    <w:rPr>
                      <w:rFonts w:hint="eastAsia"/>
                      <w:color w:val="auto"/>
                    </w:rPr>
                    <w:t>100</w:t>
                  </w:r>
                </w:p>
              </w:tc>
              <w:tc>
                <w:tcPr>
                  <w:tcW w:w="442" w:type="pct"/>
                  <w:noWrap w:val="0"/>
                  <w:vAlign w:val="center"/>
                </w:tcPr>
                <w:p>
                  <w:pPr>
                    <w:pStyle w:val="124"/>
                    <w:rPr>
                      <w:rFonts w:hint="eastAsia"/>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noWrap w:val="0"/>
                  <w:vAlign w:val="center"/>
                </w:tcPr>
                <w:p>
                  <w:pPr>
                    <w:pStyle w:val="124"/>
                    <w:rPr>
                      <w:rFonts w:hint="eastAsia"/>
                      <w:color w:val="auto"/>
                    </w:rPr>
                  </w:pPr>
                  <w:r>
                    <w:rPr>
                      <w:rFonts w:hint="eastAsia"/>
                      <w:color w:val="auto"/>
                    </w:rPr>
                    <w:t>CO</w:t>
                  </w:r>
                </w:p>
              </w:tc>
              <w:tc>
                <w:tcPr>
                  <w:tcW w:w="1937" w:type="pct"/>
                  <w:noWrap w:val="0"/>
                  <w:vAlign w:val="center"/>
                </w:tcPr>
                <w:p>
                  <w:pPr>
                    <w:pStyle w:val="124"/>
                    <w:rPr>
                      <w:rFonts w:hint="eastAsia"/>
                      <w:color w:val="auto"/>
                    </w:rPr>
                  </w:pPr>
                  <w:r>
                    <w:rPr>
                      <w:rFonts w:hint="eastAsia"/>
                      <w:color w:val="auto"/>
                    </w:rPr>
                    <w:t>日</w:t>
                  </w:r>
                  <w:r>
                    <w:rPr>
                      <w:color w:val="auto"/>
                    </w:rPr>
                    <w:t>均值第</w:t>
                  </w:r>
                  <w:r>
                    <w:rPr>
                      <w:rFonts w:hint="eastAsia"/>
                      <w:color w:val="auto"/>
                    </w:rPr>
                    <w:t>95百分位</w:t>
                  </w:r>
                  <w:r>
                    <w:rPr>
                      <w:color w:val="auto"/>
                    </w:rPr>
                    <w:t>数</w:t>
                  </w:r>
                </w:p>
              </w:tc>
              <w:tc>
                <w:tcPr>
                  <w:tcW w:w="699" w:type="pct"/>
                  <w:noWrap w:val="0"/>
                  <w:vAlign w:val="center"/>
                </w:tcPr>
                <w:p>
                  <w:pPr>
                    <w:pStyle w:val="124"/>
                    <w:rPr>
                      <w:color w:val="auto"/>
                    </w:rPr>
                  </w:pPr>
                  <w:r>
                    <w:rPr>
                      <w:rFonts w:hint="eastAsia"/>
                      <w:color w:val="auto"/>
                    </w:rPr>
                    <w:t>1.0</w:t>
                  </w:r>
                </w:p>
              </w:tc>
              <w:tc>
                <w:tcPr>
                  <w:tcW w:w="699" w:type="pct"/>
                  <w:noWrap w:val="0"/>
                  <w:vAlign w:val="center"/>
                </w:tcPr>
                <w:p>
                  <w:pPr>
                    <w:pStyle w:val="124"/>
                    <w:rPr>
                      <w:rFonts w:hint="eastAsia"/>
                      <w:color w:val="auto"/>
                    </w:rPr>
                  </w:pPr>
                  <w:r>
                    <w:rPr>
                      <w:rFonts w:hint="eastAsia"/>
                      <w:color w:val="auto"/>
                    </w:rPr>
                    <w:t>4</w:t>
                  </w:r>
                </w:p>
              </w:tc>
              <w:tc>
                <w:tcPr>
                  <w:tcW w:w="691" w:type="pct"/>
                  <w:noWrap w:val="0"/>
                  <w:vAlign w:val="center"/>
                </w:tcPr>
                <w:p>
                  <w:pPr>
                    <w:pStyle w:val="124"/>
                    <w:rPr>
                      <w:color w:val="auto"/>
                    </w:rPr>
                  </w:pPr>
                  <w:r>
                    <w:rPr>
                      <w:rFonts w:hint="eastAsia"/>
                      <w:color w:val="auto"/>
                    </w:rPr>
                    <w:t>25.0</w:t>
                  </w:r>
                </w:p>
              </w:tc>
              <w:tc>
                <w:tcPr>
                  <w:tcW w:w="442" w:type="pct"/>
                  <w:noWrap w:val="0"/>
                  <w:vAlign w:val="center"/>
                </w:tcPr>
                <w:p>
                  <w:pPr>
                    <w:pStyle w:val="124"/>
                    <w:rPr>
                      <w:rFonts w:hint="eastAsia"/>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noWrap w:val="0"/>
                  <w:vAlign w:val="center"/>
                </w:tcPr>
                <w:p>
                  <w:pPr>
                    <w:pStyle w:val="124"/>
                    <w:rPr>
                      <w:rFonts w:hint="eastAsia"/>
                      <w:color w:val="auto"/>
                    </w:rPr>
                  </w:pPr>
                  <w:r>
                    <w:rPr>
                      <w:rFonts w:hint="eastAsia"/>
                      <w:color w:val="auto"/>
                    </w:rPr>
                    <w:t>O</w:t>
                  </w:r>
                  <w:r>
                    <w:rPr>
                      <w:rFonts w:hint="eastAsia"/>
                      <w:color w:val="auto"/>
                      <w:vertAlign w:val="subscript"/>
                    </w:rPr>
                    <w:t>3</w:t>
                  </w:r>
                </w:p>
              </w:tc>
              <w:tc>
                <w:tcPr>
                  <w:tcW w:w="1937" w:type="pct"/>
                  <w:noWrap w:val="0"/>
                  <w:vAlign w:val="center"/>
                </w:tcPr>
                <w:p>
                  <w:pPr>
                    <w:pStyle w:val="124"/>
                    <w:rPr>
                      <w:rFonts w:hint="eastAsia"/>
                      <w:color w:val="auto"/>
                    </w:rPr>
                  </w:pPr>
                  <w:r>
                    <w:rPr>
                      <w:rFonts w:hint="eastAsia"/>
                      <w:color w:val="auto"/>
                    </w:rPr>
                    <w:t>日</w:t>
                  </w:r>
                  <w:r>
                    <w:rPr>
                      <w:color w:val="auto"/>
                    </w:rPr>
                    <w:t>最大</w:t>
                  </w:r>
                  <w:r>
                    <w:rPr>
                      <w:rFonts w:hint="eastAsia"/>
                      <w:color w:val="auto"/>
                    </w:rPr>
                    <w:t>8小时</w:t>
                  </w:r>
                  <w:r>
                    <w:rPr>
                      <w:color w:val="auto"/>
                    </w:rPr>
                    <w:t>值的第</w:t>
                  </w:r>
                  <w:r>
                    <w:rPr>
                      <w:rFonts w:hint="eastAsia"/>
                      <w:color w:val="auto"/>
                    </w:rPr>
                    <w:t>90百分</w:t>
                  </w:r>
                  <w:r>
                    <w:rPr>
                      <w:color w:val="auto"/>
                    </w:rPr>
                    <w:t>位数</w:t>
                  </w:r>
                </w:p>
              </w:tc>
              <w:tc>
                <w:tcPr>
                  <w:tcW w:w="699" w:type="pct"/>
                  <w:noWrap w:val="0"/>
                  <w:vAlign w:val="center"/>
                </w:tcPr>
                <w:p>
                  <w:pPr>
                    <w:pStyle w:val="124"/>
                    <w:rPr>
                      <w:color w:val="auto"/>
                    </w:rPr>
                  </w:pPr>
                  <w:r>
                    <w:rPr>
                      <w:rFonts w:hint="eastAsia"/>
                      <w:color w:val="auto"/>
                    </w:rPr>
                    <w:t>118</w:t>
                  </w:r>
                </w:p>
              </w:tc>
              <w:tc>
                <w:tcPr>
                  <w:tcW w:w="699" w:type="pct"/>
                  <w:noWrap w:val="0"/>
                  <w:vAlign w:val="center"/>
                </w:tcPr>
                <w:p>
                  <w:pPr>
                    <w:pStyle w:val="124"/>
                    <w:rPr>
                      <w:rFonts w:hint="eastAsia"/>
                      <w:color w:val="auto"/>
                    </w:rPr>
                  </w:pPr>
                  <w:r>
                    <w:rPr>
                      <w:rFonts w:hint="eastAsia"/>
                      <w:color w:val="auto"/>
                    </w:rPr>
                    <w:t>160</w:t>
                  </w:r>
                </w:p>
              </w:tc>
              <w:tc>
                <w:tcPr>
                  <w:tcW w:w="691" w:type="pct"/>
                  <w:noWrap w:val="0"/>
                  <w:vAlign w:val="center"/>
                </w:tcPr>
                <w:p>
                  <w:pPr>
                    <w:pStyle w:val="124"/>
                    <w:rPr>
                      <w:rFonts w:hint="eastAsia"/>
                      <w:color w:val="auto"/>
                    </w:rPr>
                  </w:pPr>
                  <w:r>
                    <w:rPr>
                      <w:rFonts w:hint="eastAsia"/>
                      <w:color w:val="auto"/>
                    </w:rPr>
                    <w:t>73.75</w:t>
                  </w:r>
                </w:p>
              </w:tc>
              <w:tc>
                <w:tcPr>
                  <w:tcW w:w="442" w:type="pct"/>
                  <w:noWrap w:val="0"/>
                  <w:vAlign w:val="center"/>
                </w:tcPr>
                <w:p>
                  <w:pPr>
                    <w:pStyle w:val="124"/>
                    <w:rPr>
                      <w:rFonts w:hint="eastAsia"/>
                      <w:color w:val="auto"/>
                    </w:rPr>
                  </w:pPr>
                  <w:r>
                    <w:rPr>
                      <w:rFonts w:hint="eastAsia"/>
                      <w:color w:val="auto"/>
                    </w:rPr>
                    <w:t>达标</w:t>
                  </w:r>
                </w:p>
              </w:tc>
            </w:tr>
          </w:tbl>
          <w:p>
            <w:pPr>
              <w:pStyle w:val="110"/>
              <w:ind w:firstLine="480"/>
              <w:rPr>
                <w:rFonts w:hint="eastAsia"/>
                <w:color w:val="auto"/>
              </w:rPr>
            </w:pPr>
            <w:r>
              <w:rPr>
                <w:rFonts w:hint="eastAsia" w:cs="Times New Roman"/>
                <w:color w:val="auto"/>
              </w:rPr>
              <w:t>由上表可知，乐山市PM</w:t>
            </w:r>
            <w:r>
              <w:rPr>
                <w:rFonts w:hint="eastAsia" w:cs="Times New Roman"/>
                <w:color w:val="auto"/>
                <w:vertAlign w:val="subscript"/>
              </w:rPr>
              <w:t>10</w:t>
            </w:r>
            <w:r>
              <w:rPr>
                <w:rFonts w:hint="eastAsia" w:cs="Times New Roman"/>
                <w:color w:val="auto"/>
              </w:rPr>
              <w:t>、SO</w:t>
            </w:r>
            <w:r>
              <w:rPr>
                <w:rFonts w:hint="eastAsia" w:cs="Times New Roman"/>
                <w:color w:val="auto"/>
                <w:vertAlign w:val="subscript"/>
              </w:rPr>
              <w:t>2</w:t>
            </w:r>
            <w:r>
              <w:rPr>
                <w:rFonts w:hint="eastAsia" w:cs="Times New Roman"/>
                <w:color w:val="auto"/>
              </w:rPr>
              <w:t>、NO</w:t>
            </w:r>
            <w:r>
              <w:rPr>
                <w:rFonts w:hint="eastAsia" w:cs="Times New Roman"/>
                <w:color w:val="auto"/>
                <w:vertAlign w:val="subscript"/>
              </w:rPr>
              <w:t>2</w:t>
            </w:r>
            <w:r>
              <w:rPr>
                <w:rFonts w:hint="eastAsia" w:cs="Times New Roman"/>
                <w:color w:val="auto"/>
              </w:rPr>
              <w:t>、O</w:t>
            </w:r>
            <w:r>
              <w:rPr>
                <w:rFonts w:hint="eastAsia" w:cs="Times New Roman"/>
                <w:color w:val="auto"/>
                <w:vertAlign w:val="subscript"/>
              </w:rPr>
              <w:t>3</w:t>
            </w:r>
            <w:r>
              <w:rPr>
                <w:rFonts w:hint="eastAsia" w:cs="Times New Roman"/>
                <w:color w:val="auto"/>
              </w:rPr>
              <w:t>、CO、PM</w:t>
            </w:r>
            <w:r>
              <w:rPr>
                <w:rFonts w:hint="eastAsia" w:cs="Times New Roman"/>
                <w:color w:val="auto"/>
                <w:vertAlign w:val="subscript"/>
              </w:rPr>
              <w:t>2.5</w:t>
            </w:r>
            <w:r>
              <w:rPr>
                <w:rFonts w:hint="eastAsia" w:cs="Times New Roman"/>
                <w:color w:val="auto"/>
              </w:rPr>
              <w:t xml:space="preserve"> 年平均浓度均满足《环境空气质量标准》（GB3095-2012）二级标准要求，因此本项目所在地为达标区。</w:t>
            </w:r>
          </w:p>
          <w:p>
            <w:pPr>
              <w:pStyle w:val="5"/>
              <w:spacing w:after="120"/>
              <w:rPr>
                <w:color w:val="auto"/>
              </w:rPr>
            </w:pPr>
            <w:r>
              <w:rPr>
                <w:rFonts w:hint="eastAsia"/>
                <w:color w:val="auto"/>
                <w:lang w:val="en-US" w:eastAsia="zh-CN"/>
              </w:rPr>
              <w:t>2</w:t>
            </w:r>
            <w:r>
              <w:rPr>
                <w:color w:val="auto"/>
              </w:rPr>
              <w:t>、地表水环境质量现状</w:t>
            </w:r>
          </w:p>
          <w:p>
            <w:pPr>
              <w:pStyle w:val="110"/>
              <w:ind w:firstLine="480"/>
              <w:rPr>
                <w:color w:val="auto"/>
              </w:rPr>
            </w:pPr>
            <w:r>
              <w:rPr>
                <w:rFonts w:hint="eastAsia"/>
                <w:color w:val="auto"/>
              </w:rPr>
              <w:t>根据《乐山市2021年环境质量公报》：乐山市岷江干流及主要主流供共设置国考断面6个，省考断面8个。6个国考监测断面水质达标率为100%，II类水质断面为4个，占66.7%；III类水质断面为2个，占33.3%。8个省考监测断面水质达标率为87.5%。II类水质断面为5个，占62.5%；III类水质断面为2个，占25.0%；IV类水质断面为1个，占12.5%。</w:t>
            </w:r>
          </w:p>
          <w:p>
            <w:pPr>
              <w:pStyle w:val="110"/>
              <w:ind w:firstLine="480"/>
              <w:rPr>
                <w:rFonts w:hint="eastAsia"/>
                <w:color w:val="auto"/>
              </w:rPr>
            </w:pPr>
            <w:r>
              <w:rPr>
                <w:rFonts w:hint="eastAsia"/>
                <w:color w:val="auto"/>
                <w:lang w:eastAsia="zh-CN"/>
              </w:rPr>
              <w:t>本</w:t>
            </w:r>
            <w:r>
              <w:rPr>
                <w:rFonts w:hint="eastAsia"/>
                <w:color w:val="auto"/>
              </w:rPr>
              <w:t>项目产生的医疗废水经一体化污水处理</w:t>
            </w:r>
            <w:r>
              <w:rPr>
                <w:rFonts w:hint="eastAsia"/>
                <w:color w:val="auto"/>
                <w:lang w:eastAsia="zh-CN"/>
              </w:rPr>
              <w:t>器</w:t>
            </w:r>
            <w:r>
              <w:rPr>
                <w:rFonts w:hint="eastAsia"/>
                <w:color w:val="auto"/>
              </w:rPr>
              <w:t>采用“</w:t>
            </w:r>
            <w:r>
              <w:rPr>
                <w:rFonts w:hint="eastAsia"/>
                <w:color w:val="auto"/>
                <w:lang w:eastAsia="zh-CN"/>
              </w:rPr>
              <w:t>过滤沉淀</w:t>
            </w:r>
            <w:r>
              <w:rPr>
                <w:rFonts w:hint="eastAsia"/>
                <w:color w:val="auto"/>
              </w:rPr>
              <w:t>+消毒”处理</w:t>
            </w:r>
            <w:r>
              <w:rPr>
                <w:rFonts w:hint="eastAsia"/>
                <w:color w:val="auto"/>
                <w:lang w:eastAsia="zh-CN"/>
              </w:rPr>
              <w:t>后</w:t>
            </w:r>
            <w:r>
              <w:rPr>
                <w:rFonts w:hint="eastAsia"/>
                <w:color w:val="auto"/>
              </w:rPr>
              <w:t>和生活污水一起通过污水管道进入</w:t>
            </w:r>
            <w:r>
              <w:rPr>
                <w:rFonts w:hint="eastAsia"/>
                <w:color w:val="auto"/>
                <w:lang w:eastAsia="zh-CN"/>
              </w:rPr>
              <w:t>邦泰国际社区小区</w:t>
            </w:r>
            <w:r>
              <w:rPr>
                <w:rFonts w:hint="eastAsia"/>
                <w:color w:val="auto"/>
              </w:rPr>
              <w:t>预处理池处理</w:t>
            </w:r>
            <w:r>
              <w:rPr>
                <w:rFonts w:hint="eastAsia"/>
                <w:color w:val="auto"/>
                <w:lang w:eastAsia="zh-CN"/>
              </w:rPr>
              <w:t>，</w:t>
            </w:r>
            <w:r>
              <w:rPr>
                <w:rFonts w:hint="eastAsia"/>
                <w:color w:val="auto"/>
              </w:rPr>
              <w:t>处理后排入市政污水管网，最终进入乐山市第一污水处理厂处理后排放。本项目最终的受纳水体为岷江。</w:t>
            </w:r>
          </w:p>
          <w:p>
            <w:pPr>
              <w:pStyle w:val="110"/>
              <w:ind w:firstLine="480"/>
              <w:rPr>
                <w:rFonts w:hint="eastAsia"/>
                <w:color w:val="auto"/>
              </w:rPr>
            </w:pPr>
            <w:r>
              <w:rPr>
                <w:rFonts w:hint="eastAsia"/>
                <w:color w:val="auto"/>
              </w:rPr>
              <w:t>根据公布的地表水水质监测结果表明，岷江河流各断面监测结果均能够满足《地表水环境质量标准》 （GB3838-2002）中 III 类标准水域标准，因此项目所在区域地表水环境质量现状较好。</w:t>
            </w:r>
          </w:p>
          <w:p>
            <w:pPr>
              <w:pStyle w:val="5"/>
              <w:spacing w:after="120"/>
              <w:rPr>
                <w:color w:val="auto"/>
              </w:rPr>
            </w:pPr>
            <w:r>
              <w:rPr>
                <w:rFonts w:hint="eastAsia"/>
                <w:color w:val="auto"/>
                <w:lang w:val="en-US" w:eastAsia="zh-CN"/>
              </w:rPr>
              <w:t>3</w:t>
            </w:r>
            <w:r>
              <w:rPr>
                <w:color w:val="auto"/>
              </w:rPr>
              <w:t>、声环境质量现状</w:t>
            </w:r>
          </w:p>
          <w:p>
            <w:pPr>
              <w:pStyle w:val="108"/>
              <w:ind w:firstLine="480"/>
              <w:rPr>
                <w:color w:val="auto"/>
              </w:rPr>
            </w:pPr>
            <w:r>
              <w:rPr>
                <w:color w:val="auto"/>
              </w:rPr>
              <w:t>监测项目：各测声点昼间及夜间的等效连续A声级。</w:t>
            </w:r>
          </w:p>
          <w:p>
            <w:pPr>
              <w:pStyle w:val="108"/>
              <w:ind w:firstLine="480"/>
              <w:rPr>
                <w:color w:val="auto"/>
              </w:rPr>
            </w:pPr>
            <w:r>
              <w:rPr>
                <w:color w:val="auto"/>
              </w:rPr>
              <w:t>监测点位：</w:t>
            </w:r>
            <w:r>
              <w:rPr>
                <w:rFonts w:hint="eastAsia"/>
                <w:color w:val="auto"/>
              </w:rPr>
              <w:t>场界50</w:t>
            </w:r>
            <w:r>
              <w:rPr>
                <w:rFonts w:hint="eastAsia"/>
                <w:color w:val="auto"/>
                <w:lang w:val="en-US" w:eastAsia="zh-CN"/>
              </w:rPr>
              <w:t>m</w:t>
            </w:r>
            <w:r>
              <w:rPr>
                <w:rFonts w:hint="eastAsia"/>
                <w:color w:val="auto"/>
              </w:rPr>
              <w:t>范围内的敏感目标</w:t>
            </w:r>
            <w:r>
              <w:rPr>
                <w:color w:val="auto"/>
              </w:rPr>
              <w:t>。</w:t>
            </w:r>
          </w:p>
          <w:p>
            <w:pPr>
              <w:pStyle w:val="108"/>
              <w:ind w:firstLine="480"/>
              <w:rPr>
                <w:color w:val="auto"/>
              </w:rPr>
            </w:pPr>
            <w:r>
              <w:rPr>
                <w:color w:val="auto"/>
              </w:rPr>
              <w:t>监测频次：监测</w:t>
            </w:r>
            <w:r>
              <w:rPr>
                <w:rFonts w:hint="eastAsia"/>
                <w:color w:val="auto"/>
              </w:rPr>
              <w:t>1</w:t>
            </w:r>
            <w:r>
              <w:rPr>
                <w:color w:val="auto"/>
              </w:rPr>
              <w:t>天，昼间、夜间各测一次，昼间：6：00~22：00，夜间：22:00~6:00。</w:t>
            </w:r>
          </w:p>
          <w:p>
            <w:pPr>
              <w:pStyle w:val="123"/>
              <w:rPr>
                <w:color w:val="auto"/>
              </w:rPr>
            </w:pPr>
            <w:r>
              <w:rPr>
                <w:color w:val="auto"/>
              </w:rPr>
              <w:t>表3-</w:t>
            </w:r>
            <w:r>
              <w:rPr>
                <w:rFonts w:hint="eastAsia"/>
                <w:color w:val="auto"/>
              </w:rPr>
              <w:t>2</w:t>
            </w:r>
            <w:r>
              <w:rPr>
                <w:color w:val="auto"/>
              </w:rPr>
              <w:t xml:space="preserve">  环境噪声监测结果表   单位dB（A）</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9"/>
              <w:gridCol w:w="4505"/>
              <w:gridCol w:w="836"/>
              <w:gridCol w:w="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343" w:type="pct"/>
                  <w:vMerge w:val="restart"/>
                  <w:noWrap w:val="0"/>
                  <w:vAlign w:val="center"/>
                </w:tcPr>
                <w:p>
                  <w:pPr>
                    <w:pStyle w:val="176"/>
                    <w:rPr>
                      <w:rFonts w:hint="eastAsia"/>
                      <w:b w:val="0"/>
                      <w:bCs w:val="0"/>
                      <w:color w:val="auto"/>
                    </w:rPr>
                  </w:pPr>
                  <w:r>
                    <w:rPr>
                      <w:rFonts w:hint="eastAsia"/>
                      <w:b w:val="0"/>
                      <w:bCs w:val="0"/>
                      <w:color w:val="auto"/>
                    </w:rPr>
                    <w:t>测点编号</w:t>
                  </w:r>
                </w:p>
              </w:tc>
              <w:tc>
                <w:tcPr>
                  <w:tcW w:w="2667" w:type="pct"/>
                  <w:vMerge w:val="restart"/>
                  <w:noWrap w:val="0"/>
                  <w:vAlign w:val="center"/>
                </w:tcPr>
                <w:p>
                  <w:pPr>
                    <w:pStyle w:val="176"/>
                    <w:rPr>
                      <w:rFonts w:hint="eastAsia"/>
                      <w:b w:val="0"/>
                      <w:bCs w:val="0"/>
                      <w:color w:val="auto"/>
                    </w:rPr>
                  </w:pPr>
                  <w:r>
                    <w:rPr>
                      <w:rFonts w:hint="eastAsia"/>
                      <w:b w:val="0"/>
                      <w:bCs w:val="0"/>
                      <w:color w:val="auto"/>
                    </w:rPr>
                    <w:t>监测位置</w:t>
                  </w:r>
                </w:p>
              </w:tc>
              <w:tc>
                <w:tcPr>
                  <w:tcW w:w="991" w:type="pct"/>
                  <w:gridSpan w:val="2"/>
                  <w:noWrap w:val="0"/>
                  <w:vAlign w:val="center"/>
                </w:tcPr>
                <w:p>
                  <w:pPr>
                    <w:pStyle w:val="176"/>
                    <w:rPr>
                      <w:b w:val="0"/>
                      <w:bCs w:val="0"/>
                      <w:color w:val="auto"/>
                    </w:rPr>
                  </w:pPr>
                  <w:r>
                    <w:rPr>
                      <w:rFonts w:hint="eastAsia"/>
                      <w:b w:val="0"/>
                      <w:bCs w:val="0"/>
                      <w:color w:val="auto"/>
                    </w:rPr>
                    <w:t>202</w:t>
                  </w:r>
                  <w:r>
                    <w:rPr>
                      <w:rFonts w:hint="eastAsia"/>
                      <w:b w:val="0"/>
                      <w:bCs w:val="0"/>
                      <w:color w:val="auto"/>
                      <w:lang w:val="en-US" w:eastAsia="zh-CN"/>
                    </w:rPr>
                    <w:t>2</w:t>
                  </w:r>
                  <w:r>
                    <w:rPr>
                      <w:rFonts w:hint="eastAsia"/>
                      <w:b w:val="0"/>
                      <w:bCs w:val="0"/>
                      <w:color w:val="auto"/>
                    </w:rPr>
                    <w:t>-1</w:t>
                  </w:r>
                  <w:r>
                    <w:rPr>
                      <w:rFonts w:hint="eastAsia"/>
                      <w:b w:val="0"/>
                      <w:bCs w:val="0"/>
                      <w:color w:val="auto"/>
                      <w:lang w:val="en-US" w:eastAsia="zh-CN"/>
                    </w:rPr>
                    <w:t>1</w:t>
                  </w:r>
                  <w:r>
                    <w:rPr>
                      <w:rFonts w:hint="eastAsia"/>
                      <w:b w:val="0"/>
                      <w:bCs w:val="0"/>
                      <w:color w:val="auto"/>
                    </w:rPr>
                    <w:t>-</w:t>
                  </w:r>
                  <w:r>
                    <w:rPr>
                      <w:rFonts w:hint="eastAsia"/>
                      <w:b w:val="0"/>
                      <w:bCs w:val="0"/>
                      <w:color w:val="auto"/>
                      <w:lang w:val="en-US" w:eastAsia="zh-CN"/>
                    </w:rPr>
                    <w:t>2</w:t>
                  </w:r>
                  <w:r>
                    <w:rPr>
                      <w:rFonts w:hint="eastAsia"/>
                      <w:b w:val="0"/>
                      <w:bCs w:val="0"/>
                      <w:color w:val="auto"/>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1343" w:type="pct"/>
                  <w:vMerge w:val="continue"/>
                  <w:noWrap w:val="0"/>
                  <w:vAlign w:val="center"/>
                </w:tcPr>
                <w:p>
                  <w:pPr>
                    <w:pStyle w:val="176"/>
                    <w:rPr>
                      <w:rFonts w:hint="eastAsia"/>
                      <w:b w:val="0"/>
                      <w:bCs w:val="0"/>
                      <w:color w:val="auto"/>
                    </w:rPr>
                  </w:pPr>
                </w:p>
              </w:tc>
              <w:tc>
                <w:tcPr>
                  <w:tcW w:w="2667" w:type="pct"/>
                  <w:vMerge w:val="continue"/>
                  <w:noWrap w:val="0"/>
                  <w:vAlign w:val="center"/>
                </w:tcPr>
                <w:p>
                  <w:pPr>
                    <w:pStyle w:val="176"/>
                    <w:rPr>
                      <w:rFonts w:hint="eastAsia"/>
                      <w:b w:val="0"/>
                      <w:bCs w:val="0"/>
                      <w:color w:val="auto"/>
                    </w:rPr>
                  </w:pPr>
                </w:p>
              </w:tc>
              <w:tc>
                <w:tcPr>
                  <w:tcW w:w="495" w:type="pct"/>
                  <w:noWrap w:val="0"/>
                  <w:vAlign w:val="center"/>
                </w:tcPr>
                <w:p>
                  <w:pPr>
                    <w:pStyle w:val="176"/>
                    <w:rPr>
                      <w:rFonts w:hint="eastAsia"/>
                      <w:b w:val="0"/>
                      <w:bCs w:val="0"/>
                      <w:color w:val="auto"/>
                    </w:rPr>
                  </w:pPr>
                  <w:r>
                    <w:rPr>
                      <w:rFonts w:hint="eastAsia"/>
                      <w:b w:val="0"/>
                      <w:bCs w:val="0"/>
                      <w:color w:val="auto"/>
                    </w:rPr>
                    <w:t>昼间</w:t>
                  </w:r>
                </w:p>
              </w:tc>
              <w:tc>
                <w:tcPr>
                  <w:tcW w:w="495" w:type="pct"/>
                  <w:noWrap w:val="0"/>
                  <w:vAlign w:val="center"/>
                </w:tcPr>
                <w:p>
                  <w:pPr>
                    <w:pStyle w:val="176"/>
                    <w:rPr>
                      <w:rFonts w:hint="eastAsia"/>
                      <w:b w:val="0"/>
                      <w:bCs w:val="0"/>
                      <w:color w:val="auto"/>
                    </w:rPr>
                  </w:pPr>
                  <w:r>
                    <w:rPr>
                      <w:rFonts w:hint="eastAsia"/>
                      <w:b w:val="0"/>
                      <w:bCs w:val="0"/>
                      <w:color w:val="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3" w:type="pct"/>
                  <w:noWrap w:val="0"/>
                  <w:vAlign w:val="center"/>
                </w:tcPr>
                <w:p>
                  <w:pPr>
                    <w:pStyle w:val="176"/>
                    <w:rPr>
                      <w:color w:val="auto"/>
                    </w:rPr>
                  </w:pPr>
                  <w:r>
                    <w:rPr>
                      <w:rFonts w:hint="eastAsia"/>
                      <w:color w:val="auto"/>
                    </w:rPr>
                    <w:t>N1</w:t>
                  </w:r>
                </w:p>
              </w:tc>
              <w:tc>
                <w:tcPr>
                  <w:tcW w:w="4375" w:type="dxa"/>
                  <w:noWrap w:val="0"/>
                  <w:vAlign w:val="center"/>
                </w:tcPr>
                <w:p>
                  <w:pPr>
                    <w:spacing w:after="0" w:line="220" w:lineRule="atLeast"/>
                    <w:ind w:firstLine="420" w:firstLineChars="200"/>
                    <w:jc w:val="center"/>
                    <w:rPr>
                      <w:rFonts w:hint="eastAsia"/>
                      <w:color w:val="auto"/>
                    </w:rPr>
                  </w:pPr>
                  <w:r>
                    <w:rPr>
                      <w:rFonts w:hint="eastAsia" w:ascii="Times New Roman" w:hAnsi="Times New Roman" w:eastAsia="宋体" w:cs="Times New Roman"/>
                      <w:color w:val="auto"/>
                      <w:sz w:val="21"/>
                      <w:szCs w:val="21"/>
                    </w:rPr>
                    <w:t>项目所在点位3楼平台</w:t>
                  </w:r>
                </w:p>
              </w:tc>
              <w:tc>
                <w:tcPr>
                  <w:tcW w:w="495" w:type="pct"/>
                  <w:noWrap w:val="0"/>
                  <w:vAlign w:val="center"/>
                </w:tcPr>
                <w:p>
                  <w:pPr>
                    <w:pStyle w:val="176"/>
                    <w:rPr>
                      <w:rFonts w:hint="eastAsia" w:eastAsia="宋体"/>
                      <w:color w:val="auto"/>
                      <w:lang w:eastAsia="zh-CN"/>
                    </w:rPr>
                  </w:pPr>
                  <w:r>
                    <w:rPr>
                      <w:rFonts w:hint="eastAsia"/>
                      <w:color w:val="auto"/>
                    </w:rPr>
                    <w:t>5</w:t>
                  </w:r>
                  <w:r>
                    <w:rPr>
                      <w:rFonts w:hint="eastAsia"/>
                      <w:color w:val="auto"/>
                      <w:lang w:val="en-US" w:eastAsia="zh-CN"/>
                    </w:rPr>
                    <w:t>0</w:t>
                  </w:r>
                </w:p>
              </w:tc>
              <w:tc>
                <w:tcPr>
                  <w:tcW w:w="495" w:type="pct"/>
                  <w:noWrap w:val="0"/>
                  <w:vAlign w:val="center"/>
                </w:tcPr>
                <w:p>
                  <w:pPr>
                    <w:pStyle w:val="176"/>
                    <w:rPr>
                      <w:rFonts w:hint="default" w:eastAsia="宋体"/>
                      <w:color w:val="auto"/>
                      <w:lang w:val="en-US" w:eastAsia="zh-CN"/>
                    </w:rPr>
                  </w:pPr>
                  <w:r>
                    <w:rPr>
                      <w:rFonts w:hint="eastAsia"/>
                      <w:color w:val="auto"/>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3" w:type="pct"/>
                  <w:noWrap w:val="0"/>
                  <w:vAlign w:val="center"/>
                </w:tcPr>
                <w:p>
                  <w:pPr>
                    <w:pStyle w:val="176"/>
                    <w:rPr>
                      <w:color w:val="auto"/>
                    </w:rPr>
                  </w:pPr>
                  <w:r>
                    <w:rPr>
                      <w:rFonts w:hint="eastAsia"/>
                      <w:color w:val="auto"/>
                    </w:rPr>
                    <w:t>N2</w:t>
                  </w:r>
                </w:p>
              </w:tc>
              <w:tc>
                <w:tcPr>
                  <w:tcW w:w="4375" w:type="dxa"/>
                  <w:noWrap w:val="0"/>
                  <w:vAlign w:val="center"/>
                </w:tcPr>
                <w:p>
                  <w:pPr>
                    <w:spacing w:after="0" w:line="220" w:lineRule="atLeast"/>
                    <w:ind w:firstLine="420" w:firstLineChars="200"/>
                    <w:jc w:val="center"/>
                    <w:rPr>
                      <w:rFonts w:hint="eastAsia"/>
                      <w:color w:val="auto"/>
                    </w:rPr>
                  </w:pPr>
                  <w:r>
                    <w:rPr>
                      <w:rFonts w:hint="eastAsia" w:ascii="Times New Roman" w:hAnsi="Times New Roman" w:eastAsia="宋体" w:cs="Times New Roman"/>
                      <w:color w:val="auto"/>
                      <w:sz w:val="21"/>
                      <w:szCs w:val="21"/>
                    </w:rPr>
                    <w:t>项目东侧</w:t>
                  </w:r>
                  <w:r>
                    <w:rPr>
                      <w:rFonts w:hint="eastAsia" w:ascii="Times New Roman" w:hAnsi="Times New Roman" w:eastAsia="宋体" w:cs="Times New Roman"/>
                      <w:color w:val="auto"/>
                      <w:sz w:val="21"/>
                      <w:szCs w:val="21"/>
                      <w:lang w:val="en-US" w:eastAsia="zh-CN"/>
                    </w:rPr>
                    <w:t>约</w:t>
                  </w:r>
                  <w:r>
                    <w:rPr>
                      <w:rFonts w:hint="eastAsia" w:ascii="Times New Roman" w:hAnsi="Times New Roman" w:eastAsia="宋体" w:cs="Times New Roman"/>
                      <w:color w:val="auto"/>
                      <w:sz w:val="21"/>
                      <w:szCs w:val="21"/>
                    </w:rPr>
                    <w:t>41m处</w:t>
                  </w:r>
                </w:p>
              </w:tc>
              <w:tc>
                <w:tcPr>
                  <w:tcW w:w="495" w:type="pct"/>
                  <w:noWrap w:val="0"/>
                  <w:vAlign w:val="center"/>
                </w:tcPr>
                <w:p>
                  <w:pPr>
                    <w:pStyle w:val="176"/>
                    <w:rPr>
                      <w:rFonts w:hint="default" w:eastAsia="宋体"/>
                      <w:color w:val="auto"/>
                      <w:lang w:val="en-US" w:eastAsia="zh-CN"/>
                    </w:rPr>
                  </w:pPr>
                  <w:r>
                    <w:rPr>
                      <w:rFonts w:hint="eastAsia"/>
                      <w:color w:val="auto"/>
                      <w:lang w:val="en-US" w:eastAsia="zh-CN"/>
                    </w:rPr>
                    <w:t>55</w:t>
                  </w:r>
                </w:p>
              </w:tc>
              <w:tc>
                <w:tcPr>
                  <w:tcW w:w="495" w:type="pct"/>
                  <w:noWrap w:val="0"/>
                  <w:vAlign w:val="center"/>
                </w:tcPr>
                <w:p>
                  <w:pPr>
                    <w:pStyle w:val="176"/>
                    <w:rPr>
                      <w:rFonts w:hint="eastAsia" w:eastAsia="宋体"/>
                      <w:color w:val="auto"/>
                      <w:lang w:eastAsia="zh-CN"/>
                    </w:rPr>
                  </w:pPr>
                  <w:r>
                    <w:rPr>
                      <w:rFonts w:hint="eastAsia"/>
                      <w:color w:val="auto"/>
                    </w:rPr>
                    <w:t>4</w:t>
                  </w:r>
                  <w:r>
                    <w:rPr>
                      <w:rFonts w:hint="eastAsia"/>
                      <w:color w:val="auto"/>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43" w:type="pct"/>
                  <w:noWrap w:val="0"/>
                  <w:vAlign w:val="center"/>
                </w:tcPr>
                <w:p>
                  <w:pPr>
                    <w:pStyle w:val="176"/>
                    <w:rPr>
                      <w:color w:val="auto"/>
                    </w:rPr>
                  </w:pPr>
                  <w:r>
                    <w:rPr>
                      <w:rFonts w:hint="eastAsia"/>
                      <w:color w:val="auto"/>
                    </w:rPr>
                    <w:t>N3</w:t>
                  </w:r>
                </w:p>
              </w:tc>
              <w:tc>
                <w:tcPr>
                  <w:tcW w:w="4375" w:type="dxa"/>
                  <w:noWrap w:val="0"/>
                  <w:vAlign w:val="center"/>
                </w:tcPr>
                <w:p>
                  <w:pPr>
                    <w:spacing w:after="0" w:line="220" w:lineRule="atLeast"/>
                    <w:ind w:firstLine="420" w:firstLineChars="200"/>
                    <w:jc w:val="center"/>
                    <w:rPr>
                      <w:color w:val="auto"/>
                    </w:rPr>
                  </w:pPr>
                  <w:r>
                    <w:rPr>
                      <w:rFonts w:hint="eastAsia" w:ascii="Times New Roman" w:hAnsi="Times New Roman" w:eastAsia="宋体" w:cs="Times New Roman"/>
                      <w:color w:val="auto"/>
                      <w:sz w:val="21"/>
                      <w:szCs w:val="21"/>
                    </w:rPr>
                    <w:t>项目西南侧</w:t>
                  </w:r>
                </w:p>
              </w:tc>
              <w:tc>
                <w:tcPr>
                  <w:tcW w:w="495" w:type="pct"/>
                  <w:noWrap w:val="0"/>
                  <w:vAlign w:val="center"/>
                </w:tcPr>
                <w:p>
                  <w:pPr>
                    <w:pStyle w:val="176"/>
                    <w:rPr>
                      <w:rFonts w:hint="default" w:eastAsia="宋体"/>
                      <w:color w:val="auto"/>
                      <w:lang w:val="en-US" w:eastAsia="zh-CN"/>
                    </w:rPr>
                  </w:pPr>
                  <w:r>
                    <w:rPr>
                      <w:rFonts w:hint="eastAsia"/>
                      <w:color w:val="auto"/>
                      <w:lang w:val="en-US" w:eastAsia="zh-CN"/>
                    </w:rPr>
                    <w:t>55</w:t>
                  </w:r>
                </w:p>
              </w:tc>
              <w:tc>
                <w:tcPr>
                  <w:tcW w:w="495" w:type="pct"/>
                  <w:noWrap w:val="0"/>
                  <w:vAlign w:val="center"/>
                </w:tcPr>
                <w:p>
                  <w:pPr>
                    <w:pStyle w:val="176"/>
                    <w:rPr>
                      <w:rFonts w:hint="default" w:eastAsia="宋体"/>
                      <w:color w:val="auto"/>
                      <w:lang w:val="en-US" w:eastAsia="zh-CN"/>
                    </w:rPr>
                  </w:pPr>
                  <w:r>
                    <w:rPr>
                      <w:rFonts w:hint="eastAsia"/>
                      <w:color w:val="auto"/>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9" w:type="pct"/>
                  <w:gridSpan w:val="2"/>
                  <w:noWrap w:val="0"/>
                  <w:vAlign w:val="center"/>
                </w:tcPr>
                <w:p>
                  <w:pPr>
                    <w:pStyle w:val="176"/>
                    <w:rPr>
                      <w:rFonts w:hint="eastAsia"/>
                      <w:color w:val="auto"/>
                    </w:rPr>
                  </w:pPr>
                  <w:r>
                    <w:rPr>
                      <w:rFonts w:hint="eastAsia"/>
                      <w:color w:val="auto"/>
                    </w:rPr>
                    <w:t>《声环境质量标准》（</w:t>
                  </w:r>
                  <w:r>
                    <w:rPr>
                      <w:color w:val="auto"/>
                    </w:rPr>
                    <w:t>GB3096-2008)</w:t>
                  </w:r>
                  <w:r>
                    <w:rPr>
                      <w:rFonts w:hint="eastAsia"/>
                      <w:color w:val="auto"/>
                    </w:rPr>
                    <w:t xml:space="preserve">中 </w:t>
                  </w:r>
                  <w:r>
                    <w:rPr>
                      <w:color w:val="auto"/>
                    </w:rPr>
                    <w:t xml:space="preserve">2 </w:t>
                  </w:r>
                  <w:r>
                    <w:rPr>
                      <w:rFonts w:hint="eastAsia"/>
                      <w:color w:val="auto"/>
                    </w:rPr>
                    <w:t>类标准限值</w:t>
                  </w:r>
                </w:p>
              </w:tc>
              <w:tc>
                <w:tcPr>
                  <w:tcW w:w="495" w:type="pct"/>
                  <w:noWrap w:val="0"/>
                  <w:vAlign w:val="center"/>
                </w:tcPr>
                <w:p>
                  <w:pPr>
                    <w:pStyle w:val="176"/>
                    <w:rPr>
                      <w:color w:val="auto"/>
                    </w:rPr>
                  </w:pPr>
                  <w:r>
                    <w:rPr>
                      <w:rFonts w:hint="eastAsia"/>
                      <w:color w:val="auto"/>
                    </w:rPr>
                    <w:t>60</w:t>
                  </w:r>
                </w:p>
              </w:tc>
              <w:tc>
                <w:tcPr>
                  <w:tcW w:w="495" w:type="pct"/>
                  <w:noWrap w:val="0"/>
                  <w:vAlign w:val="center"/>
                </w:tcPr>
                <w:p>
                  <w:pPr>
                    <w:pStyle w:val="176"/>
                    <w:rPr>
                      <w:color w:val="auto"/>
                    </w:rPr>
                  </w:pPr>
                  <w:r>
                    <w:rPr>
                      <w:rFonts w:hint="eastAsia"/>
                      <w:color w:val="auto"/>
                    </w:rPr>
                    <w:t>50</w:t>
                  </w:r>
                </w:p>
              </w:tc>
            </w:tr>
          </w:tbl>
          <w:p>
            <w:pPr>
              <w:pStyle w:val="108"/>
              <w:ind w:firstLine="480"/>
              <w:rPr>
                <w:rFonts w:hint="eastAsia"/>
                <w:color w:val="auto"/>
              </w:rPr>
            </w:pPr>
            <w:r>
              <w:rPr>
                <w:color w:val="auto"/>
              </w:rPr>
              <w:t>根据监测结果，本项目</w:t>
            </w:r>
            <w:r>
              <w:rPr>
                <w:rFonts w:hint="eastAsia"/>
                <w:color w:val="auto"/>
                <w:lang w:eastAsia="zh-CN"/>
              </w:rPr>
              <w:t>周边</w:t>
            </w:r>
            <w:r>
              <w:rPr>
                <w:rFonts w:hint="eastAsia"/>
                <w:color w:val="auto"/>
              </w:rPr>
              <w:t>敏感点声环境质量满足《声环境质量标准》（GB3096-2008）中2类标准限值要求</w:t>
            </w:r>
            <w:r>
              <w:rPr>
                <w:color w:val="auto"/>
              </w:rPr>
              <w:t>，</w:t>
            </w:r>
            <w:r>
              <w:rPr>
                <w:rFonts w:hint="eastAsia"/>
                <w:color w:val="auto"/>
              </w:rPr>
              <w:t>昼间≤60dB（A），夜间≤50dB（A），</w:t>
            </w:r>
            <w:r>
              <w:rPr>
                <w:color w:val="auto"/>
              </w:rPr>
              <w:t>周边声环境质量现状较好。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48" w:type="pct"/>
            <w:noWrap w:val="0"/>
            <w:vAlign w:val="center"/>
          </w:tcPr>
          <w:p>
            <w:pPr>
              <w:pStyle w:val="108"/>
              <w:ind w:firstLine="0" w:firstLineChars="0"/>
              <w:jc w:val="center"/>
              <w:rPr>
                <w:rFonts w:hint="eastAsia"/>
                <w:color w:val="auto"/>
              </w:rPr>
            </w:pPr>
            <w:r>
              <w:rPr>
                <w:rFonts w:hint="eastAsia"/>
                <w:color w:val="auto"/>
              </w:rPr>
              <w:t>环境保护目标</w:t>
            </w:r>
          </w:p>
        </w:tc>
        <w:tc>
          <w:tcPr>
            <w:tcW w:w="4651" w:type="pct"/>
            <w:noWrap w:val="0"/>
            <w:vAlign w:val="center"/>
          </w:tcPr>
          <w:p>
            <w:pPr>
              <w:pStyle w:val="108"/>
              <w:ind w:firstLine="480"/>
              <w:rPr>
                <w:color w:val="auto"/>
              </w:rPr>
            </w:pPr>
            <w:r>
              <w:rPr>
                <w:color w:val="auto"/>
              </w:rPr>
              <w:t>根据本项目排污特点和外环境特征确定环境保护目标如下：</w:t>
            </w:r>
          </w:p>
          <w:p>
            <w:pPr>
              <w:pStyle w:val="5"/>
              <w:rPr>
                <w:color w:val="auto"/>
              </w:rPr>
            </w:pPr>
            <w:r>
              <w:rPr>
                <w:rFonts w:hint="eastAsia"/>
                <w:color w:val="auto"/>
                <w:lang w:val="en-US" w:eastAsia="zh-CN"/>
              </w:rPr>
              <w:t>1</w:t>
            </w:r>
            <w:r>
              <w:rPr>
                <w:color w:val="auto"/>
              </w:rPr>
              <w:t>、大气环境保护目标</w:t>
            </w:r>
          </w:p>
          <w:p>
            <w:pPr>
              <w:pStyle w:val="108"/>
              <w:ind w:firstLine="480"/>
              <w:rPr>
                <w:rFonts w:hint="default"/>
                <w:color w:val="auto"/>
                <w:lang w:val="en-US" w:eastAsia="zh-CN"/>
              </w:rPr>
            </w:pPr>
            <w:r>
              <w:rPr>
                <w:rFonts w:hint="eastAsia"/>
                <w:color w:val="auto"/>
              </w:rPr>
              <w:t>主要指项目场界外500m范围内的自然保护区、风景名胜区、居住区和农村地区中人群较集中的区域等保护目标。根据现场踏勘，本项目周围不涉及名胜古迹和重点文物保护单位，无自然保护区、风景名胜区等特殊需要保护的对象。本项目涉及的大气环境保护目标主要为</w:t>
            </w:r>
            <w:r>
              <w:rPr>
                <w:rFonts w:hint="eastAsia"/>
                <w:color w:val="auto"/>
                <w:lang w:eastAsia="zh-CN"/>
              </w:rPr>
              <w:t>金苹果幼儿园（</w:t>
            </w:r>
            <w:r>
              <w:rPr>
                <w:rFonts w:hint="eastAsia"/>
                <w:color w:val="auto"/>
                <w:lang w:val="en-US" w:eastAsia="zh-CN"/>
              </w:rPr>
              <w:t>55m）、时代青江2期（206m）、乐山市嘉州学校（40m）、时代青江一期（270m）、邦泰中心（283m）、梧桐公馆（155m）、世豪广场（294m）、阳光青江壹号（300m）、乐山市妇幼保健院（359m）、邦泰国际社区（紧邻）等。</w:t>
            </w:r>
          </w:p>
          <w:p>
            <w:pPr>
              <w:pStyle w:val="5"/>
              <w:numPr>
                <w:ilvl w:val="0"/>
                <w:numId w:val="0"/>
              </w:numPr>
              <w:rPr>
                <w:color w:val="auto"/>
              </w:rPr>
            </w:pPr>
            <w:r>
              <w:rPr>
                <w:rFonts w:hint="eastAsia"/>
                <w:color w:val="auto"/>
                <w:lang w:val="en-US" w:eastAsia="zh-CN"/>
              </w:rPr>
              <w:t>2、</w:t>
            </w:r>
            <w:r>
              <w:rPr>
                <w:color w:val="auto"/>
              </w:rPr>
              <w:t>声环境保护目标</w:t>
            </w:r>
          </w:p>
          <w:p>
            <w:pPr>
              <w:pStyle w:val="110"/>
              <w:ind w:firstLine="480"/>
              <w:rPr>
                <w:rFonts w:hint="eastAsia"/>
                <w:color w:val="auto"/>
              </w:rPr>
            </w:pPr>
            <w:r>
              <w:rPr>
                <w:rFonts w:hint="eastAsia"/>
                <w:color w:val="auto"/>
              </w:rPr>
              <w:t>主要指场界外50m范围内声环境保护目标</w:t>
            </w:r>
            <w:r>
              <w:rPr>
                <w:rFonts w:hint="eastAsia"/>
                <w:color w:val="auto"/>
                <w:lang w:eastAsia="zh-CN"/>
              </w:rPr>
              <w:t>，项目声环境保护目标主要有</w:t>
            </w:r>
            <w:r>
              <w:rPr>
                <w:rFonts w:hint="eastAsia"/>
                <w:color w:val="auto"/>
                <w:lang w:val="en-US" w:eastAsia="zh-CN"/>
              </w:rPr>
              <w:t>乐山市嘉州学校（40m）和邦泰国际社区紧邻项目的住户</w:t>
            </w:r>
            <w:r>
              <w:rPr>
                <w:rFonts w:hint="eastAsia"/>
                <w:color w:val="auto"/>
              </w:rPr>
              <w:t>。</w:t>
            </w:r>
          </w:p>
          <w:p>
            <w:pPr>
              <w:pStyle w:val="108"/>
              <w:ind w:firstLine="480"/>
              <w:rPr>
                <w:color w:val="auto"/>
              </w:rPr>
            </w:pPr>
            <w:r>
              <w:rPr>
                <w:color w:val="auto"/>
              </w:rPr>
              <w:t>项目</w:t>
            </w:r>
            <w:r>
              <w:rPr>
                <w:rFonts w:hint="eastAsia"/>
                <w:color w:val="auto"/>
              </w:rPr>
              <w:t>500m范围内</w:t>
            </w:r>
            <w:r>
              <w:rPr>
                <w:color w:val="auto"/>
              </w:rPr>
              <w:t>主要环境保护目标见下表：</w:t>
            </w:r>
          </w:p>
          <w:p>
            <w:pPr>
              <w:pStyle w:val="108"/>
              <w:spacing w:line="360" w:lineRule="exact"/>
              <w:ind w:firstLine="0" w:firstLineChars="0"/>
              <w:jc w:val="center"/>
              <w:rPr>
                <w:rFonts w:hint="eastAsia"/>
                <w:b/>
                <w:color w:val="auto"/>
                <w:sz w:val="21"/>
                <w:szCs w:val="21"/>
              </w:rPr>
            </w:pPr>
            <w:r>
              <w:rPr>
                <w:b/>
                <w:color w:val="auto"/>
                <w:sz w:val="21"/>
                <w:szCs w:val="21"/>
              </w:rPr>
              <w:t>表3-</w:t>
            </w:r>
            <w:r>
              <w:rPr>
                <w:rFonts w:hint="eastAsia"/>
                <w:b/>
                <w:color w:val="auto"/>
                <w:sz w:val="21"/>
                <w:szCs w:val="21"/>
              </w:rPr>
              <w:t>3</w:t>
            </w:r>
            <w:r>
              <w:rPr>
                <w:b/>
                <w:color w:val="auto"/>
                <w:sz w:val="21"/>
                <w:szCs w:val="21"/>
              </w:rPr>
              <w:t xml:space="preserve">  本项目主要环境敏感点</w:t>
            </w:r>
            <w:r>
              <w:rPr>
                <w:rFonts w:hint="eastAsia"/>
                <w:b/>
                <w:color w:val="auto"/>
                <w:sz w:val="21"/>
                <w:szCs w:val="21"/>
              </w:rPr>
              <w:t>保护目标</w:t>
            </w:r>
          </w:p>
          <w:tbl>
            <w:tblPr>
              <w:tblStyle w:val="39"/>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1032"/>
              <w:gridCol w:w="1032"/>
              <w:gridCol w:w="1115"/>
              <w:gridCol w:w="1032"/>
              <w:gridCol w:w="1032"/>
              <w:gridCol w:w="1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582" w:type="pct"/>
                  <w:noWrap w:val="0"/>
                  <w:vAlign w:val="center"/>
                </w:tcPr>
                <w:p>
                  <w:pPr>
                    <w:pStyle w:val="111"/>
                    <w:rPr>
                      <w:b/>
                      <w:bCs/>
                      <w:color w:val="auto"/>
                    </w:rPr>
                  </w:pPr>
                  <w:r>
                    <w:rPr>
                      <w:b/>
                      <w:bCs/>
                      <w:color w:val="auto"/>
                    </w:rPr>
                    <w:t>环境影响类别</w:t>
                  </w:r>
                </w:p>
              </w:tc>
              <w:tc>
                <w:tcPr>
                  <w:tcW w:w="933" w:type="pct"/>
                  <w:noWrap w:val="0"/>
                  <w:vAlign w:val="center"/>
                </w:tcPr>
                <w:p>
                  <w:pPr>
                    <w:pStyle w:val="111"/>
                    <w:rPr>
                      <w:b/>
                      <w:bCs/>
                      <w:color w:val="auto"/>
                    </w:rPr>
                  </w:pPr>
                  <w:r>
                    <w:rPr>
                      <w:b/>
                      <w:bCs/>
                      <w:color w:val="auto"/>
                    </w:rPr>
                    <w:t>环境敏感目标</w:t>
                  </w:r>
                </w:p>
              </w:tc>
              <w:tc>
                <w:tcPr>
                  <w:tcW w:w="517" w:type="pct"/>
                  <w:noWrap w:val="0"/>
                  <w:vAlign w:val="center"/>
                </w:tcPr>
                <w:p>
                  <w:pPr>
                    <w:pStyle w:val="111"/>
                    <w:rPr>
                      <w:b/>
                      <w:bCs/>
                      <w:color w:val="auto"/>
                    </w:rPr>
                  </w:pPr>
                  <w:r>
                    <w:rPr>
                      <w:b/>
                      <w:bCs/>
                      <w:color w:val="auto"/>
                    </w:rPr>
                    <w:t>方位</w:t>
                  </w:r>
                </w:p>
              </w:tc>
              <w:tc>
                <w:tcPr>
                  <w:tcW w:w="654" w:type="pct"/>
                  <w:noWrap w:val="0"/>
                  <w:vAlign w:val="center"/>
                </w:tcPr>
                <w:p>
                  <w:pPr>
                    <w:pStyle w:val="111"/>
                    <w:rPr>
                      <w:b/>
                      <w:bCs/>
                      <w:color w:val="auto"/>
                    </w:rPr>
                  </w:pPr>
                  <w:r>
                    <w:rPr>
                      <w:rFonts w:hint="eastAsia"/>
                      <w:b/>
                      <w:bCs/>
                      <w:color w:val="auto"/>
                    </w:rPr>
                    <w:t>最近</w:t>
                  </w:r>
                  <w:r>
                    <w:rPr>
                      <w:b/>
                      <w:bCs/>
                      <w:color w:val="auto"/>
                    </w:rPr>
                    <w:t>距离(m)</w:t>
                  </w:r>
                </w:p>
              </w:tc>
              <w:tc>
                <w:tcPr>
                  <w:tcW w:w="575" w:type="pct"/>
                  <w:noWrap w:val="0"/>
                  <w:vAlign w:val="center"/>
                </w:tcPr>
                <w:p>
                  <w:pPr>
                    <w:pStyle w:val="111"/>
                    <w:rPr>
                      <w:b/>
                      <w:bCs/>
                      <w:color w:val="auto"/>
                    </w:rPr>
                  </w:pPr>
                  <w:r>
                    <w:rPr>
                      <w:b/>
                      <w:bCs/>
                      <w:color w:val="auto"/>
                    </w:rPr>
                    <w:t>性质</w:t>
                  </w:r>
                </w:p>
              </w:tc>
              <w:tc>
                <w:tcPr>
                  <w:tcW w:w="607" w:type="pct"/>
                  <w:noWrap w:val="0"/>
                  <w:vAlign w:val="center"/>
                </w:tcPr>
                <w:p>
                  <w:pPr>
                    <w:pStyle w:val="111"/>
                    <w:rPr>
                      <w:rFonts w:hint="eastAsia"/>
                      <w:b/>
                      <w:bCs/>
                      <w:color w:val="auto"/>
                    </w:rPr>
                  </w:pPr>
                  <w:r>
                    <w:rPr>
                      <w:rFonts w:hint="eastAsia"/>
                      <w:b/>
                      <w:bCs/>
                      <w:color w:val="auto"/>
                    </w:rPr>
                    <w:t>规模</w:t>
                  </w:r>
                </w:p>
              </w:tc>
              <w:tc>
                <w:tcPr>
                  <w:tcW w:w="1129" w:type="pct"/>
                  <w:noWrap w:val="0"/>
                  <w:vAlign w:val="center"/>
                </w:tcPr>
                <w:p>
                  <w:pPr>
                    <w:pStyle w:val="111"/>
                    <w:rPr>
                      <w:b/>
                      <w:bCs/>
                      <w:color w:val="auto"/>
                    </w:rPr>
                  </w:pPr>
                  <w:r>
                    <w:rPr>
                      <w:b/>
                      <w:bCs/>
                      <w:color w:val="auto"/>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582" w:type="pct"/>
                  <w:vMerge w:val="restart"/>
                  <w:noWrap w:val="0"/>
                  <w:vAlign w:val="center"/>
                </w:tcPr>
                <w:p>
                  <w:pPr>
                    <w:pStyle w:val="111"/>
                    <w:rPr>
                      <w:color w:val="auto"/>
                    </w:rPr>
                  </w:pPr>
                  <w:r>
                    <w:rPr>
                      <w:color w:val="auto"/>
                    </w:rPr>
                    <w:t>地表水环境</w:t>
                  </w:r>
                </w:p>
              </w:tc>
              <w:tc>
                <w:tcPr>
                  <w:tcW w:w="933" w:type="pct"/>
                  <w:noWrap w:val="0"/>
                  <w:vAlign w:val="center"/>
                </w:tcPr>
                <w:p>
                  <w:pPr>
                    <w:pStyle w:val="111"/>
                    <w:rPr>
                      <w:rFonts w:hint="eastAsia"/>
                      <w:color w:val="auto"/>
                    </w:rPr>
                  </w:pPr>
                  <w:r>
                    <w:rPr>
                      <w:rFonts w:hint="eastAsia"/>
                      <w:color w:val="auto"/>
                    </w:rPr>
                    <w:t>岷江</w:t>
                  </w:r>
                </w:p>
              </w:tc>
              <w:tc>
                <w:tcPr>
                  <w:tcW w:w="517" w:type="pct"/>
                  <w:noWrap w:val="0"/>
                  <w:vAlign w:val="center"/>
                </w:tcPr>
                <w:p>
                  <w:pPr>
                    <w:pStyle w:val="111"/>
                    <w:rPr>
                      <w:color w:val="auto"/>
                    </w:rPr>
                  </w:pPr>
                  <w:r>
                    <w:rPr>
                      <w:rFonts w:hint="eastAsia"/>
                      <w:color w:val="auto"/>
                    </w:rPr>
                    <w:t>东侧</w:t>
                  </w:r>
                </w:p>
              </w:tc>
              <w:tc>
                <w:tcPr>
                  <w:tcW w:w="654" w:type="pct"/>
                  <w:noWrap w:val="0"/>
                  <w:vAlign w:val="center"/>
                </w:tcPr>
                <w:p>
                  <w:pPr>
                    <w:pStyle w:val="111"/>
                    <w:rPr>
                      <w:rFonts w:hint="default" w:eastAsia="宋体"/>
                      <w:color w:val="auto"/>
                      <w:lang w:val="en-US" w:eastAsia="zh-CN"/>
                    </w:rPr>
                  </w:pPr>
                  <w:r>
                    <w:rPr>
                      <w:rFonts w:hint="eastAsia"/>
                      <w:color w:val="auto"/>
                      <w:lang w:val="en-US" w:eastAsia="zh-CN"/>
                    </w:rPr>
                    <w:t>2700</w:t>
                  </w:r>
                </w:p>
              </w:tc>
              <w:tc>
                <w:tcPr>
                  <w:tcW w:w="575" w:type="pct"/>
                  <w:noWrap w:val="0"/>
                  <w:vAlign w:val="center"/>
                </w:tcPr>
                <w:p>
                  <w:pPr>
                    <w:pStyle w:val="111"/>
                    <w:rPr>
                      <w:color w:val="auto"/>
                    </w:rPr>
                  </w:pPr>
                  <w:r>
                    <w:rPr>
                      <w:color w:val="auto"/>
                    </w:rPr>
                    <w:t>受纳水体</w:t>
                  </w:r>
                </w:p>
              </w:tc>
              <w:tc>
                <w:tcPr>
                  <w:tcW w:w="607" w:type="pct"/>
                  <w:noWrap w:val="0"/>
                  <w:vAlign w:val="center"/>
                </w:tcPr>
                <w:p>
                  <w:pPr>
                    <w:pStyle w:val="111"/>
                    <w:rPr>
                      <w:rFonts w:hint="eastAsia"/>
                      <w:color w:val="auto"/>
                    </w:rPr>
                  </w:pPr>
                  <w:r>
                    <w:rPr>
                      <w:rFonts w:hint="eastAsia"/>
                      <w:color w:val="auto"/>
                    </w:rPr>
                    <w:t>大河</w:t>
                  </w:r>
                </w:p>
              </w:tc>
              <w:tc>
                <w:tcPr>
                  <w:tcW w:w="1129" w:type="pct"/>
                  <w:vMerge w:val="restart"/>
                  <w:noWrap w:val="0"/>
                  <w:vAlign w:val="center"/>
                </w:tcPr>
                <w:p>
                  <w:pPr>
                    <w:pStyle w:val="111"/>
                    <w:rPr>
                      <w:color w:val="auto"/>
                    </w:rPr>
                  </w:pPr>
                  <w:r>
                    <w:rPr>
                      <w:color w:val="auto"/>
                    </w:rPr>
                    <w:t>《地表水环境质量标准》(GB3838-2002)中的Ⅲ类标准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582" w:type="pct"/>
                  <w:vMerge w:val="continue"/>
                  <w:noWrap w:val="0"/>
                  <w:vAlign w:val="center"/>
                </w:tcPr>
                <w:p>
                  <w:pPr>
                    <w:pStyle w:val="111"/>
                    <w:rPr>
                      <w:color w:val="auto"/>
                    </w:rPr>
                  </w:pPr>
                </w:p>
              </w:tc>
              <w:tc>
                <w:tcPr>
                  <w:tcW w:w="933" w:type="pct"/>
                  <w:noWrap w:val="0"/>
                  <w:vAlign w:val="center"/>
                </w:tcPr>
                <w:p>
                  <w:pPr>
                    <w:pStyle w:val="111"/>
                    <w:rPr>
                      <w:rFonts w:hint="default" w:eastAsia="宋体"/>
                      <w:color w:val="auto"/>
                      <w:lang w:val="en-US" w:eastAsia="zh-CN"/>
                    </w:rPr>
                  </w:pPr>
                  <w:r>
                    <w:rPr>
                      <w:rFonts w:hint="eastAsia"/>
                      <w:color w:val="auto"/>
                      <w:lang w:val="en-US" w:eastAsia="zh-CN"/>
                    </w:rPr>
                    <w:t>竹公溪</w:t>
                  </w:r>
                </w:p>
              </w:tc>
              <w:tc>
                <w:tcPr>
                  <w:tcW w:w="517" w:type="pct"/>
                  <w:noWrap w:val="0"/>
                  <w:vAlign w:val="center"/>
                </w:tcPr>
                <w:p>
                  <w:pPr>
                    <w:pStyle w:val="111"/>
                    <w:rPr>
                      <w:rFonts w:hint="eastAsia" w:eastAsia="宋体"/>
                      <w:color w:val="auto"/>
                      <w:lang w:eastAsia="zh-CN"/>
                    </w:rPr>
                  </w:pPr>
                  <w:r>
                    <w:rPr>
                      <w:rFonts w:hint="eastAsia"/>
                      <w:color w:val="auto"/>
                      <w:lang w:val="en-US" w:eastAsia="zh-CN"/>
                    </w:rPr>
                    <w:t xml:space="preserve"> 东</w:t>
                  </w:r>
                  <w:r>
                    <w:rPr>
                      <w:rFonts w:hint="eastAsia"/>
                      <w:color w:val="auto"/>
                      <w:lang w:eastAsia="zh-CN"/>
                    </w:rPr>
                    <w:t>侧</w:t>
                  </w:r>
                </w:p>
              </w:tc>
              <w:tc>
                <w:tcPr>
                  <w:tcW w:w="654" w:type="pct"/>
                  <w:noWrap w:val="0"/>
                  <w:vAlign w:val="center"/>
                </w:tcPr>
                <w:p>
                  <w:pPr>
                    <w:pStyle w:val="111"/>
                    <w:rPr>
                      <w:rFonts w:hint="default" w:eastAsia="宋体"/>
                      <w:color w:val="auto"/>
                      <w:lang w:val="en-US" w:eastAsia="zh-CN"/>
                    </w:rPr>
                  </w:pPr>
                  <w:r>
                    <w:rPr>
                      <w:rFonts w:hint="eastAsia"/>
                      <w:color w:val="auto"/>
                      <w:lang w:val="en-US" w:eastAsia="zh-CN"/>
                    </w:rPr>
                    <w:t>1100</w:t>
                  </w:r>
                </w:p>
              </w:tc>
              <w:tc>
                <w:tcPr>
                  <w:tcW w:w="575" w:type="pct"/>
                  <w:noWrap w:val="0"/>
                  <w:vAlign w:val="center"/>
                </w:tcPr>
                <w:p>
                  <w:pPr>
                    <w:pStyle w:val="111"/>
                    <w:rPr>
                      <w:rFonts w:hint="eastAsia" w:eastAsia="宋体"/>
                      <w:color w:val="auto"/>
                      <w:lang w:val="en-US" w:eastAsia="zh-CN"/>
                    </w:rPr>
                  </w:pPr>
                  <w:r>
                    <w:rPr>
                      <w:rFonts w:hint="eastAsia"/>
                      <w:color w:val="auto"/>
                      <w:lang w:val="en-US" w:eastAsia="zh-CN"/>
                    </w:rPr>
                    <w:t>-</w:t>
                  </w:r>
                </w:p>
              </w:tc>
              <w:tc>
                <w:tcPr>
                  <w:tcW w:w="607" w:type="pct"/>
                  <w:noWrap w:val="0"/>
                  <w:vAlign w:val="center"/>
                </w:tcPr>
                <w:p>
                  <w:pPr>
                    <w:pStyle w:val="111"/>
                    <w:rPr>
                      <w:rFonts w:hint="eastAsia" w:eastAsia="宋体"/>
                      <w:color w:val="auto"/>
                      <w:lang w:eastAsia="zh-CN"/>
                    </w:rPr>
                  </w:pPr>
                  <w:r>
                    <w:rPr>
                      <w:rFonts w:hint="eastAsia"/>
                      <w:color w:val="auto"/>
                      <w:lang w:eastAsia="zh-CN"/>
                    </w:rPr>
                    <w:t>小河</w:t>
                  </w:r>
                </w:p>
              </w:tc>
              <w:tc>
                <w:tcPr>
                  <w:tcW w:w="1129" w:type="pct"/>
                  <w:vMerge w:val="continue"/>
                  <w:noWrap w:val="0"/>
                  <w:vAlign w:val="center"/>
                </w:tcPr>
                <w:p>
                  <w:pPr>
                    <w:pStyle w:val="111"/>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2" w:type="pct"/>
                  <w:vMerge w:val="restart"/>
                  <w:noWrap w:val="0"/>
                  <w:vAlign w:val="center"/>
                </w:tcPr>
                <w:p>
                  <w:pPr>
                    <w:pStyle w:val="111"/>
                    <w:rPr>
                      <w:color w:val="auto"/>
                    </w:rPr>
                  </w:pPr>
                </w:p>
                <w:p>
                  <w:pPr>
                    <w:pStyle w:val="111"/>
                    <w:rPr>
                      <w:color w:val="auto"/>
                    </w:rPr>
                  </w:pPr>
                </w:p>
                <w:p>
                  <w:pPr>
                    <w:pStyle w:val="111"/>
                    <w:rPr>
                      <w:color w:val="auto"/>
                    </w:rPr>
                  </w:pPr>
                </w:p>
                <w:p>
                  <w:pPr>
                    <w:pStyle w:val="111"/>
                    <w:rPr>
                      <w:color w:val="auto"/>
                    </w:rPr>
                  </w:pPr>
                </w:p>
                <w:p>
                  <w:pPr>
                    <w:pStyle w:val="111"/>
                    <w:rPr>
                      <w:color w:val="auto"/>
                    </w:rPr>
                  </w:pPr>
                </w:p>
                <w:p>
                  <w:pPr>
                    <w:pStyle w:val="111"/>
                    <w:rPr>
                      <w:color w:val="auto"/>
                    </w:rPr>
                  </w:pPr>
                </w:p>
                <w:p>
                  <w:pPr>
                    <w:pStyle w:val="111"/>
                    <w:rPr>
                      <w:color w:val="auto"/>
                    </w:rPr>
                  </w:pPr>
                  <w:r>
                    <w:rPr>
                      <w:color w:val="auto"/>
                    </w:rPr>
                    <w:t>大气环境</w:t>
                  </w:r>
                </w:p>
                <w:p>
                  <w:pPr>
                    <w:pStyle w:val="111"/>
                    <w:rPr>
                      <w:color w:val="auto"/>
                    </w:rPr>
                  </w:pPr>
                  <w:r>
                    <w:rPr>
                      <w:rFonts w:hint="eastAsia"/>
                      <w:color w:val="auto"/>
                    </w:rPr>
                    <w:t>（500m范围内）</w:t>
                  </w:r>
                </w:p>
              </w:tc>
              <w:tc>
                <w:tcPr>
                  <w:tcW w:w="933" w:type="pct"/>
                  <w:noWrap w:val="0"/>
                  <w:vAlign w:val="center"/>
                </w:tcPr>
                <w:p>
                  <w:pPr>
                    <w:pStyle w:val="176"/>
                    <w:rPr>
                      <w:rFonts w:hint="eastAsia" w:eastAsia="宋体"/>
                      <w:color w:val="auto"/>
                      <w:lang w:eastAsia="zh-CN"/>
                    </w:rPr>
                  </w:pPr>
                  <w:r>
                    <w:rPr>
                      <w:rFonts w:hint="eastAsia"/>
                      <w:color w:val="auto"/>
                      <w:lang w:eastAsia="zh-CN"/>
                    </w:rPr>
                    <w:t>金苹果幼儿园</w:t>
                  </w:r>
                </w:p>
              </w:tc>
              <w:tc>
                <w:tcPr>
                  <w:tcW w:w="517" w:type="pct"/>
                  <w:noWrap w:val="0"/>
                  <w:vAlign w:val="center"/>
                </w:tcPr>
                <w:p>
                  <w:pPr>
                    <w:pStyle w:val="176"/>
                    <w:rPr>
                      <w:rFonts w:hint="eastAsia"/>
                      <w:color w:val="auto"/>
                    </w:rPr>
                  </w:pPr>
                  <w:r>
                    <w:rPr>
                      <w:rFonts w:hint="eastAsia"/>
                      <w:color w:val="auto"/>
                    </w:rPr>
                    <w:t>北侧</w:t>
                  </w:r>
                </w:p>
              </w:tc>
              <w:tc>
                <w:tcPr>
                  <w:tcW w:w="654" w:type="pct"/>
                  <w:noWrap w:val="0"/>
                  <w:vAlign w:val="center"/>
                </w:tcPr>
                <w:p>
                  <w:pPr>
                    <w:pStyle w:val="176"/>
                    <w:rPr>
                      <w:color w:val="auto"/>
                    </w:rPr>
                  </w:pPr>
                  <w:r>
                    <w:rPr>
                      <w:rFonts w:hint="eastAsia"/>
                      <w:color w:val="auto"/>
                      <w:lang w:val="en-US" w:eastAsia="zh-CN"/>
                    </w:rPr>
                    <w:t>55</w:t>
                  </w:r>
                </w:p>
              </w:tc>
              <w:tc>
                <w:tcPr>
                  <w:tcW w:w="575" w:type="pct"/>
                  <w:noWrap w:val="0"/>
                  <w:vAlign w:val="center"/>
                </w:tcPr>
                <w:p>
                  <w:pPr>
                    <w:pStyle w:val="111"/>
                    <w:rPr>
                      <w:rFonts w:hint="eastAsia" w:eastAsia="宋体"/>
                      <w:color w:val="auto"/>
                      <w:lang w:eastAsia="zh-CN"/>
                    </w:rPr>
                  </w:pPr>
                  <w:r>
                    <w:rPr>
                      <w:rFonts w:hint="eastAsia"/>
                      <w:color w:val="auto"/>
                      <w:lang w:eastAsia="zh-CN"/>
                    </w:rPr>
                    <w:t>学校</w:t>
                  </w:r>
                </w:p>
              </w:tc>
              <w:tc>
                <w:tcPr>
                  <w:tcW w:w="607" w:type="pct"/>
                  <w:noWrap w:val="0"/>
                  <w:vAlign w:val="center"/>
                </w:tcPr>
                <w:p>
                  <w:pPr>
                    <w:pStyle w:val="111"/>
                    <w:rPr>
                      <w:rFonts w:hint="default" w:eastAsia="宋体"/>
                      <w:color w:val="auto"/>
                      <w:lang w:val="en-US" w:eastAsia="zh-CN"/>
                    </w:rPr>
                  </w:pPr>
                  <w:r>
                    <w:rPr>
                      <w:rFonts w:hint="eastAsia"/>
                      <w:color w:val="auto"/>
                      <w:lang w:val="en-US" w:eastAsia="zh-CN"/>
                    </w:rPr>
                    <w:t>200人</w:t>
                  </w:r>
                </w:p>
              </w:tc>
              <w:tc>
                <w:tcPr>
                  <w:tcW w:w="1129" w:type="pct"/>
                  <w:vMerge w:val="restart"/>
                  <w:noWrap w:val="0"/>
                  <w:vAlign w:val="center"/>
                </w:tcPr>
                <w:p>
                  <w:pPr>
                    <w:pStyle w:val="111"/>
                    <w:rPr>
                      <w:color w:val="auto"/>
                    </w:rPr>
                  </w:pPr>
                  <w:r>
                    <w:rPr>
                      <w:color w:val="auto"/>
                    </w:rPr>
                    <w:t>《环境空气质量标准》GB 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2" w:type="pct"/>
                  <w:vMerge w:val="continue"/>
                  <w:noWrap w:val="0"/>
                  <w:vAlign w:val="center"/>
                </w:tcPr>
                <w:p>
                  <w:pPr>
                    <w:pStyle w:val="111"/>
                    <w:rPr>
                      <w:rFonts w:hint="eastAsia"/>
                      <w:color w:val="auto"/>
                    </w:rPr>
                  </w:pPr>
                </w:p>
              </w:tc>
              <w:tc>
                <w:tcPr>
                  <w:tcW w:w="933" w:type="pct"/>
                  <w:noWrap w:val="0"/>
                  <w:vAlign w:val="center"/>
                </w:tcPr>
                <w:p>
                  <w:pPr>
                    <w:pStyle w:val="176"/>
                    <w:rPr>
                      <w:rFonts w:hint="eastAsia"/>
                      <w:color w:val="auto"/>
                    </w:rPr>
                  </w:pPr>
                  <w:r>
                    <w:rPr>
                      <w:rFonts w:hint="eastAsia"/>
                      <w:color w:val="auto"/>
                      <w:lang w:eastAsia="zh-CN"/>
                    </w:rPr>
                    <w:t>时代青江</w:t>
                  </w:r>
                  <w:r>
                    <w:rPr>
                      <w:rFonts w:hint="eastAsia"/>
                      <w:color w:val="auto"/>
                      <w:lang w:val="en-US" w:eastAsia="zh-CN"/>
                    </w:rPr>
                    <w:t>2期</w:t>
                  </w:r>
                </w:p>
              </w:tc>
              <w:tc>
                <w:tcPr>
                  <w:tcW w:w="517" w:type="pct"/>
                  <w:noWrap w:val="0"/>
                  <w:vAlign w:val="center"/>
                </w:tcPr>
                <w:p>
                  <w:pPr>
                    <w:pStyle w:val="176"/>
                    <w:rPr>
                      <w:rFonts w:hint="eastAsia"/>
                      <w:color w:val="auto"/>
                    </w:rPr>
                  </w:pPr>
                  <w:r>
                    <w:rPr>
                      <w:rFonts w:hint="eastAsia"/>
                      <w:color w:val="auto"/>
                      <w:lang w:eastAsia="zh-CN"/>
                    </w:rPr>
                    <w:t>东北侧</w:t>
                  </w:r>
                </w:p>
              </w:tc>
              <w:tc>
                <w:tcPr>
                  <w:tcW w:w="654" w:type="pct"/>
                  <w:noWrap w:val="0"/>
                  <w:vAlign w:val="center"/>
                </w:tcPr>
                <w:p>
                  <w:pPr>
                    <w:pStyle w:val="176"/>
                    <w:rPr>
                      <w:color w:val="auto"/>
                    </w:rPr>
                  </w:pPr>
                  <w:r>
                    <w:rPr>
                      <w:rFonts w:hint="eastAsia"/>
                      <w:color w:val="auto"/>
                      <w:lang w:val="en-US" w:eastAsia="zh-CN"/>
                    </w:rPr>
                    <w:t>206</w:t>
                  </w:r>
                </w:p>
              </w:tc>
              <w:tc>
                <w:tcPr>
                  <w:tcW w:w="575" w:type="pct"/>
                  <w:noWrap w:val="0"/>
                  <w:vAlign w:val="center"/>
                </w:tcPr>
                <w:p>
                  <w:pPr>
                    <w:pStyle w:val="111"/>
                    <w:rPr>
                      <w:rFonts w:hint="eastAsia" w:eastAsia="宋体"/>
                      <w:color w:val="auto"/>
                      <w:lang w:eastAsia="zh-CN"/>
                    </w:rPr>
                  </w:pPr>
                  <w:r>
                    <w:rPr>
                      <w:rFonts w:hint="eastAsia"/>
                      <w:color w:val="auto"/>
                      <w:lang w:eastAsia="zh-CN"/>
                    </w:rPr>
                    <w:t>住宅</w:t>
                  </w:r>
                </w:p>
              </w:tc>
              <w:tc>
                <w:tcPr>
                  <w:tcW w:w="607" w:type="pct"/>
                  <w:noWrap w:val="0"/>
                  <w:vAlign w:val="center"/>
                </w:tcPr>
                <w:p>
                  <w:pPr>
                    <w:pStyle w:val="111"/>
                    <w:rPr>
                      <w:rFonts w:hint="default" w:eastAsia="宋体"/>
                      <w:color w:val="auto"/>
                      <w:lang w:val="en-US" w:eastAsia="zh-CN"/>
                    </w:rPr>
                  </w:pPr>
                  <w:r>
                    <w:rPr>
                      <w:rFonts w:hint="eastAsia"/>
                      <w:color w:val="auto"/>
                      <w:lang w:val="en-US" w:eastAsia="zh-CN"/>
                    </w:rPr>
                    <w:t>9720人</w:t>
                  </w:r>
                </w:p>
              </w:tc>
              <w:tc>
                <w:tcPr>
                  <w:tcW w:w="1129" w:type="pct"/>
                  <w:vMerge w:val="continue"/>
                  <w:noWrap w:val="0"/>
                  <w:vAlign w:val="center"/>
                </w:tcPr>
                <w:p>
                  <w:pPr>
                    <w:pStyle w:val="111"/>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2" w:type="pct"/>
                  <w:vMerge w:val="continue"/>
                  <w:noWrap w:val="0"/>
                  <w:vAlign w:val="center"/>
                </w:tcPr>
                <w:p>
                  <w:pPr>
                    <w:pStyle w:val="111"/>
                    <w:rPr>
                      <w:rFonts w:hint="eastAsia"/>
                      <w:color w:val="auto"/>
                    </w:rPr>
                  </w:pPr>
                </w:p>
              </w:tc>
              <w:tc>
                <w:tcPr>
                  <w:tcW w:w="933" w:type="pct"/>
                  <w:noWrap w:val="0"/>
                  <w:vAlign w:val="center"/>
                </w:tcPr>
                <w:p>
                  <w:pPr>
                    <w:pStyle w:val="176"/>
                    <w:rPr>
                      <w:rFonts w:hint="eastAsia"/>
                      <w:color w:val="auto"/>
                    </w:rPr>
                  </w:pPr>
                  <w:r>
                    <w:rPr>
                      <w:rFonts w:hint="eastAsia"/>
                      <w:color w:val="auto"/>
                      <w:lang w:eastAsia="zh-CN"/>
                    </w:rPr>
                    <w:t>乐山市嘉州学校</w:t>
                  </w:r>
                </w:p>
              </w:tc>
              <w:tc>
                <w:tcPr>
                  <w:tcW w:w="517" w:type="pct"/>
                  <w:vMerge w:val="restart"/>
                  <w:noWrap w:val="0"/>
                  <w:vAlign w:val="center"/>
                </w:tcPr>
                <w:p>
                  <w:pPr>
                    <w:pStyle w:val="176"/>
                    <w:rPr>
                      <w:rFonts w:hint="eastAsia"/>
                      <w:color w:val="auto"/>
                    </w:rPr>
                  </w:pPr>
                  <w:r>
                    <w:rPr>
                      <w:rFonts w:hint="eastAsia"/>
                      <w:color w:val="auto"/>
                      <w:lang w:eastAsia="zh-CN"/>
                    </w:rPr>
                    <w:t>东侧</w:t>
                  </w:r>
                </w:p>
              </w:tc>
              <w:tc>
                <w:tcPr>
                  <w:tcW w:w="654" w:type="pct"/>
                  <w:noWrap w:val="0"/>
                  <w:vAlign w:val="center"/>
                </w:tcPr>
                <w:p>
                  <w:pPr>
                    <w:pStyle w:val="176"/>
                    <w:rPr>
                      <w:color w:val="auto"/>
                    </w:rPr>
                  </w:pPr>
                  <w:r>
                    <w:rPr>
                      <w:rFonts w:hint="eastAsia"/>
                      <w:color w:val="auto"/>
                      <w:lang w:val="en-US" w:eastAsia="zh-CN"/>
                    </w:rPr>
                    <w:t>40</w:t>
                  </w:r>
                </w:p>
              </w:tc>
              <w:tc>
                <w:tcPr>
                  <w:tcW w:w="575" w:type="pct"/>
                  <w:noWrap w:val="0"/>
                  <w:vAlign w:val="center"/>
                </w:tcPr>
                <w:p>
                  <w:pPr>
                    <w:pStyle w:val="111"/>
                    <w:rPr>
                      <w:rFonts w:hint="eastAsia"/>
                      <w:color w:val="auto"/>
                    </w:rPr>
                  </w:pPr>
                  <w:r>
                    <w:rPr>
                      <w:rFonts w:hint="eastAsia"/>
                      <w:color w:val="auto"/>
                      <w:lang w:eastAsia="zh-CN"/>
                    </w:rPr>
                    <w:t>学校</w:t>
                  </w:r>
                </w:p>
              </w:tc>
              <w:tc>
                <w:tcPr>
                  <w:tcW w:w="607" w:type="pct"/>
                  <w:noWrap w:val="0"/>
                  <w:vAlign w:val="center"/>
                </w:tcPr>
                <w:p>
                  <w:pPr>
                    <w:pStyle w:val="111"/>
                    <w:rPr>
                      <w:rFonts w:hint="default" w:eastAsia="宋体"/>
                      <w:color w:val="auto"/>
                      <w:lang w:val="en-US" w:eastAsia="zh-CN"/>
                    </w:rPr>
                  </w:pPr>
                  <w:r>
                    <w:rPr>
                      <w:rFonts w:hint="eastAsia"/>
                      <w:color w:val="auto"/>
                      <w:lang w:val="en-US" w:eastAsia="zh-CN"/>
                    </w:rPr>
                    <w:t>1000人</w:t>
                  </w:r>
                </w:p>
              </w:tc>
              <w:tc>
                <w:tcPr>
                  <w:tcW w:w="1129" w:type="pct"/>
                  <w:vMerge w:val="continue"/>
                  <w:noWrap w:val="0"/>
                  <w:vAlign w:val="center"/>
                </w:tcPr>
                <w:p>
                  <w:pPr>
                    <w:pStyle w:val="111"/>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2" w:type="pct"/>
                  <w:vMerge w:val="continue"/>
                  <w:noWrap w:val="0"/>
                  <w:vAlign w:val="center"/>
                </w:tcPr>
                <w:p>
                  <w:pPr>
                    <w:pStyle w:val="111"/>
                    <w:rPr>
                      <w:rFonts w:hint="eastAsia"/>
                      <w:color w:val="auto"/>
                    </w:rPr>
                  </w:pPr>
                </w:p>
              </w:tc>
              <w:tc>
                <w:tcPr>
                  <w:tcW w:w="933" w:type="pct"/>
                  <w:noWrap w:val="0"/>
                  <w:vAlign w:val="center"/>
                </w:tcPr>
                <w:p>
                  <w:pPr>
                    <w:pStyle w:val="176"/>
                    <w:rPr>
                      <w:rFonts w:hint="eastAsia"/>
                      <w:color w:val="auto"/>
                    </w:rPr>
                  </w:pPr>
                  <w:r>
                    <w:rPr>
                      <w:rFonts w:hint="eastAsia"/>
                      <w:color w:val="auto"/>
                      <w:lang w:eastAsia="zh-CN"/>
                    </w:rPr>
                    <w:t>时代青江</w:t>
                  </w:r>
                  <w:r>
                    <w:rPr>
                      <w:rFonts w:hint="eastAsia"/>
                      <w:color w:val="auto"/>
                      <w:lang w:val="en-US" w:eastAsia="zh-CN"/>
                    </w:rPr>
                    <w:t>1期</w:t>
                  </w:r>
                </w:p>
              </w:tc>
              <w:tc>
                <w:tcPr>
                  <w:tcW w:w="517" w:type="pct"/>
                  <w:vMerge w:val="continue"/>
                  <w:noWrap w:val="0"/>
                  <w:vAlign w:val="center"/>
                </w:tcPr>
                <w:p>
                  <w:pPr>
                    <w:pStyle w:val="176"/>
                    <w:rPr>
                      <w:rFonts w:hint="eastAsia"/>
                      <w:color w:val="auto"/>
                    </w:rPr>
                  </w:pPr>
                </w:p>
              </w:tc>
              <w:tc>
                <w:tcPr>
                  <w:tcW w:w="654" w:type="pct"/>
                  <w:noWrap w:val="0"/>
                  <w:vAlign w:val="center"/>
                </w:tcPr>
                <w:p>
                  <w:pPr>
                    <w:pStyle w:val="176"/>
                    <w:rPr>
                      <w:color w:val="auto"/>
                    </w:rPr>
                  </w:pPr>
                  <w:r>
                    <w:rPr>
                      <w:rFonts w:hint="eastAsia"/>
                      <w:color w:val="auto"/>
                      <w:lang w:val="en-US" w:eastAsia="zh-CN"/>
                    </w:rPr>
                    <w:t>270</w:t>
                  </w:r>
                </w:p>
              </w:tc>
              <w:tc>
                <w:tcPr>
                  <w:tcW w:w="575" w:type="pct"/>
                  <w:noWrap w:val="0"/>
                  <w:vAlign w:val="center"/>
                </w:tcPr>
                <w:p>
                  <w:pPr>
                    <w:pStyle w:val="111"/>
                    <w:bidi w:val="0"/>
                    <w:rPr>
                      <w:rFonts w:hint="eastAsia"/>
                    </w:rPr>
                  </w:pPr>
                  <w:r>
                    <w:rPr>
                      <w:rFonts w:hint="eastAsia"/>
                      <w:lang w:eastAsia="zh-CN"/>
                    </w:rPr>
                    <w:t>住宅</w:t>
                  </w:r>
                </w:p>
              </w:tc>
              <w:tc>
                <w:tcPr>
                  <w:tcW w:w="607" w:type="pct"/>
                  <w:noWrap w:val="0"/>
                  <w:vAlign w:val="center"/>
                </w:tcPr>
                <w:p>
                  <w:pPr>
                    <w:pStyle w:val="111"/>
                    <w:rPr>
                      <w:rFonts w:hint="default" w:eastAsia="宋体"/>
                      <w:color w:val="auto"/>
                      <w:lang w:val="en-US" w:eastAsia="zh-CN"/>
                    </w:rPr>
                  </w:pPr>
                  <w:r>
                    <w:rPr>
                      <w:rFonts w:hint="eastAsia"/>
                      <w:color w:val="auto"/>
                      <w:lang w:val="en-US" w:eastAsia="zh-CN"/>
                    </w:rPr>
                    <w:t>4320人</w:t>
                  </w:r>
                </w:p>
              </w:tc>
              <w:tc>
                <w:tcPr>
                  <w:tcW w:w="1129" w:type="pct"/>
                  <w:vMerge w:val="continue"/>
                  <w:noWrap w:val="0"/>
                  <w:vAlign w:val="center"/>
                </w:tcPr>
                <w:p>
                  <w:pPr>
                    <w:pStyle w:val="111"/>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2" w:type="pct"/>
                  <w:vMerge w:val="continue"/>
                  <w:noWrap w:val="0"/>
                  <w:vAlign w:val="center"/>
                </w:tcPr>
                <w:p>
                  <w:pPr>
                    <w:pStyle w:val="111"/>
                    <w:rPr>
                      <w:rFonts w:hint="eastAsia"/>
                      <w:color w:val="auto"/>
                    </w:rPr>
                  </w:pPr>
                </w:p>
              </w:tc>
              <w:tc>
                <w:tcPr>
                  <w:tcW w:w="933" w:type="pct"/>
                  <w:noWrap w:val="0"/>
                  <w:vAlign w:val="center"/>
                </w:tcPr>
                <w:p>
                  <w:pPr>
                    <w:pStyle w:val="176"/>
                    <w:rPr>
                      <w:rFonts w:hint="eastAsia"/>
                      <w:color w:val="auto"/>
                    </w:rPr>
                  </w:pPr>
                  <w:r>
                    <w:rPr>
                      <w:rFonts w:hint="eastAsia"/>
                      <w:color w:val="auto"/>
                      <w:lang w:eastAsia="zh-CN"/>
                    </w:rPr>
                    <w:t>邦泰中心</w:t>
                  </w:r>
                </w:p>
              </w:tc>
              <w:tc>
                <w:tcPr>
                  <w:tcW w:w="517" w:type="pct"/>
                  <w:noWrap w:val="0"/>
                  <w:vAlign w:val="center"/>
                </w:tcPr>
                <w:p>
                  <w:pPr>
                    <w:pStyle w:val="176"/>
                    <w:rPr>
                      <w:rFonts w:hint="eastAsia"/>
                      <w:color w:val="auto"/>
                    </w:rPr>
                  </w:pPr>
                  <w:r>
                    <w:rPr>
                      <w:rFonts w:hint="eastAsia"/>
                      <w:color w:val="auto"/>
                      <w:lang w:eastAsia="zh-CN"/>
                    </w:rPr>
                    <w:t>东南侧</w:t>
                  </w:r>
                </w:p>
              </w:tc>
              <w:tc>
                <w:tcPr>
                  <w:tcW w:w="654" w:type="pct"/>
                  <w:noWrap w:val="0"/>
                  <w:vAlign w:val="center"/>
                </w:tcPr>
                <w:p>
                  <w:pPr>
                    <w:pStyle w:val="176"/>
                    <w:rPr>
                      <w:color w:val="auto"/>
                    </w:rPr>
                  </w:pPr>
                  <w:r>
                    <w:rPr>
                      <w:rFonts w:hint="eastAsia"/>
                      <w:color w:val="auto"/>
                      <w:lang w:val="en-US" w:eastAsia="zh-CN"/>
                    </w:rPr>
                    <w:t>283</w:t>
                  </w:r>
                </w:p>
              </w:tc>
              <w:tc>
                <w:tcPr>
                  <w:tcW w:w="575" w:type="pct"/>
                  <w:noWrap w:val="0"/>
                  <w:vAlign w:val="center"/>
                </w:tcPr>
                <w:p>
                  <w:pPr>
                    <w:pStyle w:val="111"/>
                    <w:bidi w:val="0"/>
                    <w:rPr>
                      <w:rFonts w:hint="eastAsia"/>
                    </w:rPr>
                  </w:pPr>
                  <w:r>
                    <w:rPr>
                      <w:rFonts w:hint="eastAsia"/>
                      <w:lang w:eastAsia="zh-CN"/>
                    </w:rPr>
                    <w:t>住宅</w:t>
                  </w:r>
                </w:p>
              </w:tc>
              <w:tc>
                <w:tcPr>
                  <w:tcW w:w="607" w:type="pct"/>
                  <w:noWrap w:val="0"/>
                  <w:vAlign w:val="center"/>
                </w:tcPr>
                <w:p>
                  <w:pPr>
                    <w:pStyle w:val="111"/>
                    <w:rPr>
                      <w:rFonts w:hint="default" w:eastAsia="宋体"/>
                      <w:color w:val="auto"/>
                      <w:lang w:val="en-US" w:eastAsia="zh-CN"/>
                    </w:rPr>
                  </w:pPr>
                  <w:r>
                    <w:rPr>
                      <w:rFonts w:hint="eastAsia"/>
                      <w:color w:val="auto"/>
                      <w:lang w:val="en-US" w:eastAsia="zh-CN"/>
                    </w:rPr>
                    <w:t>1500人</w:t>
                  </w:r>
                </w:p>
              </w:tc>
              <w:tc>
                <w:tcPr>
                  <w:tcW w:w="1129" w:type="pct"/>
                  <w:vMerge w:val="continue"/>
                  <w:noWrap w:val="0"/>
                  <w:vAlign w:val="center"/>
                </w:tcPr>
                <w:p>
                  <w:pPr>
                    <w:pStyle w:val="111"/>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2" w:type="pct"/>
                  <w:vMerge w:val="continue"/>
                  <w:noWrap w:val="0"/>
                  <w:vAlign w:val="center"/>
                </w:tcPr>
                <w:p>
                  <w:pPr>
                    <w:pStyle w:val="111"/>
                    <w:rPr>
                      <w:rFonts w:hint="eastAsia"/>
                      <w:color w:val="auto"/>
                    </w:rPr>
                  </w:pPr>
                </w:p>
              </w:tc>
              <w:tc>
                <w:tcPr>
                  <w:tcW w:w="933" w:type="pct"/>
                  <w:noWrap w:val="0"/>
                  <w:vAlign w:val="center"/>
                </w:tcPr>
                <w:p>
                  <w:pPr>
                    <w:pStyle w:val="176"/>
                    <w:rPr>
                      <w:rFonts w:hint="eastAsia"/>
                      <w:color w:val="auto"/>
                    </w:rPr>
                  </w:pPr>
                  <w:r>
                    <w:rPr>
                      <w:rFonts w:hint="eastAsia"/>
                      <w:color w:val="auto"/>
                      <w:lang w:eastAsia="zh-CN"/>
                    </w:rPr>
                    <w:t>梧桐公馆</w:t>
                  </w:r>
                </w:p>
              </w:tc>
              <w:tc>
                <w:tcPr>
                  <w:tcW w:w="517" w:type="pct"/>
                  <w:vMerge w:val="restart"/>
                  <w:noWrap w:val="0"/>
                  <w:vAlign w:val="center"/>
                </w:tcPr>
                <w:p>
                  <w:pPr>
                    <w:pStyle w:val="176"/>
                    <w:rPr>
                      <w:rFonts w:hint="eastAsia"/>
                      <w:color w:val="auto"/>
                    </w:rPr>
                  </w:pPr>
                  <w:r>
                    <w:rPr>
                      <w:rFonts w:hint="eastAsia"/>
                      <w:color w:val="auto"/>
                      <w:lang w:eastAsia="zh-CN"/>
                    </w:rPr>
                    <w:t>南侧</w:t>
                  </w:r>
                </w:p>
              </w:tc>
              <w:tc>
                <w:tcPr>
                  <w:tcW w:w="654" w:type="pct"/>
                  <w:noWrap w:val="0"/>
                  <w:vAlign w:val="center"/>
                </w:tcPr>
                <w:p>
                  <w:pPr>
                    <w:pStyle w:val="176"/>
                    <w:rPr>
                      <w:color w:val="auto"/>
                    </w:rPr>
                  </w:pPr>
                  <w:r>
                    <w:rPr>
                      <w:rFonts w:hint="eastAsia"/>
                      <w:color w:val="auto"/>
                      <w:lang w:val="en-US" w:eastAsia="zh-CN"/>
                    </w:rPr>
                    <w:t>155</w:t>
                  </w:r>
                </w:p>
              </w:tc>
              <w:tc>
                <w:tcPr>
                  <w:tcW w:w="575" w:type="pct"/>
                  <w:noWrap w:val="0"/>
                  <w:vAlign w:val="center"/>
                </w:tcPr>
                <w:p>
                  <w:pPr>
                    <w:pStyle w:val="111"/>
                    <w:bidi w:val="0"/>
                    <w:rPr>
                      <w:rFonts w:hint="eastAsia"/>
                    </w:rPr>
                  </w:pPr>
                  <w:r>
                    <w:rPr>
                      <w:rFonts w:hint="eastAsia"/>
                      <w:lang w:eastAsia="zh-CN"/>
                    </w:rPr>
                    <w:t>住宅</w:t>
                  </w:r>
                </w:p>
              </w:tc>
              <w:tc>
                <w:tcPr>
                  <w:tcW w:w="607" w:type="pct"/>
                  <w:noWrap w:val="0"/>
                  <w:vAlign w:val="center"/>
                </w:tcPr>
                <w:p>
                  <w:pPr>
                    <w:pStyle w:val="111"/>
                    <w:rPr>
                      <w:color w:val="auto"/>
                    </w:rPr>
                  </w:pPr>
                  <w:r>
                    <w:rPr>
                      <w:rFonts w:hint="eastAsia"/>
                      <w:color w:val="auto"/>
                      <w:lang w:val="en-US" w:eastAsia="zh-CN"/>
                    </w:rPr>
                    <w:t>1500人</w:t>
                  </w:r>
                </w:p>
              </w:tc>
              <w:tc>
                <w:tcPr>
                  <w:tcW w:w="1129" w:type="pct"/>
                  <w:vMerge w:val="continue"/>
                  <w:noWrap w:val="0"/>
                  <w:vAlign w:val="center"/>
                </w:tcPr>
                <w:p>
                  <w:pPr>
                    <w:pStyle w:val="111"/>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2" w:type="pct"/>
                  <w:vMerge w:val="continue"/>
                  <w:noWrap w:val="0"/>
                  <w:vAlign w:val="center"/>
                </w:tcPr>
                <w:p>
                  <w:pPr>
                    <w:pStyle w:val="111"/>
                    <w:rPr>
                      <w:rFonts w:hint="eastAsia"/>
                      <w:color w:val="auto"/>
                    </w:rPr>
                  </w:pPr>
                </w:p>
              </w:tc>
              <w:tc>
                <w:tcPr>
                  <w:tcW w:w="933" w:type="pct"/>
                  <w:noWrap w:val="0"/>
                  <w:vAlign w:val="center"/>
                </w:tcPr>
                <w:p>
                  <w:pPr>
                    <w:pStyle w:val="176"/>
                    <w:rPr>
                      <w:rFonts w:hint="eastAsia"/>
                      <w:color w:val="auto"/>
                    </w:rPr>
                  </w:pPr>
                  <w:r>
                    <w:rPr>
                      <w:rFonts w:hint="eastAsia"/>
                      <w:color w:val="auto"/>
                      <w:lang w:eastAsia="zh-CN"/>
                    </w:rPr>
                    <w:t>世豪广场</w:t>
                  </w:r>
                </w:p>
              </w:tc>
              <w:tc>
                <w:tcPr>
                  <w:tcW w:w="517" w:type="pct"/>
                  <w:vMerge w:val="continue"/>
                  <w:noWrap w:val="0"/>
                  <w:vAlign w:val="center"/>
                </w:tcPr>
                <w:p>
                  <w:pPr>
                    <w:pStyle w:val="176"/>
                    <w:rPr>
                      <w:rFonts w:hint="eastAsia"/>
                      <w:color w:val="auto"/>
                    </w:rPr>
                  </w:pPr>
                </w:p>
              </w:tc>
              <w:tc>
                <w:tcPr>
                  <w:tcW w:w="654" w:type="pct"/>
                  <w:noWrap w:val="0"/>
                  <w:vAlign w:val="center"/>
                </w:tcPr>
                <w:p>
                  <w:pPr>
                    <w:pStyle w:val="176"/>
                    <w:rPr>
                      <w:color w:val="auto"/>
                    </w:rPr>
                  </w:pPr>
                  <w:r>
                    <w:rPr>
                      <w:rFonts w:hint="eastAsia"/>
                      <w:color w:val="auto"/>
                      <w:lang w:val="en-US" w:eastAsia="zh-CN"/>
                    </w:rPr>
                    <w:t>294</w:t>
                  </w:r>
                </w:p>
              </w:tc>
              <w:tc>
                <w:tcPr>
                  <w:tcW w:w="575" w:type="pct"/>
                  <w:noWrap w:val="0"/>
                  <w:vAlign w:val="center"/>
                </w:tcPr>
                <w:p>
                  <w:pPr>
                    <w:pStyle w:val="111"/>
                    <w:bidi w:val="0"/>
                    <w:rPr>
                      <w:rFonts w:hint="eastAsia"/>
                    </w:rPr>
                  </w:pPr>
                  <w:r>
                    <w:rPr>
                      <w:rFonts w:hint="eastAsia"/>
                      <w:lang w:eastAsia="zh-CN"/>
                    </w:rPr>
                    <w:t>住宅</w:t>
                  </w:r>
                </w:p>
              </w:tc>
              <w:tc>
                <w:tcPr>
                  <w:tcW w:w="607" w:type="pct"/>
                  <w:noWrap w:val="0"/>
                  <w:vAlign w:val="center"/>
                </w:tcPr>
                <w:p>
                  <w:pPr>
                    <w:pStyle w:val="111"/>
                    <w:rPr>
                      <w:rFonts w:hint="default" w:eastAsia="宋体"/>
                      <w:color w:val="auto"/>
                      <w:lang w:val="en-US" w:eastAsia="zh-CN"/>
                    </w:rPr>
                  </w:pPr>
                  <w:r>
                    <w:rPr>
                      <w:rFonts w:hint="eastAsia"/>
                      <w:color w:val="auto"/>
                      <w:lang w:val="en-US" w:eastAsia="zh-CN"/>
                    </w:rPr>
                    <w:t>2700人</w:t>
                  </w:r>
                </w:p>
              </w:tc>
              <w:tc>
                <w:tcPr>
                  <w:tcW w:w="1129" w:type="pct"/>
                  <w:vMerge w:val="continue"/>
                  <w:noWrap w:val="0"/>
                  <w:vAlign w:val="center"/>
                </w:tcPr>
                <w:p>
                  <w:pPr>
                    <w:pStyle w:val="111"/>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2" w:type="pct"/>
                  <w:vMerge w:val="continue"/>
                  <w:noWrap w:val="0"/>
                  <w:vAlign w:val="center"/>
                </w:tcPr>
                <w:p>
                  <w:pPr>
                    <w:pStyle w:val="111"/>
                    <w:rPr>
                      <w:rFonts w:hint="eastAsia"/>
                      <w:color w:val="auto"/>
                    </w:rPr>
                  </w:pPr>
                </w:p>
              </w:tc>
              <w:tc>
                <w:tcPr>
                  <w:tcW w:w="933" w:type="pct"/>
                  <w:noWrap w:val="0"/>
                  <w:vAlign w:val="center"/>
                </w:tcPr>
                <w:p>
                  <w:pPr>
                    <w:pStyle w:val="176"/>
                    <w:rPr>
                      <w:rFonts w:hint="eastAsia"/>
                      <w:color w:val="auto"/>
                    </w:rPr>
                  </w:pPr>
                  <w:r>
                    <w:rPr>
                      <w:rFonts w:hint="eastAsia"/>
                      <w:color w:val="auto"/>
                      <w:lang w:eastAsia="zh-CN"/>
                    </w:rPr>
                    <w:t>阳光青江壹号</w:t>
                  </w:r>
                </w:p>
              </w:tc>
              <w:tc>
                <w:tcPr>
                  <w:tcW w:w="517" w:type="pct"/>
                  <w:vMerge w:val="restart"/>
                  <w:noWrap w:val="0"/>
                  <w:vAlign w:val="center"/>
                </w:tcPr>
                <w:p>
                  <w:pPr>
                    <w:pStyle w:val="176"/>
                    <w:rPr>
                      <w:rFonts w:hint="eastAsia"/>
                      <w:color w:val="auto"/>
                    </w:rPr>
                  </w:pPr>
                  <w:r>
                    <w:rPr>
                      <w:rFonts w:hint="eastAsia"/>
                      <w:color w:val="auto"/>
                      <w:lang w:eastAsia="zh-CN"/>
                    </w:rPr>
                    <w:t>西南侧</w:t>
                  </w:r>
                </w:p>
              </w:tc>
              <w:tc>
                <w:tcPr>
                  <w:tcW w:w="654" w:type="pct"/>
                  <w:noWrap w:val="0"/>
                  <w:vAlign w:val="center"/>
                </w:tcPr>
                <w:p>
                  <w:pPr>
                    <w:pStyle w:val="176"/>
                    <w:rPr>
                      <w:color w:val="auto"/>
                    </w:rPr>
                  </w:pPr>
                  <w:r>
                    <w:rPr>
                      <w:rFonts w:hint="eastAsia"/>
                      <w:color w:val="auto"/>
                      <w:lang w:val="en-US" w:eastAsia="zh-CN"/>
                    </w:rPr>
                    <w:t>300</w:t>
                  </w:r>
                </w:p>
              </w:tc>
              <w:tc>
                <w:tcPr>
                  <w:tcW w:w="575" w:type="pct"/>
                  <w:noWrap w:val="0"/>
                  <w:vAlign w:val="center"/>
                </w:tcPr>
                <w:p>
                  <w:pPr>
                    <w:pStyle w:val="111"/>
                    <w:bidi w:val="0"/>
                    <w:rPr>
                      <w:rFonts w:hint="eastAsia"/>
                    </w:rPr>
                  </w:pPr>
                  <w:r>
                    <w:rPr>
                      <w:rFonts w:hint="eastAsia"/>
                      <w:lang w:eastAsia="zh-CN"/>
                    </w:rPr>
                    <w:t>住宅</w:t>
                  </w:r>
                </w:p>
              </w:tc>
              <w:tc>
                <w:tcPr>
                  <w:tcW w:w="607" w:type="pct"/>
                  <w:noWrap w:val="0"/>
                  <w:vAlign w:val="center"/>
                </w:tcPr>
                <w:p>
                  <w:pPr>
                    <w:pStyle w:val="111"/>
                    <w:rPr>
                      <w:rFonts w:hint="eastAsia" w:eastAsia="宋体"/>
                      <w:color w:val="auto"/>
                      <w:lang w:eastAsia="zh-CN"/>
                    </w:rPr>
                  </w:pPr>
                  <w:r>
                    <w:rPr>
                      <w:rFonts w:hint="eastAsia"/>
                      <w:color w:val="auto"/>
                      <w:lang w:eastAsia="zh-CN"/>
                    </w:rPr>
                    <w:t>在建工地</w:t>
                  </w:r>
                </w:p>
              </w:tc>
              <w:tc>
                <w:tcPr>
                  <w:tcW w:w="1129" w:type="pct"/>
                  <w:vMerge w:val="continue"/>
                  <w:noWrap w:val="0"/>
                  <w:vAlign w:val="center"/>
                </w:tcPr>
                <w:p>
                  <w:pPr>
                    <w:pStyle w:val="111"/>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2" w:type="pct"/>
                  <w:vMerge w:val="continue"/>
                  <w:noWrap w:val="0"/>
                  <w:vAlign w:val="center"/>
                </w:tcPr>
                <w:p>
                  <w:pPr>
                    <w:pStyle w:val="111"/>
                    <w:rPr>
                      <w:rFonts w:hint="eastAsia"/>
                      <w:color w:val="auto"/>
                    </w:rPr>
                  </w:pPr>
                </w:p>
              </w:tc>
              <w:tc>
                <w:tcPr>
                  <w:tcW w:w="933" w:type="pct"/>
                  <w:noWrap w:val="0"/>
                  <w:vAlign w:val="center"/>
                </w:tcPr>
                <w:p>
                  <w:pPr>
                    <w:pStyle w:val="176"/>
                    <w:rPr>
                      <w:rFonts w:hint="eastAsia"/>
                      <w:color w:val="auto"/>
                    </w:rPr>
                  </w:pPr>
                  <w:r>
                    <w:rPr>
                      <w:rFonts w:hint="eastAsia"/>
                      <w:color w:val="auto"/>
                      <w:lang w:eastAsia="zh-CN"/>
                    </w:rPr>
                    <w:t>乐山市妇幼保健院</w:t>
                  </w:r>
                </w:p>
              </w:tc>
              <w:tc>
                <w:tcPr>
                  <w:tcW w:w="517" w:type="pct"/>
                  <w:vMerge w:val="continue"/>
                  <w:noWrap w:val="0"/>
                  <w:vAlign w:val="center"/>
                </w:tcPr>
                <w:p>
                  <w:pPr>
                    <w:pStyle w:val="176"/>
                    <w:rPr>
                      <w:rFonts w:hint="eastAsia"/>
                      <w:color w:val="auto"/>
                    </w:rPr>
                  </w:pPr>
                </w:p>
              </w:tc>
              <w:tc>
                <w:tcPr>
                  <w:tcW w:w="654" w:type="pct"/>
                  <w:noWrap w:val="0"/>
                  <w:vAlign w:val="center"/>
                </w:tcPr>
                <w:p>
                  <w:pPr>
                    <w:pStyle w:val="176"/>
                    <w:rPr>
                      <w:color w:val="auto"/>
                    </w:rPr>
                  </w:pPr>
                  <w:r>
                    <w:rPr>
                      <w:rFonts w:hint="eastAsia"/>
                      <w:color w:val="auto"/>
                      <w:lang w:val="en-US" w:eastAsia="zh-CN"/>
                    </w:rPr>
                    <w:t>359</w:t>
                  </w:r>
                </w:p>
              </w:tc>
              <w:tc>
                <w:tcPr>
                  <w:tcW w:w="575" w:type="pct"/>
                  <w:noWrap w:val="0"/>
                  <w:vAlign w:val="center"/>
                </w:tcPr>
                <w:p>
                  <w:pPr>
                    <w:pStyle w:val="111"/>
                    <w:rPr>
                      <w:rFonts w:hint="eastAsia" w:eastAsia="宋体"/>
                      <w:color w:val="auto"/>
                      <w:lang w:eastAsia="zh-CN"/>
                    </w:rPr>
                  </w:pPr>
                  <w:r>
                    <w:rPr>
                      <w:rFonts w:hint="eastAsia"/>
                      <w:color w:val="auto"/>
                      <w:lang w:eastAsia="zh-CN"/>
                    </w:rPr>
                    <w:t>医院</w:t>
                  </w:r>
                </w:p>
              </w:tc>
              <w:tc>
                <w:tcPr>
                  <w:tcW w:w="607" w:type="pct"/>
                  <w:noWrap w:val="0"/>
                  <w:vAlign w:val="center"/>
                </w:tcPr>
                <w:p>
                  <w:pPr>
                    <w:pStyle w:val="111"/>
                    <w:rPr>
                      <w:rFonts w:hint="default" w:eastAsia="宋体"/>
                      <w:color w:val="auto"/>
                      <w:lang w:val="en-US" w:eastAsia="zh-CN"/>
                    </w:rPr>
                  </w:pPr>
                  <w:r>
                    <w:rPr>
                      <w:rFonts w:hint="eastAsia"/>
                      <w:color w:val="auto"/>
                      <w:lang w:val="en-US" w:eastAsia="zh-CN"/>
                    </w:rPr>
                    <w:t>2000人</w:t>
                  </w:r>
                </w:p>
              </w:tc>
              <w:tc>
                <w:tcPr>
                  <w:tcW w:w="1129" w:type="pct"/>
                  <w:vMerge w:val="continue"/>
                  <w:noWrap w:val="0"/>
                  <w:vAlign w:val="center"/>
                </w:tcPr>
                <w:p>
                  <w:pPr>
                    <w:pStyle w:val="111"/>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2" w:type="pct"/>
                  <w:vMerge w:val="continue"/>
                  <w:noWrap w:val="0"/>
                  <w:vAlign w:val="center"/>
                </w:tcPr>
                <w:p>
                  <w:pPr>
                    <w:pStyle w:val="111"/>
                    <w:rPr>
                      <w:rFonts w:hint="eastAsia"/>
                      <w:color w:val="auto"/>
                    </w:rPr>
                  </w:pPr>
                </w:p>
              </w:tc>
              <w:tc>
                <w:tcPr>
                  <w:tcW w:w="933" w:type="pct"/>
                  <w:noWrap w:val="0"/>
                  <w:vAlign w:val="center"/>
                </w:tcPr>
                <w:p>
                  <w:pPr>
                    <w:pStyle w:val="176"/>
                    <w:rPr>
                      <w:rFonts w:hint="eastAsia"/>
                      <w:color w:val="auto"/>
                    </w:rPr>
                  </w:pPr>
                  <w:r>
                    <w:rPr>
                      <w:rFonts w:hint="eastAsia"/>
                      <w:color w:val="auto"/>
                      <w:lang w:eastAsia="zh-CN"/>
                    </w:rPr>
                    <w:t>邦泰国际社区</w:t>
                  </w:r>
                </w:p>
              </w:tc>
              <w:tc>
                <w:tcPr>
                  <w:tcW w:w="517" w:type="pct"/>
                  <w:noWrap w:val="0"/>
                  <w:vAlign w:val="center"/>
                </w:tcPr>
                <w:p>
                  <w:pPr>
                    <w:pStyle w:val="176"/>
                    <w:rPr>
                      <w:rFonts w:hint="eastAsia"/>
                      <w:color w:val="auto"/>
                    </w:rPr>
                  </w:pPr>
                  <w:r>
                    <w:rPr>
                      <w:rFonts w:hint="eastAsia"/>
                      <w:color w:val="auto"/>
                      <w:lang w:eastAsia="zh-CN"/>
                    </w:rPr>
                    <w:t>西</w:t>
                  </w:r>
                  <w:r>
                    <w:rPr>
                      <w:rFonts w:hint="eastAsia"/>
                      <w:color w:val="auto"/>
                      <w:lang w:val="en-US" w:eastAsia="zh-CN"/>
                    </w:rPr>
                    <w:t>~西北侧</w:t>
                  </w:r>
                </w:p>
              </w:tc>
              <w:tc>
                <w:tcPr>
                  <w:tcW w:w="654" w:type="pct"/>
                  <w:noWrap w:val="0"/>
                  <w:vAlign w:val="center"/>
                </w:tcPr>
                <w:p>
                  <w:pPr>
                    <w:pStyle w:val="176"/>
                    <w:rPr>
                      <w:color w:val="auto"/>
                    </w:rPr>
                  </w:pPr>
                  <w:r>
                    <w:rPr>
                      <w:rFonts w:hint="eastAsia"/>
                      <w:color w:val="auto"/>
                      <w:lang w:val="en-US" w:eastAsia="zh-CN"/>
                    </w:rPr>
                    <w:t>500</w:t>
                  </w:r>
                </w:p>
              </w:tc>
              <w:tc>
                <w:tcPr>
                  <w:tcW w:w="575" w:type="pct"/>
                  <w:noWrap w:val="0"/>
                  <w:vAlign w:val="center"/>
                </w:tcPr>
                <w:p>
                  <w:pPr>
                    <w:pStyle w:val="111"/>
                    <w:rPr>
                      <w:rFonts w:hint="eastAsia"/>
                      <w:color w:val="auto"/>
                    </w:rPr>
                  </w:pPr>
                  <w:r>
                    <w:rPr>
                      <w:rFonts w:hint="eastAsia"/>
                      <w:color w:val="auto"/>
                      <w:lang w:eastAsia="zh-CN"/>
                    </w:rPr>
                    <w:t>住宅</w:t>
                  </w:r>
                </w:p>
              </w:tc>
              <w:tc>
                <w:tcPr>
                  <w:tcW w:w="607" w:type="pct"/>
                  <w:noWrap w:val="0"/>
                  <w:vAlign w:val="center"/>
                </w:tcPr>
                <w:p>
                  <w:pPr>
                    <w:pStyle w:val="111"/>
                    <w:rPr>
                      <w:rFonts w:hint="default" w:eastAsia="宋体"/>
                      <w:color w:val="auto"/>
                      <w:lang w:val="en-US" w:eastAsia="zh-CN"/>
                    </w:rPr>
                  </w:pPr>
                  <w:r>
                    <w:rPr>
                      <w:rFonts w:hint="eastAsia"/>
                      <w:color w:val="auto"/>
                      <w:lang w:val="en-US" w:eastAsia="zh-CN"/>
                    </w:rPr>
                    <w:t>23247人</w:t>
                  </w:r>
                </w:p>
              </w:tc>
              <w:tc>
                <w:tcPr>
                  <w:tcW w:w="1129" w:type="pct"/>
                  <w:vMerge w:val="continue"/>
                  <w:noWrap w:val="0"/>
                  <w:vAlign w:val="center"/>
                </w:tcPr>
                <w:p>
                  <w:pPr>
                    <w:pStyle w:val="111"/>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582" w:type="pct"/>
                  <w:vMerge w:val="restart"/>
                  <w:noWrap w:val="0"/>
                  <w:vAlign w:val="center"/>
                </w:tcPr>
                <w:p>
                  <w:pPr>
                    <w:pStyle w:val="111"/>
                    <w:rPr>
                      <w:rFonts w:hint="default" w:eastAsia="宋体"/>
                      <w:color w:val="auto"/>
                      <w:lang w:val="en-US" w:eastAsia="zh-CN"/>
                    </w:rPr>
                  </w:pPr>
                  <w:r>
                    <w:rPr>
                      <w:rFonts w:hint="eastAsia"/>
                      <w:color w:val="auto"/>
                    </w:rPr>
                    <w:t>声环境</w:t>
                  </w:r>
                  <w:r>
                    <w:rPr>
                      <w:rFonts w:hint="eastAsia"/>
                      <w:color w:val="auto"/>
                      <w:lang w:eastAsia="zh-CN"/>
                    </w:rPr>
                    <w:t>（</w:t>
                  </w:r>
                  <w:r>
                    <w:rPr>
                      <w:rFonts w:hint="eastAsia"/>
                      <w:color w:val="auto"/>
                      <w:lang w:val="en-US" w:eastAsia="zh-CN"/>
                    </w:rPr>
                    <w:t>50m范围内）</w:t>
                  </w:r>
                </w:p>
              </w:tc>
              <w:tc>
                <w:tcPr>
                  <w:tcW w:w="933" w:type="pct"/>
                  <w:noWrap w:val="0"/>
                  <w:vAlign w:val="center"/>
                </w:tcPr>
                <w:p>
                  <w:pPr>
                    <w:pStyle w:val="111"/>
                    <w:rPr>
                      <w:rFonts w:hint="eastAsia" w:eastAsia="宋体"/>
                      <w:color w:val="auto"/>
                      <w:lang w:eastAsia="zh-CN"/>
                    </w:rPr>
                  </w:pPr>
                  <w:r>
                    <w:rPr>
                      <w:rFonts w:hint="eastAsia"/>
                      <w:color w:val="auto"/>
                      <w:lang w:eastAsia="zh-CN"/>
                    </w:rPr>
                    <w:t>邦泰国际社区</w:t>
                  </w:r>
                </w:p>
              </w:tc>
              <w:tc>
                <w:tcPr>
                  <w:tcW w:w="517" w:type="pct"/>
                  <w:noWrap w:val="0"/>
                  <w:vAlign w:val="center"/>
                </w:tcPr>
                <w:p>
                  <w:pPr>
                    <w:pStyle w:val="111"/>
                    <w:rPr>
                      <w:rFonts w:hint="eastAsia" w:eastAsia="宋体"/>
                      <w:color w:val="auto"/>
                      <w:lang w:val="en-US" w:eastAsia="zh-CN"/>
                    </w:rPr>
                  </w:pPr>
                  <w:r>
                    <w:rPr>
                      <w:rFonts w:hint="eastAsia"/>
                      <w:color w:val="auto"/>
                      <w:lang w:eastAsia="zh-CN"/>
                    </w:rPr>
                    <w:t>西</w:t>
                  </w:r>
                  <w:r>
                    <w:rPr>
                      <w:rFonts w:hint="eastAsia"/>
                      <w:color w:val="auto"/>
                    </w:rPr>
                    <w:t>侧</w:t>
                  </w:r>
                  <w:r>
                    <w:rPr>
                      <w:rFonts w:hint="eastAsia"/>
                      <w:color w:val="auto"/>
                      <w:lang w:val="en-US" w:eastAsia="zh-CN"/>
                    </w:rPr>
                    <w:t>~西北侧</w:t>
                  </w:r>
                </w:p>
              </w:tc>
              <w:tc>
                <w:tcPr>
                  <w:tcW w:w="654" w:type="pct"/>
                  <w:noWrap w:val="0"/>
                  <w:vAlign w:val="center"/>
                </w:tcPr>
                <w:p>
                  <w:pPr>
                    <w:pStyle w:val="111"/>
                    <w:rPr>
                      <w:rFonts w:hint="eastAsia" w:eastAsia="宋体"/>
                      <w:color w:val="auto"/>
                      <w:lang w:eastAsia="zh-CN"/>
                    </w:rPr>
                  </w:pPr>
                  <w:r>
                    <w:rPr>
                      <w:rFonts w:hint="eastAsia"/>
                      <w:color w:val="auto"/>
                      <w:lang w:eastAsia="zh-CN"/>
                    </w:rPr>
                    <w:t>紧邻</w:t>
                  </w:r>
                </w:p>
              </w:tc>
              <w:tc>
                <w:tcPr>
                  <w:tcW w:w="575" w:type="pct"/>
                  <w:noWrap w:val="0"/>
                  <w:vAlign w:val="center"/>
                </w:tcPr>
                <w:p>
                  <w:pPr>
                    <w:pStyle w:val="111"/>
                    <w:rPr>
                      <w:rFonts w:hint="eastAsia"/>
                      <w:color w:val="auto"/>
                    </w:rPr>
                  </w:pPr>
                  <w:r>
                    <w:rPr>
                      <w:rFonts w:hint="eastAsia"/>
                      <w:color w:val="auto"/>
                    </w:rPr>
                    <w:t>住宅</w:t>
                  </w:r>
                </w:p>
              </w:tc>
              <w:tc>
                <w:tcPr>
                  <w:tcW w:w="607" w:type="pct"/>
                  <w:noWrap w:val="0"/>
                  <w:vAlign w:val="center"/>
                </w:tcPr>
                <w:p>
                  <w:pPr>
                    <w:pStyle w:val="111"/>
                    <w:rPr>
                      <w:color w:val="auto"/>
                    </w:rPr>
                  </w:pPr>
                  <w:r>
                    <w:rPr>
                      <w:rFonts w:hint="eastAsia"/>
                      <w:color w:val="auto"/>
                      <w:lang w:val="en-US" w:eastAsia="zh-CN"/>
                    </w:rPr>
                    <w:t>1000</w:t>
                  </w:r>
                  <w:r>
                    <w:rPr>
                      <w:rFonts w:hint="eastAsia"/>
                      <w:color w:val="auto"/>
                    </w:rPr>
                    <w:t>人</w:t>
                  </w:r>
                </w:p>
              </w:tc>
              <w:tc>
                <w:tcPr>
                  <w:tcW w:w="1129" w:type="pct"/>
                  <w:vMerge w:val="restart"/>
                  <w:noWrap w:val="0"/>
                  <w:vAlign w:val="center"/>
                </w:tcPr>
                <w:p>
                  <w:pPr>
                    <w:pStyle w:val="111"/>
                    <w:rPr>
                      <w:color w:val="auto"/>
                    </w:rPr>
                  </w:pPr>
                  <w:r>
                    <w:rPr>
                      <w:color w:val="auto"/>
                    </w:rPr>
                    <w:t>《声环境质量标准》GB3096-2008中2类功能区标准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582" w:type="pct"/>
                  <w:vMerge w:val="continue"/>
                  <w:noWrap w:val="0"/>
                  <w:vAlign w:val="center"/>
                </w:tcPr>
                <w:p>
                  <w:pPr>
                    <w:pStyle w:val="111"/>
                    <w:rPr>
                      <w:rFonts w:hint="eastAsia"/>
                      <w:color w:val="auto"/>
                    </w:rPr>
                  </w:pPr>
                </w:p>
              </w:tc>
              <w:tc>
                <w:tcPr>
                  <w:tcW w:w="933" w:type="pct"/>
                  <w:noWrap w:val="0"/>
                  <w:vAlign w:val="center"/>
                </w:tcPr>
                <w:p>
                  <w:pPr>
                    <w:pStyle w:val="176"/>
                    <w:rPr>
                      <w:rFonts w:hint="eastAsia"/>
                      <w:color w:val="auto"/>
                      <w:lang w:eastAsia="zh-CN"/>
                    </w:rPr>
                  </w:pPr>
                  <w:r>
                    <w:rPr>
                      <w:rFonts w:hint="eastAsia"/>
                      <w:color w:val="auto"/>
                      <w:lang w:eastAsia="zh-CN"/>
                    </w:rPr>
                    <w:t>乐山市嘉州学校</w:t>
                  </w:r>
                </w:p>
              </w:tc>
              <w:tc>
                <w:tcPr>
                  <w:tcW w:w="517" w:type="pct"/>
                  <w:noWrap w:val="0"/>
                  <w:vAlign w:val="center"/>
                </w:tcPr>
                <w:p>
                  <w:pPr>
                    <w:pStyle w:val="176"/>
                    <w:rPr>
                      <w:rFonts w:hint="eastAsia"/>
                      <w:color w:val="auto"/>
                      <w:lang w:eastAsia="zh-CN"/>
                    </w:rPr>
                  </w:pPr>
                  <w:r>
                    <w:rPr>
                      <w:rFonts w:hint="eastAsia"/>
                      <w:color w:val="auto"/>
                      <w:lang w:eastAsia="zh-CN"/>
                    </w:rPr>
                    <w:t>东侧</w:t>
                  </w:r>
                </w:p>
              </w:tc>
              <w:tc>
                <w:tcPr>
                  <w:tcW w:w="654" w:type="pct"/>
                  <w:noWrap w:val="0"/>
                  <w:vAlign w:val="center"/>
                </w:tcPr>
                <w:p>
                  <w:pPr>
                    <w:pStyle w:val="176"/>
                    <w:rPr>
                      <w:rFonts w:hint="eastAsia"/>
                      <w:color w:val="auto"/>
                      <w:lang w:eastAsia="zh-CN"/>
                    </w:rPr>
                  </w:pPr>
                  <w:r>
                    <w:rPr>
                      <w:rFonts w:hint="eastAsia"/>
                      <w:color w:val="auto"/>
                      <w:lang w:val="en-US" w:eastAsia="zh-CN"/>
                    </w:rPr>
                    <w:t>40</w:t>
                  </w:r>
                </w:p>
              </w:tc>
              <w:tc>
                <w:tcPr>
                  <w:tcW w:w="575" w:type="pct"/>
                  <w:noWrap w:val="0"/>
                  <w:vAlign w:val="center"/>
                </w:tcPr>
                <w:p>
                  <w:pPr>
                    <w:pStyle w:val="111"/>
                    <w:ind w:firstLine="0" w:firstLineChars="0"/>
                    <w:rPr>
                      <w:rFonts w:hint="eastAsia"/>
                      <w:color w:val="auto"/>
                    </w:rPr>
                  </w:pPr>
                  <w:r>
                    <w:rPr>
                      <w:rFonts w:hint="eastAsia"/>
                      <w:color w:val="auto"/>
                      <w:lang w:eastAsia="zh-CN"/>
                    </w:rPr>
                    <w:t>学校</w:t>
                  </w:r>
                </w:p>
              </w:tc>
              <w:tc>
                <w:tcPr>
                  <w:tcW w:w="607" w:type="pct"/>
                  <w:noWrap w:val="0"/>
                  <w:vAlign w:val="center"/>
                </w:tcPr>
                <w:p>
                  <w:pPr>
                    <w:pStyle w:val="111"/>
                    <w:ind w:firstLine="0" w:firstLineChars="0"/>
                    <w:rPr>
                      <w:rFonts w:hint="eastAsia"/>
                      <w:color w:val="auto"/>
                      <w:lang w:val="en-US" w:eastAsia="zh-CN"/>
                    </w:rPr>
                  </w:pPr>
                  <w:r>
                    <w:rPr>
                      <w:rFonts w:hint="eastAsia"/>
                      <w:color w:val="auto"/>
                      <w:lang w:val="en-US" w:eastAsia="zh-CN"/>
                    </w:rPr>
                    <w:t>1000人</w:t>
                  </w:r>
                </w:p>
              </w:tc>
              <w:tc>
                <w:tcPr>
                  <w:tcW w:w="1129" w:type="pct"/>
                  <w:vMerge w:val="continue"/>
                  <w:noWrap w:val="0"/>
                  <w:vAlign w:val="center"/>
                </w:tcPr>
                <w:p>
                  <w:pPr>
                    <w:pStyle w:val="111"/>
                    <w:rPr>
                      <w:color w:val="auto"/>
                    </w:rPr>
                  </w:pPr>
                </w:p>
              </w:tc>
            </w:tr>
          </w:tbl>
          <w:p>
            <w:pPr>
              <w:pStyle w:val="110"/>
              <w:ind w:left="0" w:leftChars="0" w:firstLine="0" w:firstLineChars="0"/>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8" w:type="pct"/>
            <w:noWrap w:val="0"/>
            <w:vAlign w:val="center"/>
          </w:tcPr>
          <w:p>
            <w:pPr>
              <w:pStyle w:val="108"/>
              <w:ind w:firstLine="480"/>
              <w:jc w:val="center"/>
              <w:rPr>
                <w:rFonts w:hint="eastAsia"/>
                <w:color w:val="auto"/>
              </w:rPr>
            </w:pPr>
          </w:p>
          <w:p>
            <w:pPr>
              <w:pStyle w:val="108"/>
              <w:ind w:firstLine="480"/>
              <w:jc w:val="center"/>
              <w:rPr>
                <w:rFonts w:hint="eastAsia"/>
                <w:color w:val="auto"/>
              </w:rPr>
            </w:pPr>
          </w:p>
          <w:p>
            <w:pPr>
              <w:pStyle w:val="108"/>
              <w:ind w:firstLine="480"/>
              <w:jc w:val="center"/>
              <w:rPr>
                <w:rFonts w:hint="eastAsia"/>
                <w:color w:val="auto"/>
              </w:rPr>
            </w:pPr>
          </w:p>
          <w:p>
            <w:pPr>
              <w:pStyle w:val="108"/>
              <w:ind w:firstLine="480"/>
              <w:jc w:val="center"/>
              <w:rPr>
                <w:rFonts w:hint="eastAsia"/>
                <w:color w:val="auto"/>
              </w:rPr>
            </w:pPr>
          </w:p>
          <w:p>
            <w:pPr>
              <w:pStyle w:val="108"/>
              <w:ind w:firstLine="480"/>
              <w:jc w:val="center"/>
              <w:rPr>
                <w:rFonts w:hint="eastAsia"/>
                <w:color w:val="auto"/>
              </w:rPr>
            </w:pPr>
          </w:p>
          <w:p>
            <w:pPr>
              <w:pStyle w:val="108"/>
              <w:ind w:firstLine="480"/>
              <w:jc w:val="center"/>
              <w:rPr>
                <w:rFonts w:hint="eastAsia"/>
                <w:color w:val="auto"/>
              </w:rPr>
            </w:pPr>
          </w:p>
          <w:p>
            <w:pPr>
              <w:pStyle w:val="108"/>
              <w:ind w:firstLine="480"/>
              <w:jc w:val="center"/>
              <w:rPr>
                <w:rFonts w:hint="eastAsia"/>
                <w:color w:val="auto"/>
              </w:rPr>
            </w:pPr>
          </w:p>
          <w:p>
            <w:pPr>
              <w:pStyle w:val="108"/>
              <w:ind w:firstLine="0" w:firstLineChars="0"/>
              <w:jc w:val="center"/>
              <w:rPr>
                <w:rFonts w:hint="eastAsia"/>
                <w:color w:val="auto"/>
              </w:rPr>
            </w:pPr>
            <w:r>
              <w:rPr>
                <w:rFonts w:hint="eastAsia"/>
                <w:color w:val="auto"/>
              </w:rPr>
              <w:t>染物排放控制标准</w:t>
            </w:r>
          </w:p>
        </w:tc>
        <w:tc>
          <w:tcPr>
            <w:tcW w:w="4651" w:type="pct"/>
            <w:noWrap w:val="0"/>
            <w:vAlign w:val="center"/>
          </w:tcPr>
          <w:p>
            <w:pPr>
              <w:pStyle w:val="5"/>
              <w:spacing w:after="120"/>
              <w:rPr>
                <w:color w:val="auto"/>
              </w:rPr>
            </w:pPr>
            <w:r>
              <w:rPr>
                <w:rFonts w:hint="eastAsia"/>
                <w:color w:val="auto"/>
                <w:lang w:val="en-US" w:eastAsia="zh-CN"/>
              </w:rPr>
              <w:t>1</w:t>
            </w:r>
            <w:r>
              <w:rPr>
                <w:color w:val="auto"/>
              </w:rPr>
              <w:t>、废气</w:t>
            </w:r>
          </w:p>
          <w:p>
            <w:pPr>
              <w:pStyle w:val="108"/>
              <w:ind w:firstLine="480"/>
              <w:rPr>
                <w:rFonts w:hint="eastAsia" w:cs="宋体"/>
                <w:color w:val="auto"/>
              </w:rPr>
            </w:pPr>
            <w:r>
              <w:rPr>
                <w:rFonts w:hint="eastAsia"/>
                <w:color w:val="auto"/>
              </w:rPr>
              <w:t>项目不设食堂，无饮食油烟污染；运营期废气《恶臭污染物排放标准》（GB14554-1993）表1标准限值准</w:t>
            </w:r>
            <w:r>
              <w:rPr>
                <w:rFonts w:hint="eastAsia" w:cs="宋体"/>
                <w:color w:val="auto"/>
                <w:lang w:val="zh-CN"/>
              </w:rPr>
              <w:t>。标准值见表 3-</w:t>
            </w:r>
            <w:r>
              <w:rPr>
                <w:rFonts w:hint="eastAsia" w:cs="宋体"/>
                <w:color w:val="auto"/>
              </w:rPr>
              <w:t>4</w:t>
            </w:r>
            <w:r>
              <w:rPr>
                <w:rFonts w:hint="eastAsia" w:cs="宋体"/>
                <w:color w:val="auto"/>
                <w:lang w:val="zh-CN"/>
              </w:rPr>
              <w:t>。</w:t>
            </w:r>
          </w:p>
          <w:p>
            <w:pPr>
              <w:pStyle w:val="123"/>
              <w:rPr>
                <w:rFonts w:hint="eastAsia"/>
                <w:color w:val="auto"/>
              </w:rPr>
            </w:pPr>
            <w:r>
              <w:rPr>
                <w:rFonts w:hint="eastAsia"/>
                <w:color w:val="auto"/>
              </w:rPr>
              <w:t xml:space="preserve">表3-4 </w:t>
            </w:r>
            <w:r>
              <w:rPr>
                <w:rFonts w:hint="eastAsia"/>
                <w:color w:val="auto"/>
                <w:lang w:eastAsia="zh-CN"/>
              </w:rPr>
              <w:t>恶臭污染物厂界标准值</w:t>
            </w:r>
            <w:r>
              <w:rPr>
                <w:rFonts w:hint="eastAsia"/>
                <w:color w:val="auto"/>
              </w:rPr>
              <w:t xml:space="preserve">  单位：mg/m</w:t>
            </w:r>
            <w:r>
              <w:rPr>
                <w:rFonts w:hint="eastAsia"/>
                <w:color w:val="auto"/>
                <w:vertAlign w:val="superscript"/>
              </w:rPr>
              <w:t>3</w:t>
            </w:r>
            <w:r>
              <w:rPr>
                <w:rFonts w:hint="eastAsia"/>
                <w:color w:val="auto"/>
              </w:rPr>
              <w:t xml:space="preserve"> </w:t>
            </w:r>
          </w:p>
          <w:tbl>
            <w:tblPr>
              <w:tblStyle w:val="39"/>
              <w:tblW w:w="4998"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30"/>
              <w:gridCol w:w="2626"/>
              <w:gridCol w:w="2111"/>
              <w:gridCol w:w="2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trPr>
              <w:tc>
                <w:tcPr>
                  <w:tcW w:w="728" w:type="pct"/>
                  <w:noWrap w:val="0"/>
                  <w:vAlign w:val="center"/>
                </w:tcPr>
                <w:p>
                  <w:pPr>
                    <w:pStyle w:val="75"/>
                    <w:jc w:val="center"/>
                    <w:rPr>
                      <w:rFonts w:hint="eastAsia"/>
                      <w:color w:val="auto"/>
                    </w:rPr>
                  </w:pPr>
                  <w:r>
                    <w:rPr>
                      <w:rFonts w:hint="eastAsia"/>
                      <w:color w:val="auto"/>
                    </w:rPr>
                    <w:t>序号</w:t>
                  </w:r>
                </w:p>
              </w:tc>
              <w:tc>
                <w:tcPr>
                  <w:tcW w:w="1555" w:type="pct"/>
                  <w:noWrap w:val="0"/>
                  <w:vAlign w:val="center"/>
                </w:tcPr>
                <w:p>
                  <w:pPr>
                    <w:pStyle w:val="75"/>
                    <w:jc w:val="center"/>
                    <w:rPr>
                      <w:rFonts w:hint="eastAsia"/>
                      <w:color w:val="auto"/>
                    </w:rPr>
                  </w:pPr>
                  <w:r>
                    <w:rPr>
                      <w:rFonts w:hint="eastAsia"/>
                      <w:color w:val="auto"/>
                    </w:rPr>
                    <w:t>控制项目</w:t>
                  </w:r>
                </w:p>
              </w:tc>
              <w:tc>
                <w:tcPr>
                  <w:tcW w:w="1250" w:type="pct"/>
                  <w:noWrap w:val="0"/>
                  <w:vAlign w:val="center"/>
                </w:tcPr>
                <w:p>
                  <w:pPr>
                    <w:pStyle w:val="75"/>
                    <w:jc w:val="center"/>
                    <w:rPr>
                      <w:rFonts w:hint="eastAsia"/>
                      <w:color w:val="auto"/>
                    </w:rPr>
                  </w:pPr>
                  <w:r>
                    <w:rPr>
                      <w:rFonts w:hint="eastAsia"/>
                      <w:color w:val="auto"/>
                    </w:rPr>
                    <w:t>标准值</w:t>
                  </w:r>
                </w:p>
              </w:tc>
              <w:tc>
                <w:tcPr>
                  <w:tcW w:w="1466" w:type="pct"/>
                  <w:noWrap w:val="0"/>
                  <w:vAlign w:val="center"/>
                </w:tcPr>
                <w:p>
                  <w:pPr>
                    <w:pStyle w:val="75"/>
                    <w:jc w:val="center"/>
                    <w:rPr>
                      <w:rFonts w:hint="eastAsia"/>
                      <w:color w:val="auto"/>
                    </w:rPr>
                  </w:pPr>
                  <w:r>
                    <w:rPr>
                      <w:rFonts w:hint="eastAsia"/>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28" w:type="pct"/>
                  <w:noWrap w:val="0"/>
                  <w:vAlign w:val="center"/>
                </w:tcPr>
                <w:p>
                  <w:pPr>
                    <w:pStyle w:val="75"/>
                    <w:jc w:val="center"/>
                    <w:rPr>
                      <w:rFonts w:hint="eastAsia"/>
                      <w:color w:val="auto"/>
                    </w:rPr>
                  </w:pPr>
                  <w:r>
                    <w:rPr>
                      <w:rFonts w:hint="eastAsia"/>
                      <w:color w:val="auto"/>
                    </w:rPr>
                    <w:t>1</w:t>
                  </w:r>
                </w:p>
              </w:tc>
              <w:tc>
                <w:tcPr>
                  <w:tcW w:w="1555" w:type="pct"/>
                  <w:noWrap w:val="0"/>
                  <w:vAlign w:val="center"/>
                </w:tcPr>
                <w:p>
                  <w:pPr>
                    <w:pStyle w:val="75"/>
                    <w:jc w:val="center"/>
                    <w:rPr>
                      <w:rFonts w:hint="eastAsia"/>
                      <w:color w:val="auto"/>
                    </w:rPr>
                  </w:pPr>
                  <w:r>
                    <w:rPr>
                      <w:rFonts w:hint="eastAsia"/>
                      <w:color w:val="auto"/>
                    </w:rPr>
                    <w:t>氨</w:t>
                  </w:r>
                </w:p>
              </w:tc>
              <w:tc>
                <w:tcPr>
                  <w:tcW w:w="1250" w:type="pct"/>
                  <w:noWrap w:val="0"/>
                  <w:vAlign w:val="center"/>
                </w:tcPr>
                <w:p>
                  <w:pPr>
                    <w:pStyle w:val="75"/>
                    <w:jc w:val="center"/>
                    <w:rPr>
                      <w:color w:val="auto"/>
                    </w:rPr>
                  </w:pPr>
                  <w:r>
                    <w:rPr>
                      <w:rFonts w:hint="eastAsia"/>
                      <w:color w:val="auto"/>
                    </w:rPr>
                    <w:t>1.5</w:t>
                  </w:r>
                </w:p>
              </w:tc>
              <w:tc>
                <w:tcPr>
                  <w:tcW w:w="1466" w:type="pct"/>
                  <w:vMerge w:val="restart"/>
                  <w:noWrap w:val="0"/>
                  <w:vAlign w:val="center"/>
                </w:tcPr>
                <w:p>
                  <w:pPr>
                    <w:pStyle w:val="75"/>
                    <w:jc w:val="center"/>
                    <w:rPr>
                      <w:rFonts w:hint="eastAsia" w:eastAsia="宋体"/>
                      <w:color w:val="auto"/>
                      <w:lang w:eastAsia="zh-CN"/>
                    </w:rPr>
                  </w:pPr>
                  <w:r>
                    <w:rPr>
                      <w:rFonts w:hint="eastAsia"/>
                      <w:color w:val="auto"/>
                    </w:rPr>
                    <w:t>《恶臭污染物排放标准》（GB14554-1993）表1</w:t>
                  </w:r>
                  <w:r>
                    <w:rPr>
                      <w:rFonts w:hint="eastAsia"/>
                      <w:color w:val="auto"/>
                      <w:lang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28" w:type="pct"/>
                  <w:noWrap w:val="0"/>
                  <w:vAlign w:val="center"/>
                </w:tcPr>
                <w:p>
                  <w:pPr>
                    <w:pStyle w:val="75"/>
                    <w:jc w:val="center"/>
                    <w:rPr>
                      <w:rFonts w:hint="eastAsia"/>
                      <w:color w:val="auto"/>
                    </w:rPr>
                  </w:pPr>
                  <w:r>
                    <w:rPr>
                      <w:rFonts w:hint="eastAsia"/>
                      <w:color w:val="auto"/>
                    </w:rPr>
                    <w:t>2</w:t>
                  </w:r>
                </w:p>
              </w:tc>
              <w:tc>
                <w:tcPr>
                  <w:tcW w:w="1555" w:type="pct"/>
                  <w:noWrap w:val="0"/>
                  <w:vAlign w:val="center"/>
                </w:tcPr>
                <w:p>
                  <w:pPr>
                    <w:pStyle w:val="75"/>
                    <w:jc w:val="center"/>
                    <w:rPr>
                      <w:rFonts w:hint="eastAsia"/>
                      <w:color w:val="auto"/>
                    </w:rPr>
                  </w:pPr>
                  <w:r>
                    <w:rPr>
                      <w:rFonts w:hint="eastAsia"/>
                      <w:color w:val="auto"/>
                    </w:rPr>
                    <w:t>硫化氢</w:t>
                  </w:r>
                </w:p>
              </w:tc>
              <w:tc>
                <w:tcPr>
                  <w:tcW w:w="1250" w:type="pct"/>
                  <w:noWrap w:val="0"/>
                  <w:vAlign w:val="center"/>
                </w:tcPr>
                <w:p>
                  <w:pPr>
                    <w:pStyle w:val="75"/>
                    <w:jc w:val="center"/>
                    <w:rPr>
                      <w:rFonts w:hint="eastAsia"/>
                      <w:color w:val="auto"/>
                    </w:rPr>
                  </w:pPr>
                  <w:r>
                    <w:rPr>
                      <w:rFonts w:hint="eastAsia"/>
                      <w:color w:val="auto"/>
                    </w:rPr>
                    <w:t>0.06</w:t>
                  </w:r>
                </w:p>
              </w:tc>
              <w:tc>
                <w:tcPr>
                  <w:tcW w:w="1466" w:type="pct"/>
                  <w:vMerge w:val="continue"/>
                  <w:noWrap w:val="0"/>
                  <w:vAlign w:val="center"/>
                </w:tcPr>
                <w:p>
                  <w:pPr>
                    <w:pStyle w:val="75"/>
                    <w:jc w:val="cente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28" w:type="pct"/>
                  <w:noWrap w:val="0"/>
                  <w:vAlign w:val="center"/>
                </w:tcPr>
                <w:p>
                  <w:pPr>
                    <w:pStyle w:val="75"/>
                    <w:jc w:val="center"/>
                    <w:rPr>
                      <w:rFonts w:hint="eastAsia"/>
                      <w:color w:val="auto"/>
                    </w:rPr>
                  </w:pPr>
                  <w:r>
                    <w:rPr>
                      <w:rFonts w:hint="eastAsia"/>
                      <w:color w:val="auto"/>
                    </w:rPr>
                    <w:t>3</w:t>
                  </w:r>
                </w:p>
              </w:tc>
              <w:tc>
                <w:tcPr>
                  <w:tcW w:w="1555" w:type="pct"/>
                  <w:noWrap w:val="0"/>
                  <w:vAlign w:val="center"/>
                </w:tcPr>
                <w:p>
                  <w:pPr>
                    <w:pStyle w:val="75"/>
                    <w:jc w:val="center"/>
                    <w:rPr>
                      <w:rFonts w:hint="eastAsia"/>
                      <w:color w:val="auto"/>
                    </w:rPr>
                  </w:pPr>
                  <w:r>
                    <w:rPr>
                      <w:rFonts w:hint="eastAsia"/>
                      <w:color w:val="auto"/>
                    </w:rPr>
                    <w:t>臭气浓度</w:t>
                  </w:r>
                </w:p>
              </w:tc>
              <w:tc>
                <w:tcPr>
                  <w:tcW w:w="1250" w:type="pct"/>
                  <w:noWrap w:val="0"/>
                  <w:vAlign w:val="center"/>
                </w:tcPr>
                <w:p>
                  <w:pPr>
                    <w:pStyle w:val="75"/>
                    <w:jc w:val="center"/>
                    <w:rPr>
                      <w:rFonts w:hint="default" w:eastAsia="宋体"/>
                      <w:color w:val="auto"/>
                      <w:lang w:val="en-US" w:eastAsia="zh-CN"/>
                    </w:rPr>
                  </w:pPr>
                  <w:r>
                    <w:rPr>
                      <w:rFonts w:hint="eastAsia"/>
                      <w:color w:val="auto"/>
                      <w:lang w:val="en-US" w:eastAsia="zh-CN"/>
                    </w:rPr>
                    <w:t>20（无量纲）</w:t>
                  </w:r>
                </w:p>
              </w:tc>
              <w:tc>
                <w:tcPr>
                  <w:tcW w:w="1466" w:type="pct"/>
                  <w:vMerge w:val="continue"/>
                  <w:noWrap w:val="0"/>
                  <w:vAlign w:val="center"/>
                </w:tcPr>
                <w:p>
                  <w:pPr>
                    <w:pStyle w:val="75"/>
                    <w:jc w:val="center"/>
                    <w:rPr>
                      <w:rFonts w:hint="eastAsia"/>
                      <w:color w:val="auto"/>
                    </w:rPr>
                  </w:pPr>
                </w:p>
              </w:tc>
            </w:tr>
          </w:tbl>
          <w:p>
            <w:pPr>
              <w:pStyle w:val="5"/>
              <w:spacing w:after="120"/>
              <w:rPr>
                <w:color w:val="auto"/>
              </w:rPr>
            </w:pPr>
            <w:r>
              <w:rPr>
                <w:rFonts w:hint="eastAsia"/>
                <w:color w:val="auto"/>
                <w:lang w:val="en-US" w:eastAsia="zh-CN"/>
              </w:rPr>
              <w:t>2</w:t>
            </w:r>
            <w:r>
              <w:rPr>
                <w:color w:val="auto"/>
              </w:rPr>
              <w:t>、废水</w:t>
            </w:r>
          </w:p>
          <w:p>
            <w:pPr>
              <w:pStyle w:val="108"/>
              <w:ind w:firstLine="480"/>
              <w:rPr>
                <w:color w:val="auto"/>
              </w:rPr>
            </w:pPr>
            <w:r>
              <w:rPr>
                <w:rFonts w:hint="eastAsia"/>
                <w:color w:val="auto"/>
              </w:rPr>
              <w:t>废水排口预处理池执行《污水综合排放标准》（GB8978-1996）中三级标准。具体数值详见下表。标准值见表 3-5；</w:t>
            </w:r>
          </w:p>
          <w:p>
            <w:pPr>
              <w:pStyle w:val="123"/>
              <w:rPr>
                <w:color w:val="auto"/>
              </w:rPr>
            </w:pPr>
            <w:r>
              <w:rPr>
                <w:rFonts w:hint="eastAsia"/>
                <w:color w:val="auto"/>
              </w:rPr>
              <w:t>表3-</w:t>
            </w:r>
            <w:r>
              <w:rPr>
                <w:rFonts w:hint="eastAsia"/>
                <w:color w:val="auto"/>
                <w:lang w:val="en-US" w:eastAsia="zh-CN"/>
              </w:rPr>
              <w:t>5</w:t>
            </w:r>
            <w:r>
              <w:rPr>
                <w:rFonts w:hint="eastAsia"/>
                <w:color w:val="auto"/>
              </w:rPr>
              <w:t xml:space="preserve">  污水综合排放标准（GB8978-1996） 单位：mg/L</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3"/>
              <w:gridCol w:w="1824"/>
              <w:gridCol w:w="1482"/>
              <w:gridCol w:w="3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pct"/>
                  <w:noWrap w:val="0"/>
                  <w:vAlign w:val="center"/>
                </w:tcPr>
                <w:p>
                  <w:pPr>
                    <w:pStyle w:val="111"/>
                    <w:rPr>
                      <w:b/>
                      <w:bCs/>
                      <w:color w:val="auto"/>
                    </w:rPr>
                  </w:pPr>
                  <w:r>
                    <w:rPr>
                      <w:b/>
                      <w:bCs/>
                      <w:color w:val="auto"/>
                    </w:rPr>
                    <w:t>项目</w:t>
                  </w:r>
                </w:p>
              </w:tc>
              <w:tc>
                <w:tcPr>
                  <w:tcW w:w="1152" w:type="pct"/>
                  <w:noWrap w:val="0"/>
                  <w:vAlign w:val="center"/>
                </w:tcPr>
                <w:p>
                  <w:pPr>
                    <w:pStyle w:val="111"/>
                    <w:rPr>
                      <w:b/>
                      <w:bCs/>
                      <w:color w:val="auto"/>
                    </w:rPr>
                  </w:pPr>
                  <w:r>
                    <w:rPr>
                      <w:b/>
                      <w:bCs/>
                      <w:color w:val="auto"/>
                    </w:rPr>
                    <w:t>单位</w:t>
                  </w:r>
                </w:p>
              </w:tc>
              <w:tc>
                <w:tcPr>
                  <w:tcW w:w="950" w:type="pct"/>
                  <w:noWrap w:val="0"/>
                  <w:vAlign w:val="center"/>
                </w:tcPr>
                <w:p>
                  <w:pPr>
                    <w:pStyle w:val="111"/>
                    <w:rPr>
                      <w:b/>
                      <w:bCs/>
                      <w:color w:val="auto"/>
                    </w:rPr>
                  </w:pPr>
                  <w:r>
                    <w:rPr>
                      <w:b/>
                      <w:bCs/>
                      <w:color w:val="auto"/>
                    </w:rPr>
                    <w:t>标准限值</w:t>
                  </w:r>
                </w:p>
              </w:tc>
              <w:tc>
                <w:tcPr>
                  <w:tcW w:w="1685" w:type="pct"/>
                  <w:noWrap w:val="0"/>
                  <w:vAlign w:val="center"/>
                </w:tcPr>
                <w:p>
                  <w:pPr>
                    <w:pStyle w:val="111"/>
                    <w:rPr>
                      <w:b/>
                      <w:bCs/>
                      <w:color w:val="auto"/>
                    </w:rPr>
                  </w:pPr>
                  <w:r>
                    <w:rPr>
                      <w:b/>
                      <w:bCs/>
                      <w:color w:val="auto"/>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pct"/>
                  <w:noWrap w:val="0"/>
                  <w:vAlign w:val="center"/>
                </w:tcPr>
                <w:p>
                  <w:pPr>
                    <w:pStyle w:val="111"/>
                    <w:rPr>
                      <w:color w:val="auto"/>
                    </w:rPr>
                  </w:pPr>
                  <w:r>
                    <w:rPr>
                      <w:color w:val="auto"/>
                    </w:rPr>
                    <w:t>pH</w:t>
                  </w:r>
                </w:p>
              </w:tc>
              <w:tc>
                <w:tcPr>
                  <w:tcW w:w="1152" w:type="pct"/>
                  <w:noWrap w:val="0"/>
                  <w:vAlign w:val="center"/>
                </w:tcPr>
                <w:p>
                  <w:pPr>
                    <w:pStyle w:val="111"/>
                    <w:rPr>
                      <w:color w:val="auto"/>
                    </w:rPr>
                  </w:pPr>
                  <w:r>
                    <w:rPr>
                      <w:color w:val="auto"/>
                    </w:rPr>
                    <w:t>无量纲</w:t>
                  </w:r>
                </w:p>
              </w:tc>
              <w:tc>
                <w:tcPr>
                  <w:tcW w:w="950" w:type="pct"/>
                  <w:noWrap w:val="0"/>
                  <w:vAlign w:val="center"/>
                </w:tcPr>
                <w:p>
                  <w:pPr>
                    <w:pStyle w:val="111"/>
                    <w:rPr>
                      <w:color w:val="auto"/>
                    </w:rPr>
                  </w:pPr>
                  <w:r>
                    <w:rPr>
                      <w:color w:val="auto"/>
                    </w:rPr>
                    <w:t>6~9</w:t>
                  </w:r>
                </w:p>
              </w:tc>
              <w:tc>
                <w:tcPr>
                  <w:tcW w:w="1685" w:type="pct"/>
                  <w:vMerge w:val="restart"/>
                  <w:noWrap w:val="0"/>
                  <w:vAlign w:val="center"/>
                </w:tcPr>
                <w:p>
                  <w:pPr>
                    <w:pStyle w:val="111"/>
                    <w:rPr>
                      <w:color w:val="auto"/>
                    </w:rPr>
                  </w:pPr>
                  <w:r>
                    <w:rPr>
                      <w:color w:val="auto"/>
                    </w:rPr>
                    <w:t>《</w:t>
                  </w:r>
                  <w:r>
                    <w:rPr>
                      <w:rFonts w:hint="eastAsia"/>
                      <w:color w:val="auto"/>
                    </w:rPr>
                    <w:t>污水综合排放标准</w:t>
                  </w:r>
                  <w:r>
                    <w:rPr>
                      <w:color w:val="auto"/>
                    </w:rPr>
                    <w:t>》（GB</w:t>
                  </w:r>
                  <w:r>
                    <w:rPr>
                      <w:rFonts w:hint="eastAsia"/>
                      <w:color w:val="auto"/>
                    </w:rPr>
                    <w:t>8978-1996</w:t>
                  </w:r>
                  <w:r>
                    <w:rPr>
                      <w:color w:val="auto"/>
                    </w:rPr>
                    <w:t>）中表</w:t>
                  </w:r>
                  <w:r>
                    <w:rPr>
                      <w:rFonts w:hint="eastAsia"/>
                      <w:color w:val="auto"/>
                    </w:rPr>
                    <w:t>4</w:t>
                  </w:r>
                  <w:r>
                    <w:rPr>
                      <w:color w:val="auto"/>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pct"/>
                  <w:noWrap w:val="0"/>
                  <w:vAlign w:val="center"/>
                </w:tcPr>
                <w:p>
                  <w:pPr>
                    <w:pStyle w:val="111"/>
                    <w:rPr>
                      <w:color w:val="auto"/>
                    </w:rPr>
                  </w:pPr>
                  <w:r>
                    <w:rPr>
                      <w:color w:val="auto"/>
                    </w:rPr>
                    <w:t>COD</w:t>
                  </w:r>
                </w:p>
              </w:tc>
              <w:tc>
                <w:tcPr>
                  <w:tcW w:w="1152" w:type="pct"/>
                  <w:noWrap w:val="0"/>
                  <w:vAlign w:val="center"/>
                </w:tcPr>
                <w:p>
                  <w:pPr>
                    <w:pStyle w:val="111"/>
                    <w:rPr>
                      <w:color w:val="auto"/>
                    </w:rPr>
                  </w:pPr>
                  <w:r>
                    <w:rPr>
                      <w:color w:val="auto"/>
                    </w:rPr>
                    <w:t>mg/L</w:t>
                  </w:r>
                </w:p>
              </w:tc>
              <w:tc>
                <w:tcPr>
                  <w:tcW w:w="950" w:type="pct"/>
                  <w:noWrap w:val="0"/>
                  <w:vAlign w:val="center"/>
                </w:tcPr>
                <w:p>
                  <w:pPr>
                    <w:pStyle w:val="111"/>
                    <w:rPr>
                      <w:color w:val="auto"/>
                    </w:rPr>
                  </w:pPr>
                  <w:r>
                    <w:rPr>
                      <w:rFonts w:hint="eastAsia"/>
                      <w:color w:val="auto"/>
                    </w:rPr>
                    <w:t>500</w:t>
                  </w:r>
                </w:p>
              </w:tc>
              <w:tc>
                <w:tcPr>
                  <w:tcW w:w="1685" w:type="pct"/>
                  <w:vMerge w:val="continue"/>
                  <w:noWrap w:val="0"/>
                  <w:vAlign w:val="center"/>
                </w:tcPr>
                <w:p>
                  <w:pPr>
                    <w:pStyle w:val="111"/>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pct"/>
                  <w:noWrap w:val="0"/>
                  <w:vAlign w:val="center"/>
                </w:tcPr>
                <w:p>
                  <w:pPr>
                    <w:pStyle w:val="111"/>
                    <w:rPr>
                      <w:color w:val="auto"/>
                    </w:rPr>
                  </w:pPr>
                  <w:r>
                    <w:rPr>
                      <w:color w:val="auto"/>
                    </w:rPr>
                    <w:t>BOD</w:t>
                  </w:r>
                  <w:r>
                    <w:rPr>
                      <w:color w:val="auto"/>
                      <w:vertAlign w:val="subscript"/>
                    </w:rPr>
                    <w:t>5</w:t>
                  </w:r>
                </w:p>
              </w:tc>
              <w:tc>
                <w:tcPr>
                  <w:tcW w:w="1152" w:type="pct"/>
                  <w:noWrap w:val="0"/>
                  <w:vAlign w:val="center"/>
                </w:tcPr>
                <w:p>
                  <w:pPr>
                    <w:pStyle w:val="111"/>
                    <w:rPr>
                      <w:color w:val="auto"/>
                    </w:rPr>
                  </w:pPr>
                  <w:r>
                    <w:rPr>
                      <w:color w:val="auto"/>
                    </w:rPr>
                    <w:t>mg/L</w:t>
                  </w:r>
                </w:p>
              </w:tc>
              <w:tc>
                <w:tcPr>
                  <w:tcW w:w="950" w:type="pct"/>
                  <w:noWrap w:val="0"/>
                  <w:vAlign w:val="center"/>
                </w:tcPr>
                <w:p>
                  <w:pPr>
                    <w:pStyle w:val="111"/>
                    <w:rPr>
                      <w:color w:val="auto"/>
                    </w:rPr>
                  </w:pPr>
                  <w:r>
                    <w:rPr>
                      <w:rFonts w:hint="eastAsia"/>
                      <w:color w:val="auto"/>
                    </w:rPr>
                    <w:t>3</w:t>
                  </w:r>
                  <w:r>
                    <w:rPr>
                      <w:color w:val="auto"/>
                    </w:rPr>
                    <w:t>00</w:t>
                  </w:r>
                </w:p>
              </w:tc>
              <w:tc>
                <w:tcPr>
                  <w:tcW w:w="1685" w:type="pct"/>
                  <w:vMerge w:val="continue"/>
                  <w:noWrap w:val="0"/>
                  <w:vAlign w:val="center"/>
                </w:tcPr>
                <w:p>
                  <w:pPr>
                    <w:pStyle w:val="111"/>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pct"/>
                  <w:noWrap w:val="0"/>
                  <w:vAlign w:val="center"/>
                </w:tcPr>
                <w:p>
                  <w:pPr>
                    <w:pStyle w:val="111"/>
                    <w:rPr>
                      <w:color w:val="auto"/>
                    </w:rPr>
                  </w:pPr>
                  <w:r>
                    <w:rPr>
                      <w:color w:val="auto"/>
                    </w:rPr>
                    <w:t>SS</w:t>
                  </w:r>
                </w:p>
              </w:tc>
              <w:tc>
                <w:tcPr>
                  <w:tcW w:w="1152" w:type="pct"/>
                  <w:noWrap w:val="0"/>
                  <w:vAlign w:val="center"/>
                </w:tcPr>
                <w:p>
                  <w:pPr>
                    <w:pStyle w:val="111"/>
                    <w:rPr>
                      <w:color w:val="auto"/>
                    </w:rPr>
                  </w:pPr>
                  <w:r>
                    <w:rPr>
                      <w:color w:val="auto"/>
                    </w:rPr>
                    <w:t>mg/L</w:t>
                  </w:r>
                </w:p>
              </w:tc>
              <w:tc>
                <w:tcPr>
                  <w:tcW w:w="950" w:type="pct"/>
                  <w:noWrap w:val="0"/>
                  <w:vAlign w:val="center"/>
                </w:tcPr>
                <w:p>
                  <w:pPr>
                    <w:pStyle w:val="111"/>
                    <w:rPr>
                      <w:color w:val="auto"/>
                    </w:rPr>
                  </w:pPr>
                  <w:r>
                    <w:rPr>
                      <w:rFonts w:hint="eastAsia"/>
                      <w:color w:val="auto"/>
                    </w:rPr>
                    <w:t>400</w:t>
                  </w:r>
                </w:p>
              </w:tc>
              <w:tc>
                <w:tcPr>
                  <w:tcW w:w="1685" w:type="pct"/>
                  <w:vMerge w:val="continue"/>
                  <w:noWrap w:val="0"/>
                  <w:vAlign w:val="center"/>
                </w:tcPr>
                <w:p>
                  <w:pPr>
                    <w:pStyle w:val="111"/>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pct"/>
                  <w:noWrap w:val="0"/>
                  <w:vAlign w:val="center"/>
                </w:tcPr>
                <w:p>
                  <w:pPr>
                    <w:pStyle w:val="111"/>
                    <w:rPr>
                      <w:color w:val="auto"/>
                    </w:rPr>
                  </w:pPr>
                  <w:r>
                    <w:rPr>
                      <w:color w:val="auto"/>
                    </w:rPr>
                    <w:t>NH</w:t>
                  </w:r>
                  <w:r>
                    <w:rPr>
                      <w:color w:val="auto"/>
                      <w:vertAlign w:val="subscript"/>
                    </w:rPr>
                    <w:t>3</w:t>
                  </w:r>
                  <w:r>
                    <w:rPr>
                      <w:color w:val="auto"/>
                    </w:rPr>
                    <w:t>-N</w:t>
                  </w:r>
                </w:p>
              </w:tc>
              <w:tc>
                <w:tcPr>
                  <w:tcW w:w="1152" w:type="pct"/>
                  <w:noWrap w:val="0"/>
                  <w:vAlign w:val="center"/>
                </w:tcPr>
                <w:p>
                  <w:pPr>
                    <w:pStyle w:val="111"/>
                    <w:rPr>
                      <w:color w:val="auto"/>
                    </w:rPr>
                  </w:pPr>
                  <w:r>
                    <w:rPr>
                      <w:color w:val="auto"/>
                    </w:rPr>
                    <w:t>mg/L</w:t>
                  </w:r>
                </w:p>
              </w:tc>
              <w:tc>
                <w:tcPr>
                  <w:tcW w:w="950" w:type="pct"/>
                  <w:noWrap w:val="0"/>
                  <w:vAlign w:val="center"/>
                </w:tcPr>
                <w:p>
                  <w:pPr>
                    <w:pStyle w:val="111"/>
                    <w:rPr>
                      <w:color w:val="auto"/>
                    </w:rPr>
                  </w:pPr>
                  <w:r>
                    <w:rPr>
                      <w:rFonts w:hint="eastAsia"/>
                      <w:color w:val="auto"/>
                    </w:rPr>
                    <w:t>45</w:t>
                  </w:r>
                </w:p>
              </w:tc>
              <w:tc>
                <w:tcPr>
                  <w:tcW w:w="1685" w:type="pct"/>
                  <w:vMerge w:val="restart"/>
                  <w:noWrap w:val="0"/>
                  <w:vAlign w:val="center"/>
                </w:tcPr>
                <w:p>
                  <w:pPr>
                    <w:pStyle w:val="111"/>
                    <w:rPr>
                      <w:rFonts w:hint="eastAsia" w:eastAsia="宋体"/>
                      <w:color w:val="auto"/>
                      <w:lang w:val="en-US" w:eastAsia="zh-CN"/>
                    </w:rPr>
                  </w:pPr>
                  <w:r>
                    <w:rPr>
                      <w:rFonts w:hint="eastAsia"/>
                      <w:color w:val="auto"/>
                      <w:lang w:val="en-US" w:eastAsia="zh-CN"/>
                    </w:rPr>
                    <w:t>氨氮、总磷执行《污水排入城镇下水道水质标准（CJ343-2015 ）》中表1中相关标准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pct"/>
                  <w:noWrap w:val="0"/>
                  <w:vAlign w:val="center"/>
                </w:tcPr>
                <w:p>
                  <w:pPr>
                    <w:pStyle w:val="111"/>
                    <w:rPr>
                      <w:color w:val="auto"/>
                    </w:rPr>
                  </w:pPr>
                  <w:r>
                    <w:rPr>
                      <w:color w:val="auto"/>
                    </w:rPr>
                    <w:t>TP</w:t>
                  </w:r>
                </w:p>
              </w:tc>
              <w:tc>
                <w:tcPr>
                  <w:tcW w:w="1152" w:type="pct"/>
                  <w:noWrap w:val="0"/>
                  <w:vAlign w:val="center"/>
                </w:tcPr>
                <w:p>
                  <w:pPr>
                    <w:pStyle w:val="111"/>
                    <w:rPr>
                      <w:color w:val="auto"/>
                    </w:rPr>
                  </w:pPr>
                  <w:r>
                    <w:rPr>
                      <w:color w:val="auto"/>
                    </w:rPr>
                    <w:t>mg/L</w:t>
                  </w:r>
                </w:p>
              </w:tc>
              <w:tc>
                <w:tcPr>
                  <w:tcW w:w="950" w:type="pct"/>
                  <w:noWrap w:val="0"/>
                  <w:vAlign w:val="center"/>
                </w:tcPr>
                <w:p>
                  <w:pPr>
                    <w:pStyle w:val="111"/>
                    <w:rPr>
                      <w:rFonts w:hint="eastAsia"/>
                      <w:color w:val="auto"/>
                    </w:rPr>
                  </w:pPr>
                  <w:r>
                    <w:rPr>
                      <w:rFonts w:hint="eastAsia"/>
                      <w:color w:val="auto"/>
                    </w:rPr>
                    <w:t>8</w:t>
                  </w:r>
                </w:p>
              </w:tc>
              <w:tc>
                <w:tcPr>
                  <w:tcW w:w="1685" w:type="pct"/>
                  <w:vMerge w:val="continue"/>
                  <w:noWrap w:val="0"/>
                  <w:vAlign w:val="center"/>
                </w:tcPr>
                <w:p>
                  <w:pPr>
                    <w:pStyle w:val="111"/>
                    <w:rPr>
                      <w:color w:val="auto"/>
                    </w:rPr>
                  </w:pPr>
                </w:p>
              </w:tc>
            </w:tr>
          </w:tbl>
          <w:p>
            <w:pPr>
              <w:pStyle w:val="5"/>
              <w:spacing w:after="120"/>
              <w:rPr>
                <w:color w:val="auto"/>
              </w:rPr>
            </w:pPr>
            <w:r>
              <w:rPr>
                <w:rFonts w:hint="eastAsia"/>
                <w:color w:val="auto"/>
                <w:lang w:val="en-US" w:eastAsia="zh-CN"/>
              </w:rPr>
              <w:t>3</w:t>
            </w:r>
            <w:r>
              <w:rPr>
                <w:color w:val="auto"/>
              </w:rPr>
              <w:t>、噪声</w:t>
            </w:r>
          </w:p>
          <w:p>
            <w:pPr>
              <w:pStyle w:val="108"/>
              <w:ind w:firstLine="480"/>
              <w:rPr>
                <w:rFonts w:hint="eastAsia" w:cs="宋体"/>
                <w:color w:val="auto"/>
                <w:lang w:val="zh-CN"/>
              </w:rPr>
            </w:pPr>
            <w:r>
              <w:rPr>
                <w:rFonts w:hint="eastAsia" w:cs="宋体"/>
                <w:color w:val="auto"/>
                <w:lang w:val="zh-CN"/>
              </w:rPr>
              <w:t>营运期噪声执行</w:t>
            </w:r>
            <w:r>
              <w:rPr>
                <w:rFonts w:hint="default"/>
                <w:color w:val="auto"/>
                <w:lang w:val="en-US" w:eastAsia="zh-CN"/>
              </w:rPr>
              <w:t>《</w:t>
            </w:r>
            <w:r>
              <w:rPr>
                <w:rFonts w:hint="eastAsia"/>
                <w:color w:val="auto"/>
                <w:lang w:val="en-US" w:eastAsia="zh-CN"/>
              </w:rPr>
              <w:t>社会生活噪声排放标准</w:t>
            </w:r>
            <w:r>
              <w:rPr>
                <w:rFonts w:hint="default"/>
                <w:color w:val="auto"/>
                <w:lang w:val="en-US" w:eastAsia="zh-CN"/>
              </w:rPr>
              <w:t>》（GB</w:t>
            </w:r>
            <w:r>
              <w:rPr>
                <w:rFonts w:hint="eastAsia"/>
                <w:color w:val="auto"/>
                <w:lang w:val="en-US" w:eastAsia="zh-CN"/>
              </w:rPr>
              <w:t>22337</w:t>
            </w:r>
            <w:r>
              <w:rPr>
                <w:rFonts w:hint="default"/>
                <w:color w:val="auto"/>
                <w:lang w:val="en-US" w:eastAsia="zh-CN"/>
              </w:rPr>
              <w:t>-2008）中 2 类标准值</w:t>
            </w:r>
            <w:r>
              <w:rPr>
                <w:rFonts w:hint="eastAsia" w:cs="宋体"/>
                <w:color w:val="auto"/>
                <w:lang w:val="zh-CN"/>
              </w:rPr>
              <w:t>。标准限值见下表：</w:t>
            </w:r>
          </w:p>
          <w:p>
            <w:pPr>
              <w:pStyle w:val="123"/>
              <w:rPr>
                <w:color w:val="auto"/>
                <w:lang w:val="zh-CN"/>
              </w:rPr>
            </w:pPr>
            <w:r>
              <w:rPr>
                <w:color w:val="auto"/>
                <w:lang w:val="zh-CN"/>
              </w:rPr>
              <w:t>表</w:t>
            </w:r>
            <w:r>
              <w:rPr>
                <w:color w:val="auto"/>
              </w:rPr>
              <w:t>3-</w:t>
            </w:r>
            <w:r>
              <w:rPr>
                <w:rFonts w:hint="eastAsia"/>
                <w:color w:val="auto"/>
                <w:lang w:val="en-US" w:eastAsia="zh-CN"/>
              </w:rPr>
              <w:t xml:space="preserve">6 </w:t>
            </w:r>
            <w:r>
              <w:rPr>
                <w:rFonts w:hint="eastAsia"/>
                <w:color w:val="auto"/>
                <w:lang w:val="zh-CN" w:eastAsia="zh-CN"/>
              </w:rPr>
              <w:t>《社会生活噪声排放标准》</w:t>
            </w:r>
            <w:r>
              <w:rPr>
                <w:color w:val="auto"/>
                <w:lang w:val="zh-CN"/>
              </w:rPr>
              <w:t xml:space="preserve">   单位：dB（A）</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2"/>
              <w:gridCol w:w="2737"/>
              <w:gridCol w:w="2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36" w:type="pct"/>
                  <w:noWrap w:val="0"/>
                  <w:vAlign w:val="center"/>
                </w:tcPr>
                <w:p>
                  <w:pPr>
                    <w:pStyle w:val="124"/>
                    <w:rPr>
                      <w:color w:val="auto"/>
                    </w:rPr>
                  </w:pPr>
                  <w:r>
                    <w:rPr>
                      <w:color w:val="auto"/>
                    </w:rPr>
                    <w:t>类别</w:t>
                  </w:r>
                </w:p>
              </w:tc>
              <w:tc>
                <w:tcPr>
                  <w:tcW w:w="1620" w:type="pct"/>
                  <w:noWrap w:val="0"/>
                  <w:vAlign w:val="center"/>
                </w:tcPr>
                <w:p>
                  <w:pPr>
                    <w:pStyle w:val="124"/>
                    <w:rPr>
                      <w:color w:val="auto"/>
                    </w:rPr>
                  </w:pPr>
                  <w:r>
                    <w:rPr>
                      <w:color w:val="auto"/>
                    </w:rPr>
                    <w:t>昼 间</w:t>
                  </w:r>
                </w:p>
              </w:tc>
              <w:tc>
                <w:tcPr>
                  <w:tcW w:w="1644" w:type="pct"/>
                  <w:noWrap w:val="0"/>
                  <w:vAlign w:val="center"/>
                </w:tcPr>
                <w:p>
                  <w:pPr>
                    <w:pStyle w:val="124"/>
                    <w:rPr>
                      <w:color w:val="auto"/>
                    </w:rPr>
                  </w:pPr>
                  <w:r>
                    <w:rPr>
                      <w:color w:val="auto"/>
                    </w:rPr>
                    <w:t>夜 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36" w:type="pct"/>
                  <w:noWrap w:val="0"/>
                  <w:vAlign w:val="center"/>
                </w:tcPr>
                <w:p>
                  <w:pPr>
                    <w:pStyle w:val="124"/>
                    <w:rPr>
                      <w:color w:val="auto"/>
                    </w:rPr>
                  </w:pPr>
                  <w:r>
                    <w:rPr>
                      <w:color w:val="auto"/>
                    </w:rPr>
                    <w:t>2类</w:t>
                  </w:r>
                </w:p>
              </w:tc>
              <w:tc>
                <w:tcPr>
                  <w:tcW w:w="1620" w:type="pct"/>
                  <w:noWrap w:val="0"/>
                  <w:vAlign w:val="center"/>
                </w:tcPr>
                <w:p>
                  <w:pPr>
                    <w:pStyle w:val="124"/>
                    <w:rPr>
                      <w:color w:val="auto"/>
                    </w:rPr>
                  </w:pPr>
                  <w:r>
                    <w:rPr>
                      <w:color w:val="auto"/>
                    </w:rPr>
                    <w:t>60</w:t>
                  </w:r>
                </w:p>
              </w:tc>
              <w:tc>
                <w:tcPr>
                  <w:tcW w:w="1644" w:type="pct"/>
                  <w:noWrap w:val="0"/>
                  <w:vAlign w:val="center"/>
                </w:tcPr>
                <w:p>
                  <w:pPr>
                    <w:pStyle w:val="124"/>
                    <w:rPr>
                      <w:color w:val="auto"/>
                    </w:rPr>
                  </w:pPr>
                  <w:r>
                    <w:rPr>
                      <w:color w:val="auto"/>
                    </w:rPr>
                    <w:t>50</w:t>
                  </w:r>
                </w:p>
              </w:tc>
            </w:tr>
          </w:tbl>
          <w:p>
            <w:pPr>
              <w:pStyle w:val="5"/>
              <w:spacing w:after="120"/>
              <w:rPr>
                <w:color w:val="auto"/>
              </w:rPr>
            </w:pPr>
            <w:r>
              <w:rPr>
                <w:rFonts w:hint="eastAsia"/>
                <w:color w:val="auto"/>
                <w:lang w:val="en-US" w:eastAsia="zh-CN"/>
              </w:rPr>
              <w:t>4</w:t>
            </w:r>
            <w:r>
              <w:rPr>
                <w:color w:val="auto"/>
              </w:rPr>
              <w:t>、固废</w:t>
            </w:r>
          </w:p>
          <w:p>
            <w:pPr>
              <w:pStyle w:val="108"/>
              <w:ind w:firstLine="480"/>
              <w:rPr>
                <w:color w:val="auto"/>
              </w:rPr>
            </w:pPr>
            <w:r>
              <w:rPr>
                <w:color w:val="auto"/>
              </w:rPr>
              <w:t>一般固体废弃物排放执行</w:t>
            </w:r>
            <w:r>
              <w:rPr>
                <w:rFonts w:hint="eastAsia"/>
                <w:color w:val="auto"/>
              </w:rPr>
              <w:t>《一般工业固体废物贮存和填埋污染控制标准》（GB18599-2020）</w:t>
            </w:r>
            <w:r>
              <w:rPr>
                <w:color w:val="auto"/>
              </w:rPr>
              <w:t>中</w:t>
            </w:r>
            <w:r>
              <w:rPr>
                <w:rFonts w:hint="eastAsia"/>
                <w:color w:val="auto"/>
              </w:rPr>
              <w:t>的相关要求，危险废物</w:t>
            </w:r>
            <w:r>
              <w:rPr>
                <w:color w:val="auto"/>
              </w:rPr>
              <w:t>执行《危险废物贮存污染控制标准》（GB18597-2001（2013年修订）</w:t>
            </w:r>
            <w:r>
              <w:rPr>
                <w:rFonts w:hint="eastAsia"/>
                <w:color w:val="auto"/>
              </w:rPr>
              <w:t>中的相关要求。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1" w:hRule="atLeast"/>
          <w:jc w:val="center"/>
        </w:trPr>
        <w:tc>
          <w:tcPr>
            <w:tcW w:w="348" w:type="pct"/>
            <w:noWrap w:val="0"/>
            <w:vAlign w:val="center"/>
          </w:tcPr>
          <w:p>
            <w:pPr>
              <w:pStyle w:val="108"/>
              <w:ind w:firstLine="0" w:firstLineChars="0"/>
              <w:jc w:val="center"/>
              <w:rPr>
                <w:rFonts w:hint="eastAsia"/>
                <w:color w:val="auto"/>
              </w:rPr>
            </w:pPr>
            <w:r>
              <w:rPr>
                <w:rFonts w:hint="eastAsia"/>
                <w:color w:val="auto"/>
              </w:rPr>
              <w:t>总量控制指标</w:t>
            </w:r>
          </w:p>
        </w:tc>
        <w:tc>
          <w:tcPr>
            <w:tcW w:w="4651" w:type="pct"/>
            <w:noWrap w:val="0"/>
            <w:vAlign w:val="center"/>
          </w:tcPr>
          <w:p>
            <w:pPr>
              <w:pStyle w:val="5"/>
              <w:numPr>
                <w:ilvl w:val="0"/>
                <w:numId w:val="0"/>
              </w:numPr>
              <w:rPr>
                <w:color w:val="auto"/>
              </w:rPr>
            </w:pPr>
            <w:r>
              <w:rPr>
                <w:rFonts w:hint="eastAsia"/>
                <w:color w:val="auto"/>
                <w:lang w:val="en-US" w:eastAsia="zh-CN"/>
              </w:rPr>
              <w:t>1、</w:t>
            </w:r>
            <w:r>
              <w:rPr>
                <w:color w:val="auto"/>
              </w:rPr>
              <w:t>总量控制因子</w:t>
            </w:r>
          </w:p>
          <w:p>
            <w:pPr>
              <w:pStyle w:val="110"/>
              <w:ind w:firstLine="480"/>
              <w:rPr>
                <w:rFonts w:hint="eastAsia"/>
                <w:color w:val="auto"/>
                <w:lang w:val="zh-CN"/>
              </w:rPr>
            </w:pPr>
            <w:r>
              <w:rPr>
                <w:rFonts w:hint="eastAsia"/>
                <w:color w:val="auto"/>
                <w:lang w:val="zh-CN"/>
              </w:rPr>
              <w:t>根据项目污染物排放特点，本评价确定的污染物排放总量控制因子为：</w:t>
            </w:r>
          </w:p>
          <w:p>
            <w:pPr>
              <w:pStyle w:val="110"/>
              <w:ind w:firstLine="480"/>
              <w:rPr>
                <w:rFonts w:hint="eastAsia"/>
                <w:color w:val="auto"/>
                <w:lang w:val="zh-CN"/>
              </w:rPr>
            </w:pPr>
            <w:r>
              <w:rPr>
                <w:rFonts w:hint="eastAsia"/>
                <w:color w:val="auto"/>
                <w:lang w:val="zh-CN"/>
              </w:rPr>
              <w:t>废水总量控制指标：COD、NH</w:t>
            </w:r>
            <w:r>
              <w:rPr>
                <w:rFonts w:hint="eastAsia"/>
                <w:color w:val="auto"/>
                <w:vertAlign w:val="subscript"/>
                <w:lang w:val="zh-CN"/>
              </w:rPr>
              <w:t>3</w:t>
            </w:r>
            <w:r>
              <w:rPr>
                <w:rFonts w:hint="eastAsia"/>
                <w:color w:val="auto"/>
                <w:lang w:val="zh-CN"/>
              </w:rPr>
              <w:t>-N、TP</w:t>
            </w:r>
          </w:p>
          <w:p>
            <w:pPr>
              <w:pStyle w:val="110"/>
              <w:ind w:firstLine="480"/>
              <w:rPr>
                <w:rFonts w:hint="eastAsia"/>
                <w:color w:val="auto"/>
                <w:lang w:val="zh-CN"/>
              </w:rPr>
            </w:pPr>
            <w:r>
              <w:rPr>
                <w:rFonts w:hint="eastAsia"/>
                <w:color w:val="auto"/>
                <w:lang w:val="zh-CN"/>
              </w:rPr>
              <w:t>废气总量控制指标：无</w:t>
            </w:r>
          </w:p>
          <w:p>
            <w:pPr>
              <w:pStyle w:val="5"/>
              <w:numPr>
                <w:ilvl w:val="0"/>
                <w:numId w:val="0"/>
              </w:numPr>
              <w:rPr>
                <w:rFonts w:cs="宋体"/>
                <w:color w:val="auto"/>
                <w:kern w:val="2"/>
                <w:szCs w:val="24"/>
                <w:lang w:val="zh-CN"/>
              </w:rPr>
            </w:pPr>
            <w:r>
              <w:rPr>
                <w:rFonts w:hint="eastAsia" w:cs="宋体"/>
                <w:color w:val="auto"/>
                <w:kern w:val="2"/>
                <w:szCs w:val="24"/>
                <w:lang w:val="en-US" w:eastAsia="zh-CN"/>
              </w:rPr>
              <w:t>2、</w:t>
            </w:r>
            <w:r>
              <w:rPr>
                <w:rFonts w:cs="宋体"/>
                <w:color w:val="auto"/>
                <w:kern w:val="2"/>
                <w:szCs w:val="24"/>
                <w:lang w:val="zh-CN"/>
              </w:rPr>
              <w:t>废水污染物总量指标</w:t>
            </w:r>
          </w:p>
          <w:p>
            <w:pPr>
              <w:pStyle w:val="110"/>
              <w:ind w:firstLine="480"/>
              <w:rPr>
                <w:rFonts w:hint="eastAsia"/>
                <w:color w:val="auto"/>
                <w:lang w:val="de-DE"/>
              </w:rPr>
            </w:pPr>
            <w:r>
              <w:rPr>
                <w:rFonts w:hint="eastAsia"/>
                <w:color w:val="auto"/>
                <w:lang w:val="de-DE"/>
              </w:rPr>
              <w:t>按照《关于贯彻落实&lt;建设项目主要污染物排放总量指标审核及管理暂行办法&gt;的通知》（川环办发〔2015〕333号）文件要求，本项目</w:t>
            </w:r>
            <w:r>
              <w:rPr>
                <w:rFonts w:hint="eastAsia"/>
                <w:color w:val="auto"/>
                <w:lang w:val="de-DE" w:eastAsia="zh-CN"/>
              </w:rPr>
              <w:t>废</w:t>
            </w:r>
            <w:r>
              <w:rPr>
                <w:rFonts w:hint="eastAsia"/>
                <w:color w:val="auto"/>
                <w:lang w:val="de-DE"/>
              </w:rPr>
              <w:t>水以及末端污水处理厂排放量采用排放标准法进行计算。</w:t>
            </w:r>
          </w:p>
          <w:p>
            <w:pPr>
              <w:pStyle w:val="110"/>
              <w:ind w:firstLine="480"/>
              <w:rPr>
                <w:rFonts w:hint="eastAsia"/>
                <w:color w:val="auto"/>
              </w:rPr>
            </w:pPr>
            <w:r>
              <w:rPr>
                <w:rFonts w:hint="eastAsia"/>
                <w:b/>
                <w:bCs/>
                <w:color w:val="auto"/>
                <w:lang w:val="de-DE"/>
              </w:rPr>
              <w:t>本项目</w:t>
            </w:r>
            <w:r>
              <w:rPr>
                <w:rFonts w:hint="eastAsia"/>
                <w:b/>
                <w:bCs/>
                <w:color w:val="auto"/>
                <w:lang w:val="de-DE" w:eastAsia="zh-CN"/>
              </w:rPr>
              <w:t>废水排放总量为</w:t>
            </w:r>
            <w:r>
              <w:rPr>
                <w:rFonts w:hint="eastAsia"/>
                <w:b/>
                <w:bCs/>
                <w:color w:val="auto"/>
                <w:lang w:val="en-US" w:eastAsia="zh-CN"/>
              </w:rPr>
              <w:t>720</w:t>
            </w:r>
            <w:r>
              <w:rPr>
                <w:rFonts w:hint="eastAsia"/>
                <w:b/>
                <w:bCs/>
                <w:color w:val="auto"/>
                <w:lang w:val="de-DE" w:eastAsia="zh-CN"/>
              </w:rPr>
              <w:t>m</w:t>
            </w:r>
            <w:r>
              <w:rPr>
                <w:rFonts w:hint="eastAsia"/>
                <w:b/>
                <w:bCs/>
                <w:color w:val="auto"/>
                <w:vertAlign w:val="superscript"/>
                <w:lang w:val="de-DE" w:eastAsia="zh-CN"/>
              </w:rPr>
              <w:t>3</w:t>
            </w:r>
            <w:r>
              <w:rPr>
                <w:rFonts w:hint="eastAsia"/>
                <w:b/>
                <w:bCs/>
                <w:color w:val="auto"/>
                <w:lang w:val="de-DE" w:eastAsia="zh-CN"/>
              </w:rPr>
              <w:t>/a，计算出本项目废水进入市政管网的量：</w:t>
            </w:r>
          </w:p>
          <w:p>
            <w:pPr>
              <w:pStyle w:val="110"/>
              <w:rPr>
                <w:rFonts w:hint="eastAsia"/>
                <w:color w:val="auto"/>
                <w:lang w:val="de-DE"/>
              </w:rPr>
            </w:pPr>
            <w:r>
              <w:rPr>
                <w:rFonts w:hint="eastAsia"/>
                <w:color w:val="auto"/>
                <w:lang w:val="de-DE"/>
              </w:rPr>
              <w:t>COD：</w:t>
            </w:r>
            <w:r>
              <w:rPr>
                <w:rFonts w:hint="eastAsia"/>
                <w:color w:val="auto"/>
                <w:lang w:val="de-DE" w:eastAsia="zh-CN"/>
              </w:rPr>
              <w:t>720</w:t>
            </w:r>
            <w:r>
              <w:rPr>
                <w:rFonts w:hint="eastAsia"/>
                <w:color w:val="auto"/>
                <w:lang w:val="de-DE"/>
              </w:rPr>
              <w:t>m</w:t>
            </w:r>
            <w:r>
              <w:rPr>
                <w:rFonts w:hint="eastAsia"/>
                <w:color w:val="auto"/>
                <w:vertAlign w:val="superscript"/>
                <w:lang w:val="de-DE"/>
              </w:rPr>
              <w:t>3</w:t>
            </w:r>
            <w:r>
              <w:rPr>
                <w:rFonts w:hint="eastAsia"/>
                <w:color w:val="auto"/>
                <w:lang w:val="de-DE"/>
              </w:rPr>
              <w:t>/a×</w:t>
            </w:r>
            <w:r>
              <w:rPr>
                <w:rFonts w:hint="eastAsia"/>
                <w:color w:val="auto"/>
              </w:rPr>
              <w:t>50</w:t>
            </w:r>
            <w:r>
              <w:rPr>
                <w:rFonts w:hint="eastAsia"/>
                <w:color w:val="auto"/>
                <w:lang w:val="de-DE"/>
              </w:rPr>
              <w:t>0mg/L×10</w:t>
            </w:r>
            <w:r>
              <w:rPr>
                <w:rFonts w:hint="eastAsia"/>
                <w:color w:val="auto"/>
                <w:vertAlign w:val="superscript"/>
                <w:lang w:val="de-DE"/>
              </w:rPr>
              <w:t>-6</w:t>
            </w:r>
            <w:r>
              <w:rPr>
                <w:rFonts w:hint="eastAsia"/>
                <w:color w:val="auto"/>
                <w:lang w:val="de-DE"/>
              </w:rPr>
              <w:t>=</w:t>
            </w:r>
            <w:r>
              <w:rPr>
                <w:rFonts w:hint="eastAsia"/>
                <w:color w:val="auto"/>
                <w:lang w:val="en-US" w:eastAsia="zh-CN"/>
              </w:rPr>
              <w:t>0.36</w:t>
            </w:r>
            <w:r>
              <w:rPr>
                <w:rFonts w:hint="eastAsia"/>
                <w:color w:val="auto"/>
                <w:lang w:val="de-DE"/>
              </w:rPr>
              <w:t>t/a</w:t>
            </w:r>
          </w:p>
          <w:p>
            <w:pPr>
              <w:pStyle w:val="110"/>
              <w:ind w:firstLine="480"/>
              <w:rPr>
                <w:rFonts w:hint="eastAsia"/>
                <w:color w:val="auto"/>
                <w:lang w:val="de-DE"/>
              </w:rPr>
            </w:pPr>
            <w:r>
              <w:rPr>
                <w:rFonts w:hint="eastAsia"/>
                <w:color w:val="auto"/>
                <w:lang w:val="de-DE"/>
              </w:rPr>
              <w:t>NH</w:t>
            </w:r>
            <w:r>
              <w:rPr>
                <w:rFonts w:hint="eastAsia"/>
                <w:color w:val="auto"/>
                <w:vertAlign w:val="subscript"/>
                <w:lang w:val="de-DE"/>
              </w:rPr>
              <w:t>3</w:t>
            </w:r>
            <w:r>
              <w:rPr>
                <w:rFonts w:hint="eastAsia"/>
                <w:color w:val="auto"/>
                <w:lang w:val="de-DE"/>
              </w:rPr>
              <w:t>-N：</w:t>
            </w:r>
            <w:r>
              <w:rPr>
                <w:rFonts w:hint="eastAsia"/>
                <w:color w:val="auto"/>
                <w:lang w:val="de-DE" w:eastAsia="zh-CN"/>
              </w:rPr>
              <w:t>720</w:t>
            </w:r>
            <w:r>
              <w:rPr>
                <w:rFonts w:hint="eastAsia"/>
                <w:color w:val="auto"/>
                <w:lang w:val="de-DE"/>
              </w:rPr>
              <w:t>m</w:t>
            </w:r>
            <w:r>
              <w:rPr>
                <w:rFonts w:hint="eastAsia"/>
                <w:color w:val="auto"/>
                <w:vertAlign w:val="superscript"/>
                <w:lang w:val="de-DE"/>
              </w:rPr>
              <w:t>3</w:t>
            </w:r>
            <w:r>
              <w:rPr>
                <w:rFonts w:hint="eastAsia"/>
                <w:color w:val="auto"/>
                <w:lang w:val="de-DE"/>
              </w:rPr>
              <w:t>/a×</w:t>
            </w:r>
            <w:r>
              <w:rPr>
                <w:rFonts w:hint="eastAsia"/>
                <w:color w:val="auto"/>
              </w:rPr>
              <w:t>45</w:t>
            </w:r>
            <w:r>
              <w:rPr>
                <w:rFonts w:hint="eastAsia"/>
                <w:color w:val="auto"/>
                <w:lang w:val="de-DE"/>
              </w:rPr>
              <w:t>mg/L×10</w:t>
            </w:r>
            <w:r>
              <w:rPr>
                <w:rFonts w:hint="eastAsia"/>
                <w:color w:val="auto"/>
                <w:vertAlign w:val="superscript"/>
                <w:lang w:val="de-DE"/>
              </w:rPr>
              <w:t>-6</w:t>
            </w:r>
            <w:r>
              <w:rPr>
                <w:rFonts w:hint="eastAsia"/>
                <w:color w:val="auto"/>
                <w:lang w:val="de-DE"/>
              </w:rPr>
              <w:t>=</w:t>
            </w:r>
            <w:r>
              <w:rPr>
                <w:rFonts w:hint="eastAsia"/>
                <w:color w:val="auto"/>
              </w:rPr>
              <w:t>0.0</w:t>
            </w:r>
            <w:r>
              <w:rPr>
                <w:rFonts w:hint="eastAsia"/>
                <w:color w:val="auto"/>
                <w:lang w:val="en-US" w:eastAsia="zh-CN"/>
              </w:rPr>
              <w:t>32</w:t>
            </w:r>
            <w:r>
              <w:rPr>
                <w:rFonts w:hint="eastAsia"/>
                <w:color w:val="auto"/>
                <w:lang w:val="de-DE"/>
              </w:rPr>
              <w:t>t/a</w:t>
            </w:r>
          </w:p>
          <w:p>
            <w:pPr>
              <w:pStyle w:val="110"/>
              <w:ind w:firstLine="480"/>
              <w:rPr>
                <w:rFonts w:hint="eastAsia"/>
                <w:color w:val="auto"/>
                <w:lang w:val="de-DE"/>
              </w:rPr>
            </w:pPr>
            <w:r>
              <w:rPr>
                <w:rFonts w:hint="eastAsia"/>
                <w:color w:val="auto"/>
                <w:lang w:val="de-DE"/>
              </w:rPr>
              <w:t>TP：</w:t>
            </w:r>
            <w:r>
              <w:rPr>
                <w:rFonts w:hint="eastAsia"/>
                <w:color w:val="auto"/>
                <w:lang w:val="de-DE" w:eastAsia="zh-CN"/>
              </w:rPr>
              <w:t>720</w:t>
            </w:r>
            <w:r>
              <w:rPr>
                <w:rFonts w:hint="eastAsia"/>
                <w:color w:val="auto"/>
                <w:lang w:val="de-DE"/>
              </w:rPr>
              <w:t>m</w:t>
            </w:r>
            <w:r>
              <w:rPr>
                <w:rFonts w:hint="eastAsia"/>
                <w:color w:val="auto"/>
                <w:vertAlign w:val="superscript"/>
                <w:lang w:val="de-DE"/>
              </w:rPr>
              <w:t>3</w:t>
            </w:r>
            <w:r>
              <w:rPr>
                <w:rFonts w:hint="eastAsia"/>
                <w:color w:val="auto"/>
                <w:lang w:val="de-DE"/>
              </w:rPr>
              <w:t>/a×</w:t>
            </w:r>
            <w:r>
              <w:rPr>
                <w:rFonts w:hint="eastAsia"/>
                <w:color w:val="auto"/>
              </w:rPr>
              <w:t>8</w:t>
            </w:r>
            <w:r>
              <w:rPr>
                <w:rFonts w:hint="eastAsia"/>
                <w:color w:val="auto"/>
                <w:lang w:val="de-DE"/>
              </w:rPr>
              <w:t>mg/L×10</w:t>
            </w:r>
            <w:r>
              <w:rPr>
                <w:rFonts w:hint="eastAsia"/>
                <w:color w:val="auto"/>
                <w:vertAlign w:val="superscript"/>
                <w:lang w:val="de-DE"/>
              </w:rPr>
              <w:t>-6</w:t>
            </w:r>
            <w:r>
              <w:rPr>
                <w:rFonts w:hint="eastAsia"/>
                <w:color w:val="auto"/>
                <w:lang w:val="de-DE"/>
              </w:rPr>
              <w:t>=0.</w:t>
            </w:r>
            <w:r>
              <w:rPr>
                <w:rFonts w:hint="eastAsia"/>
                <w:color w:val="auto"/>
              </w:rPr>
              <w:t>00</w:t>
            </w:r>
            <w:r>
              <w:rPr>
                <w:rFonts w:hint="eastAsia"/>
                <w:color w:val="auto"/>
                <w:lang w:val="en-US" w:eastAsia="zh-CN"/>
              </w:rPr>
              <w:t>6</w:t>
            </w:r>
            <w:r>
              <w:rPr>
                <w:rFonts w:hint="eastAsia"/>
                <w:color w:val="auto"/>
                <w:lang w:val="de-DE"/>
              </w:rPr>
              <w:t>t/a</w:t>
            </w:r>
          </w:p>
          <w:p>
            <w:pPr>
              <w:pStyle w:val="110"/>
              <w:ind w:firstLine="482"/>
              <w:rPr>
                <w:rFonts w:hint="eastAsia"/>
                <w:b/>
                <w:bCs/>
                <w:color w:val="auto"/>
                <w:lang w:val="de-DE"/>
              </w:rPr>
            </w:pPr>
            <w:r>
              <w:rPr>
                <w:rFonts w:hint="eastAsia"/>
                <w:b/>
                <w:bCs/>
                <w:color w:val="auto"/>
                <w:lang w:val="de-DE"/>
              </w:rPr>
              <w:t>乐山市第一污水处理厂排水浓度执行《四川省岷江、沱江流域水污染物排放标准》（DB51/2311-2016）“城镇污水处理厂”标准限值：</w:t>
            </w:r>
          </w:p>
          <w:p>
            <w:pPr>
              <w:pStyle w:val="110"/>
              <w:ind w:firstLine="480"/>
              <w:rPr>
                <w:rFonts w:hint="eastAsia"/>
                <w:color w:val="auto"/>
                <w:lang w:val="de-DE"/>
              </w:rPr>
            </w:pPr>
            <w:r>
              <w:rPr>
                <w:rFonts w:hint="eastAsia"/>
                <w:color w:val="auto"/>
                <w:lang w:val="de-DE"/>
              </w:rPr>
              <w:t>COD：</w:t>
            </w:r>
            <w:r>
              <w:rPr>
                <w:rFonts w:hint="eastAsia"/>
                <w:color w:val="auto"/>
                <w:lang w:eastAsia="zh-CN"/>
              </w:rPr>
              <w:t>720</w:t>
            </w:r>
            <w:r>
              <w:rPr>
                <w:rFonts w:hint="eastAsia"/>
                <w:color w:val="auto"/>
                <w:lang w:val="de-DE"/>
              </w:rPr>
              <w:t>m</w:t>
            </w:r>
            <w:r>
              <w:rPr>
                <w:rFonts w:hint="eastAsia"/>
                <w:color w:val="auto"/>
                <w:vertAlign w:val="superscript"/>
                <w:lang w:val="de-DE"/>
              </w:rPr>
              <w:t>3</w:t>
            </w:r>
            <w:r>
              <w:rPr>
                <w:rFonts w:hint="eastAsia"/>
                <w:color w:val="auto"/>
                <w:lang w:val="de-DE"/>
              </w:rPr>
              <w:t>/a×</w:t>
            </w:r>
            <w:r>
              <w:rPr>
                <w:rFonts w:hint="eastAsia"/>
                <w:color w:val="auto"/>
              </w:rPr>
              <w:t>3</w:t>
            </w:r>
            <w:r>
              <w:rPr>
                <w:rFonts w:hint="eastAsia"/>
                <w:color w:val="auto"/>
                <w:lang w:val="de-DE"/>
              </w:rPr>
              <w:t>0mg/L×10</w:t>
            </w:r>
            <w:r>
              <w:rPr>
                <w:rFonts w:hint="eastAsia"/>
                <w:color w:val="auto"/>
                <w:vertAlign w:val="superscript"/>
                <w:lang w:val="de-DE"/>
              </w:rPr>
              <w:t>-6</w:t>
            </w:r>
            <w:r>
              <w:rPr>
                <w:rFonts w:hint="eastAsia"/>
                <w:color w:val="auto"/>
                <w:lang w:val="de-DE"/>
              </w:rPr>
              <w:t>=</w:t>
            </w:r>
            <w:r>
              <w:rPr>
                <w:rFonts w:hint="eastAsia"/>
                <w:color w:val="auto"/>
              </w:rPr>
              <w:t>0.0</w:t>
            </w:r>
            <w:r>
              <w:rPr>
                <w:rFonts w:hint="eastAsia"/>
                <w:color w:val="auto"/>
                <w:lang w:val="en-US" w:eastAsia="zh-CN"/>
              </w:rPr>
              <w:t>22</w:t>
            </w:r>
            <w:r>
              <w:rPr>
                <w:rFonts w:hint="eastAsia"/>
                <w:color w:val="auto"/>
                <w:lang w:val="de-DE"/>
              </w:rPr>
              <w:t>t/a</w:t>
            </w:r>
          </w:p>
          <w:p>
            <w:pPr>
              <w:pStyle w:val="110"/>
              <w:ind w:firstLine="480"/>
              <w:rPr>
                <w:rFonts w:hint="eastAsia"/>
                <w:color w:val="auto"/>
                <w:lang w:val="de-DE"/>
              </w:rPr>
            </w:pPr>
            <w:r>
              <w:rPr>
                <w:rFonts w:hint="eastAsia"/>
                <w:color w:val="auto"/>
                <w:lang w:val="de-DE"/>
              </w:rPr>
              <w:t>NH</w:t>
            </w:r>
            <w:r>
              <w:rPr>
                <w:rFonts w:hint="eastAsia"/>
                <w:color w:val="auto"/>
                <w:vertAlign w:val="subscript"/>
                <w:lang w:val="de-DE"/>
              </w:rPr>
              <w:t>3</w:t>
            </w:r>
            <w:r>
              <w:rPr>
                <w:rFonts w:hint="eastAsia"/>
                <w:color w:val="auto"/>
                <w:lang w:val="de-DE"/>
              </w:rPr>
              <w:t>-N(</w:t>
            </w:r>
            <w:r>
              <w:rPr>
                <w:rFonts w:hint="eastAsia"/>
                <w:color w:val="auto"/>
              </w:rPr>
              <w:t>水温</w:t>
            </w:r>
            <w:r>
              <w:rPr>
                <w:rFonts w:hint="eastAsia"/>
                <w:color w:val="auto"/>
                <w:lang w:val="de-DE"/>
              </w:rPr>
              <w:t>＞12℃）：</w:t>
            </w:r>
            <w:r>
              <w:rPr>
                <w:rFonts w:hint="eastAsia"/>
                <w:color w:val="auto"/>
                <w:lang w:val="de-DE" w:eastAsia="zh-CN"/>
              </w:rPr>
              <w:t>720</w:t>
            </w:r>
            <w:r>
              <w:rPr>
                <w:rFonts w:hint="eastAsia"/>
                <w:color w:val="auto"/>
                <w:lang w:val="de-DE"/>
              </w:rPr>
              <w:t>m</w:t>
            </w:r>
            <w:r>
              <w:rPr>
                <w:rFonts w:hint="eastAsia"/>
                <w:color w:val="auto"/>
                <w:vertAlign w:val="superscript"/>
                <w:lang w:val="de-DE"/>
              </w:rPr>
              <w:t>3</w:t>
            </w:r>
            <w:r>
              <w:rPr>
                <w:rFonts w:hint="eastAsia"/>
                <w:color w:val="auto"/>
                <w:lang w:val="de-DE"/>
              </w:rPr>
              <w:t>/a×1.5mg/L×1</w:t>
            </w:r>
            <w:r>
              <w:rPr>
                <w:rFonts w:hint="eastAsia"/>
                <w:color w:val="auto"/>
                <w:vertAlign w:val="superscript"/>
                <w:lang w:val="de-DE"/>
              </w:rPr>
              <w:t>0-6</w:t>
            </w:r>
            <w:r>
              <w:rPr>
                <w:rFonts w:hint="eastAsia"/>
                <w:color w:val="auto"/>
                <w:lang w:val="de-DE"/>
              </w:rPr>
              <w:t>=0.00</w:t>
            </w:r>
            <w:r>
              <w:rPr>
                <w:rFonts w:hint="eastAsia"/>
                <w:color w:val="auto"/>
                <w:lang w:val="en-US" w:eastAsia="zh-CN"/>
              </w:rPr>
              <w:t>1</w:t>
            </w:r>
            <w:r>
              <w:rPr>
                <w:rFonts w:hint="eastAsia"/>
                <w:color w:val="auto"/>
                <w:lang w:val="de-DE"/>
              </w:rPr>
              <w:t>t/a</w:t>
            </w:r>
          </w:p>
          <w:p>
            <w:pPr>
              <w:pStyle w:val="110"/>
              <w:ind w:firstLine="480"/>
              <w:rPr>
                <w:rFonts w:hint="eastAsia"/>
                <w:color w:val="auto"/>
                <w:lang w:val="de-DE"/>
              </w:rPr>
            </w:pPr>
            <w:r>
              <w:rPr>
                <w:rFonts w:hint="eastAsia"/>
                <w:color w:val="auto"/>
                <w:lang w:val="de-DE"/>
              </w:rPr>
              <w:t>NH</w:t>
            </w:r>
            <w:r>
              <w:rPr>
                <w:rFonts w:hint="eastAsia"/>
                <w:color w:val="auto"/>
                <w:vertAlign w:val="subscript"/>
                <w:lang w:val="de-DE"/>
              </w:rPr>
              <w:t>3</w:t>
            </w:r>
            <w:r>
              <w:rPr>
                <w:rFonts w:hint="eastAsia"/>
                <w:color w:val="auto"/>
                <w:lang w:val="de-DE"/>
              </w:rPr>
              <w:t>-N（</w:t>
            </w:r>
            <w:r>
              <w:rPr>
                <w:rFonts w:hint="eastAsia"/>
                <w:color w:val="auto"/>
              </w:rPr>
              <w:t>水温</w:t>
            </w:r>
            <w:r>
              <w:rPr>
                <w:rFonts w:hint="eastAsia"/>
                <w:color w:val="auto"/>
                <w:lang w:val="de-DE"/>
              </w:rPr>
              <w:t>≤12℃）：</w:t>
            </w:r>
            <w:r>
              <w:rPr>
                <w:rFonts w:hint="eastAsia"/>
                <w:color w:val="auto"/>
                <w:lang w:val="de-DE" w:eastAsia="zh-CN"/>
              </w:rPr>
              <w:t>720</w:t>
            </w:r>
            <w:r>
              <w:rPr>
                <w:rFonts w:hint="eastAsia"/>
                <w:color w:val="auto"/>
                <w:lang w:val="de-DE"/>
              </w:rPr>
              <w:t>m</w:t>
            </w:r>
            <w:r>
              <w:rPr>
                <w:rFonts w:hint="eastAsia"/>
                <w:color w:val="auto"/>
                <w:vertAlign w:val="superscript"/>
                <w:lang w:val="de-DE"/>
              </w:rPr>
              <w:t>3</w:t>
            </w:r>
            <w:r>
              <w:rPr>
                <w:rFonts w:hint="eastAsia"/>
                <w:color w:val="auto"/>
                <w:lang w:val="de-DE"/>
              </w:rPr>
              <w:t>/a×3mg/L×10</w:t>
            </w:r>
            <w:r>
              <w:rPr>
                <w:rFonts w:hint="eastAsia"/>
                <w:color w:val="auto"/>
                <w:vertAlign w:val="superscript"/>
                <w:lang w:val="de-DE"/>
              </w:rPr>
              <w:t>-6</w:t>
            </w:r>
            <w:r>
              <w:rPr>
                <w:rFonts w:hint="eastAsia"/>
                <w:color w:val="auto"/>
                <w:lang w:val="de-DE"/>
              </w:rPr>
              <w:t>=0.00</w:t>
            </w:r>
            <w:r>
              <w:rPr>
                <w:rFonts w:hint="eastAsia"/>
                <w:color w:val="auto"/>
                <w:lang w:val="en-US" w:eastAsia="zh-CN"/>
              </w:rPr>
              <w:t>2</w:t>
            </w:r>
            <w:r>
              <w:rPr>
                <w:rFonts w:hint="eastAsia"/>
                <w:color w:val="auto"/>
                <w:lang w:val="de-DE"/>
              </w:rPr>
              <w:t>t/a</w:t>
            </w:r>
          </w:p>
          <w:p>
            <w:pPr>
              <w:pStyle w:val="110"/>
              <w:ind w:firstLine="480"/>
              <w:rPr>
                <w:rFonts w:hint="eastAsia"/>
                <w:color w:val="auto"/>
                <w:lang w:val="de-DE"/>
              </w:rPr>
            </w:pPr>
            <w:r>
              <w:rPr>
                <w:rFonts w:hint="eastAsia"/>
                <w:color w:val="auto"/>
              </w:rPr>
              <w:t>TP</w:t>
            </w:r>
            <w:r>
              <w:rPr>
                <w:rFonts w:hint="eastAsia"/>
                <w:color w:val="auto"/>
                <w:lang w:val="de-DE"/>
              </w:rPr>
              <w:t>：</w:t>
            </w:r>
            <w:r>
              <w:rPr>
                <w:rFonts w:hint="eastAsia"/>
                <w:color w:val="auto"/>
                <w:lang w:val="de-DE" w:eastAsia="zh-CN"/>
              </w:rPr>
              <w:t>720</w:t>
            </w:r>
            <w:r>
              <w:rPr>
                <w:rFonts w:hint="eastAsia"/>
                <w:color w:val="auto"/>
                <w:lang w:val="de-DE"/>
              </w:rPr>
              <w:t>m</w:t>
            </w:r>
            <w:r>
              <w:rPr>
                <w:rFonts w:hint="eastAsia"/>
                <w:color w:val="auto"/>
                <w:vertAlign w:val="superscript"/>
                <w:lang w:val="de-DE"/>
              </w:rPr>
              <w:t>3</w:t>
            </w:r>
            <w:r>
              <w:rPr>
                <w:rFonts w:hint="eastAsia"/>
                <w:color w:val="auto"/>
                <w:lang w:val="de-DE"/>
              </w:rPr>
              <w:t>/a×0.</w:t>
            </w:r>
            <w:r>
              <w:rPr>
                <w:rFonts w:hint="eastAsia"/>
                <w:color w:val="auto"/>
              </w:rPr>
              <w:t>3</w:t>
            </w:r>
            <w:r>
              <w:rPr>
                <w:rFonts w:hint="eastAsia"/>
                <w:color w:val="auto"/>
                <w:lang w:val="de-DE"/>
              </w:rPr>
              <w:t>mg/L×10</w:t>
            </w:r>
            <w:r>
              <w:rPr>
                <w:rFonts w:hint="eastAsia"/>
                <w:color w:val="auto"/>
                <w:vertAlign w:val="superscript"/>
                <w:lang w:val="de-DE"/>
              </w:rPr>
              <w:t>-6</w:t>
            </w:r>
            <w:r>
              <w:rPr>
                <w:rFonts w:hint="eastAsia"/>
                <w:color w:val="auto"/>
                <w:lang w:val="de-DE"/>
              </w:rPr>
              <w:t>=</w:t>
            </w:r>
            <w:r>
              <w:rPr>
                <w:rFonts w:hint="eastAsia"/>
                <w:color w:val="auto"/>
              </w:rPr>
              <w:t>0.000</w:t>
            </w:r>
            <w:r>
              <w:rPr>
                <w:rFonts w:hint="eastAsia"/>
                <w:color w:val="auto"/>
                <w:lang w:val="en-US" w:eastAsia="zh-CN"/>
              </w:rPr>
              <w:t>2</w:t>
            </w:r>
            <w:r>
              <w:rPr>
                <w:rFonts w:hint="eastAsia"/>
                <w:color w:val="auto"/>
                <w:lang w:val="de-DE"/>
              </w:rPr>
              <w:t>t/a</w:t>
            </w:r>
          </w:p>
          <w:p>
            <w:pPr>
              <w:pStyle w:val="110"/>
              <w:ind w:firstLine="480"/>
              <w:rPr>
                <w:color w:val="auto"/>
              </w:rPr>
            </w:pPr>
            <w:r>
              <w:rPr>
                <w:rFonts w:hint="eastAsia"/>
                <w:color w:val="auto"/>
                <w:lang w:val="de-DE"/>
              </w:rPr>
              <w:t>项目污水最终进入乐山市第一污水处理厂，总量指标计入乐山市第一污水处理厂总量控制。本次环评仅提供数据。</w:t>
            </w:r>
          </w:p>
        </w:tc>
      </w:tr>
    </w:tbl>
    <w:p>
      <w:pPr>
        <w:pStyle w:val="4"/>
        <w:ind w:firstLine="723"/>
        <w:rPr>
          <w:rFonts w:ascii="黑体" w:hAnsi="黑体" w:eastAsia="黑体"/>
          <w:snapToGrid w:val="0"/>
          <w:color w:val="auto"/>
        </w:rPr>
      </w:pPr>
      <w:r>
        <w:rPr>
          <w:rFonts w:ascii="黑体" w:hAnsi="黑体" w:eastAsia="黑体"/>
          <w:snapToGrid w:val="0"/>
          <w:color w:val="auto"/>
          <w:sz w:val="36"/>
          <w:szCs w:val="36"/>
        </w:rPr>
        <w:br w:type="page"/>
      </w:r>
      <w:bookmarkStart w:id="5" w:name="_Toc5151"/>
      <w:r>
        <w:rPr>
          <w:rFonts w:hint="eastAsia" w:ascii="宋体" w:hAnsi="宋体" w:cs="宋体"/>
          <w:snapToGrid w:val="0"/>
          <w:color w:val="auto"/>
        </w:rPr>
        <w:t>四、主要环境影响和保护措施</w:t>
      </w:r>
      <w:bookmarkEnd w:id="5"/>
    </w:p>
    <w:tbl>
      <w:tblPr>
        <w:tblStyle w:val="39"/>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87"/>
        <w:gridCol w:w="87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6" w:hRule="atLeast"/>
          <w:jc w:val="center"/>
        </w:trPr>
        <w:tc>
          <w:tcPr>
            <w:tcW w:w="568" w:type="dxa"/>
            <w:noWrap w:val="0"/>
            <w:tcMar>
              <w:left w:w="28" w:type="dxa"/>
              <w:right w:w="28" w:type="dxa"/>
            </w:tcMar>
            <w:vAlign w:val="center"/>
          </w:tcPr>
          <w:p>
            <w:pPr>
              <w:pStyle w:val="108"/>
              <w:ind w:firstLine="0" w:firstLineChars="0"/>
              <w:jc w:val="center"/>
              <w:rPr>
                <w:rFonts w:hint="eastAsia"/>
                <w:color w:val="auto"/>
              </w:rPr>
            </w:pPr>
            <w:r>
              <w:rPr>
                <w:rFonts w:hint="eastAsia"/>
                <w:color w:val="auto"/>
              </w:rPr>
              <w:t>施工期环境保护措施</w:t>
            </w:r>
          </w:p>
        </w:tc>
        <w:tc>
          <w:tcPr>
            <w:tcW w:w="8413" w:type="dxa"/>
            <w:noWrap w:val="0"/>
            <w:vAlign w:val="center"/>
          </w:tcPr>
          <w:p>
            <w:pPr>
              <w:pStyle w:val="110"/>
              <w:ind w:firstLine="480"/>
              <w:rPr>
                <w:rFonts w:ascii="宋体" w:hAnsi="宋体"/>
                <w:bCs/>
                <w:color w:val="auto"/>
                <w:spacing w:val="-10"/>
                <w:szCs w:val="21"/>
              </w:rPr>
            </w:pPr>
            <w:r>
              <w:rPr>
                <w:rFonts w:hint="eastAsia"/>
                <w:color w:val="auto"/>
                <w:lang w:val="de-DE"/>
              </w:rPr>
              <w:t>本项目为未批先建项目，属于新建补评手续。项目租赁现有的商铺进行项目建设，建筑主体框架已基本形成，项目建设期间，仅对商铺进行简单装修、隔断及设备安装，项目建设阶段产生的污染物较小，根据现场踏勘，该项目施工期已结束，经现场踏查及询问调查，项目施工期无环境遗留问题，未接到相关环境污染投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8" w:type="dxa"/>
            <w:noWrap w:val="0"/>
            <w:tcMar>
              <w:left w:w="28" w:type="dxa"/>
              <w:right w:w="28" w:type="dxa"/>
            </w:tcMar>
            <w:vAlign w:val="center"/>
          </w:tcPr>
          <w:p>
            <w:pPr>
              <w:pStyle w:val="108"/>
              <w:ind w:firstLine="0" w:firstLineChars="0"/>
              <w:jc w:val="center"/>
              <w:rPr>
                <w:rFonts w:hint="eastAsia" w:ascii="宋体" w:hAnsi="宋体" w:cs="宋体"/>
                <w:bCs/>
                <w:color w:val="auto"/>
                <w:szCs w:val="21"/>
              </w:rPr>
            </w:pPr>
            <w:r>
              <w:rPr>
                <w:rFonts w:hint="eastAsia" w:ascii="宋体" w:hAnsi="宋体" w:cs="宋体"/>
                <w:bCs/>
                <w:color w:val="auto"/>
                <w:szCs w:val="21"/>
              </w:rPr>
              <w:t>运营期环境影响和保护措施</w:t>
            </w:r>
          </w:p>
        </w:tc>
        <w:tc>
          <w:tcPr>
            <w:tcW w:w="8413" w:type="dxa"/>
            <w:noWrap w:val="0"/>
            <w:vAlign w:val="center"/>
          </w:tcPr>
          <w:p>
            <w:pPr>
              <w:spacing w:after="120" w:line="480" w:lineRule="exact"/>
              <w:ind w:firstLine="0" w:firstLineChars="0"/>
              <w:jc w:val="left"/>
              <w:outlineLvl w:val="1"/>
              <w:rPr>
                <w:rFonts w:hint="eastAsia"/>
                <w:b/>
                <w:color w:val="auto"/>
                <w:kern w:val="0"/>
                <w:sz w:val="24"/>
                <w:szCs w:val="28"/>
                <w:lang w:bidi="ar"/>
              </w:rPr>
            </w:pPr>
            <w:r>
              <w:rPr>
                <w:rFonts w:hint="eastAsia"/>
                <w:b/>
                <w:color w:val="auto"/>
                <w:kern w:val="0"/>
                <w:sz w:val="24"/>
                <w:szCs w:val="28"/>
                <w:lang w:val="en-US" w:eastAsia="zh-CN" w:bidi="ar"/>
              </w:rPr>
              <w:t>1</w:t>
            </w:r>
            <w:r>
              <w:rPr>
                <w:rFonts w:hint="eastAsia"/>
                <w:b/>
                <w:color w:val="auto"/>
                <w:kern w:val="0"/>
                <w:sz w:val="24"/>
                <w:szCs w:val="28"/>
                <w:lang w:bidi="ar"/>
              </w:rPr>
              <w:t>、营运期水环境影响分析和保护措施</w:t>
            </w:r>
          </w:p>
          <w:p>
            <w:pPr>
              <w:keepNext/>
              <w:keepLines/>
              <w:spacing w:before="10" w:after="10" w:line="480" w:lineRule="exact"/>
              <w:ind w:firstLine="482"/>
              <w:outlineLvl w:val="2"/>
              <w:rPr>
                <w:rFonts w:hint="eastAsia"/>
                <w:b/>
                <w:color w:val="auto"/>
                <w:sz w:val="24"/>
              </w:rPr>
            </w:pPr>
            <w:r>
              <w:rPr>
                <w:rFonts w:hint="eastAsia"/>
                <w:b/>
                <w:color w:val="auto"/>
                <w:sz w:val="24"/>
                <w:lang w:val="en-US" w:eastAsia="zh-CN"/>
              </w:rPr>
              <w:t>1.1</w:t>
            </w:r>
            <w:r>
              <w:rPr>
                <w:b/>
                <w:color w:val="auto"/>
                <w:sz w:val="24"/>
              </w:rPr>
              <w:t>废水</w:t>
            </w:r>
            <w:r>
              <w:rPr>
                <w:rFonts w:hint="eastAsia"/>
                <w:b/>
                <w:color w:val="auto"/>
                <w:sz w:val="24"/>
              </w:rPr>
              <w:t>的产生源强</w:t>
            </w:r>
          </w:p>
          <w:p>
            <w:pPr>
              <w:pStyle w:val="110"/>
              <w:ind w:firstLine="480"/>
              <w:rPr>
                <w:rFonts w:hint="eastAsia"/>
                <w:color w:val="auto"/>
                <w:lang w:val="en-US" w:eastAsia="zh-CN"/>
              </w:rPr>
            </w:pPr>
            <w:r>
              <w:rPr>
                <w:rFonts w:hint="eastAsia"/>
                <w:color w:val="auto"/>
                <w:lang w:val="en-US" w:eastAsia="zh-CN"/>
              </w:rPr>
              <w:t>本项目化验室中所用到的检验材料均为成品试剂盒，无检验废水产生。化验室中检查产生的污染物沾有血液的棉签、棉球、采血针、针筒、量杯等，全部作为医疗废物处理，不外排，交由资质单位处置，无检验废液外排；院区无制剂科，因此无制剂废水产生及排放；诊所内不设洗衣房，无洗衣废水；项目不设食堂，无餐饮废水产生；影像室使用数字影像设备，不涉及显影液、定影液的使用，无洗印废水产生。</w:t>
            </w:r>
          </w:p>
          <w:p>
            <w:pPr>
              <w:pStyle w:val="110"/>
              <w:ind w:firstLine="480"/>
              <w:rPr>
                <w:rFonts w:hint="eastAsia"/>
                <w:color w:val="auto"/>
                <w:vertAlign w:val="baseline"/>
                <w:lang w:val="en-US" w:eastAsia="zh-CN"/>
              </w:rPr>
            </w:pPr>
            <w:r>
              <w:rPr>
                <w:rFonts w:hint="eastAsia"/>
                <w:color w:val="auto"/>
                <w:lang w:eastAsia="zh-CN"/>
              </w:rPr>
              <w:t>项目外排废水主要为宠物门诊废水、手术废水、职工生活污水、顾客废水及地面清洁废水，总排水量为</w:t>
            </w:r>
            <w:r>
              <w:rPr>
                <w:rFonts w:hint="eastAsia"/>
                <w:color w:val="auto"/>
                <w:lang w:val="en-US" w:eastAsia="zh-CN"/>
              </w:rPr>
              <w:t>2.0m</w:t>
            </w:r>
            <w:r>
              <w:rPr>
                <w:rFonts w:hint="eastAsia"/>
                <w:color w:val="auto"/>
                <w:vertAlign w:val="superscript"/>
                <w:lang w:val="en-US" w:eastAsia="zh-CN"/>
              </w:rPr>
              <w:t>3</w:t>
            </w:r>
            <w:r>
              <w:rPr>
                <w:rFonts w:hint="eastAsia"/>
                <w:color w:val="auto"/>
                <w:vertAlign w:val="baseline"/>
                <w:lang w:val="en-US" w:eastAsia="zh-CN"/>
              </w:rPr>
              <w:t>/d，720m</w:t>
            </w:r>
            <w:r>
              <w:rPr>
                <w:rFonts w:hint="eastAsia"/>
                <w:color w:val="auto"/>
                <w:vertAlign w:val="superscript"/>
                <w:lang w:val="en-US" w:eastAsia="zh-CN"/>
              </w:rPr>
              <w:t>3</w:t>
            </w:r>
            <w:r>
              <w:rPr>
                <w:rFonts w:hint="eastAsia"/>
                <w:color w:val="auto"/>
                <w:vertAlign w:val="baseline"/>
                <w:lang w:val="en-US" w:eastAsia="zh-CN"/>
              </w:rPr>
              <w:t>/a。污水中主要污染物为 pH、COD、BOD</w:t>
            </w:r>
            <w:r>
              <w:rPr>
                <w:rFonts w:hint="eastAsia"/>
                <w:color w:val="auto"/>
                <w:vertAlign w:val="subscript"/>
                <w:lang w:val="en-US" w:eastAsia="zh-CN"/>
              </w:rPr>
              <w:t>5</w:t>
            </w:r>
            <w:r>
              <w:rPr>
                <w:rFonts w:hint="eastAsia"/>
                <w:color w:val="auto"/>
                <w:vertAlign w:val="baseline"/>
                <w:lang w:val="en-US" w:eastAsia="zh-CN"/>
              </w:rPr>
              <w:t>、SS，氨氮、粪大肠菌群、总余氯，不涉及其他特征污染因子。结合项目实际情况，本项目污水参照《生活污染源产排污系数手册》，污水水质情况为 CODcr：325mg/L、BOD</w:t>
            </w:r>
            <w:r>
              <w:rPr>
                <w:rFonts w:hint="eastAsia"/>
                <w:color w:val="auto"/>
                <w:vertAlign w:val="subscript"/>
                <w:lang w:val="en-US" w:eastAsia="zh-CN"/>
              </w:rPr>
              <w:t>5</w:t>
            </w:r>
            <w:r>
              <w:rPr>
                <w:rFonts w:hint="eastAsia"/>
                <w:color w:val="auto"/>
                <w:vertAlign w:val="baseline"/>
                <w:lang w:val="en-US" w:eastAsia="zh-CN"/>
              </w:rPr>
              <w:t>：200mg/L、SS：220mg/L、氨氮：37.7mg/L、总磷：4.28mg/L。</w:t>
            </w:r>
          </w:p>
          <w:p>
            <w:pPr>
              <w:pStyle w:val="110"/>
              <w:ind w:firstLine="480"/>
              <w:rPr>
                <w:rStyle w:val="274"/>
                <w:rFonts w:hint="eastAsia"/>
                <w:lang w:val="en-US" w:eastAsia="zh-CN"/>
              </w:rPr>
            </w:pPr>
            <w:r>
              <w:rPr>
                <w:rStyle w:val="274"/>
                <w:rFonts w:hint="eastAsia"/>
                <w:lang w:val="en-US" w:eastAsia="zh-CN"/>
              </w:rPr>
              <w:t>1.2 废水治理措施</w:t>
            </w:r>
          </w:p>
          <w:p>
            <w:pPr>
              <w:pStyle w:val="110"/>
              <w:ind w:firstLine="480"/>
              <w:rPr>
                <w:rFonts w:hint="eastAsia"/>
                <w:color w:val="auto"/>
                <w:vertAlign w:val="baseline"/>
                <w:lang w:val="en-US" w:eastAsia="zh-CN"/>
              </w:rPr>
            </w:pPr>
            <w:r>
              <w:rPr>
                <w:rFonts w:hint="eastAsia"/>
                <w:color w:val="auto"/>
                <w:vertAlign w:val="baseline"/>
                <w:lang w:val="en-US" w:eastAsia="zh-CN"/>
              </w:rPr>
              <w:t>项目医疗废水和生活污水采用分类收集、分质处理。医院设置一个一体化污水处理器，采用“过滤沉淀+氯片消毒”工艺，管控动物诊室、手术室、中央处置室，污水处理能力为2m</w:t>
            </w:r>
            <w:r>
              <w:rPr>
                <w:rFonts w:hint="eastAsia"/>
                <w:color w:val="auto"/>
                <w:vertAlign w:val="superscript"/>
                <w:lang w:val="en-US" w:eastAsia="zh-CN"/>
              </w:rPr>
              <w:t>3</w:t>
            </w:r>
            <w:r>
              <w:rPr>
                <w:rFonts w:hint="eastAsia"/>
                <w:color w:val="auto"/>
                <w:vertAlign w:val="baseline"/>
                <w:lang w:val="en-US" w:eastAsia="zh-CN"/>
              </w:rPr>
              <w:t>/d。1条收集管道连接一楼的动物诊室和中央处置室，另一条管道连接2楼的手术室和术前准备室，废水汇至1楼中央处置室，一体化污水处理器安装于中央处置室水槽下方，废水经一体化污水处理器处理后，汇同生活污水经污水管道直接进入邦泰国际社区小区预处理池，经预处理池处理达到《污水综合排放标准》（GB8978-1996）中规定的三级排放标准后，排入市政污水管网，进入乐山市第一污水处理厂处理达标后排入岷江。</w:t>
            </w:r>
          </w:p>
          <w:p>
            <w:pPr>
              <w:pStyle w:val="110"/>
              <w:ind w:firstLine="482"/>
              <w:rPr>
                <w:b/>
                <w:bCs/>
                <w:color w:val="auto"/>
              </w:rPr>
            </w:pPr>
            <w:r>
              <w:rPr>
                <w:rFonts w:hint="eastAsia"/>
                <w:b/>
                <w:bCs/>
                <w:color w:val="auto"/>
                <w:lang w:val="en-US" w:eastAsia="zh-CN"/>
              </w:rPr>
              <w:t xml:space="preserve">1.3 </w:t>
            </w:r>
            <w:r>
              <w:rPr>
                <w:rFonts w:hint="eastAsia"/>
                <w:b/>
                <w:bCs/>
                <w:color w:val="auto"/>
              </w:rPr>
              <w:t>污水处理措施可行性分析</w:t>
            </w:r>
          </w:p>
          <w:p>
            <w:pPr>
              <w:pStyle w:val="110"/>
              <w:ind w:firstLine="480"/>
              <w:rPr>
                <w:rFonts w:hint="eastAsia"/>
                <w:color w:val="auto"/>
              </w:rPr>
            </w:pPr>
            <w:r>
              <w:rPr>
                <w:rFonts w:hint="eastAsia"/>
                <w:color w:val="auto"/>
              </w:rPr>
              <w:t>项目医疗废水</w:t>
            </w:r>
            <w:r>
              <w:rPr>
                <w:rFonts w:hint="eastAsia"/>
                <w:color w:val="auto"/>
                <w:lang w:eastAsia="zh-CN"/>
              </w:rPr>
              <w:t>目前</w:t>
            </w:r>
            <w:r>
              <w:rPr>
                <w:rFonts w:hint="eastAsia"/>
                <w:color w:val="auto"/>
              </w:rPr>
              <w:t>采用缓释消毒器“</w:t>
            </w:r>
            <w:r>
              <w:rPr>
                <w:rFonts w:hint="eastAsia"/>
                <w:color w:val="auto"/>
                <w:lang w:eastAsia="zh-CN"/>
              </w:rPr>
              <w:t>过滤沉淀</w:t>
            </w:r>
            <w:r>
              <w:rPr>
                <w:rFonts w:hint="eastAsia"/>
                <w:color w:val="auto"/>
              </w:rPr>
              <w:t>+消毒”工艺处理</w:t>
            </w:r>
            <w:r>
              <w:rPr>
                <w:rFonts w:hint="eastAsia"/>
                <w:color w:val="auto"/>
                <w:lang w:eastAsia="zh-CN"/>
              </w:rPr>
              <w:t>后同生活污水经管道进入邦泰国际社区小区预处理池，处理后</w:t>
            </w:r>
            <w:r>
              <w:rPr>
                <w:rFonts w:hint="eastAsia"/>
                <w:color w:val="auto"/>
              </w:rPr>
              <w:t>排入市政污水管网，具体的工艺流程如下：</w:t>
            </w:r>
          </w:p>
          <w:p>
            <w:pPr>
              <w:pStyle w:val="176"/>
              <w:rPr>
                <w:rFonts w:hint="eastAsia"/>
                <w:color w:val="auto"/>
              </w:rPr>
            </w:pPr>
          </w:p>
          <w:p>
            <w:pPr>
              <w:pStyle w:val="176"/>
              <w:rPr>
                <w:rFonts w:hint="eastAsia"/>
                <w:color w:val="auto"/>
              </w:rPr>
            </w:pPr>
            <w:r>
              <w:rPr>
                <w:rFonts w:hint="eastAsia"/>
                <w:color w:val="auto"/>
              </w:rPr>
              <w:pict>
                <v:shape id="Object 127" o:spid="_x0000_s2050" o:spt="75" type="#_x0000_t75" style="position:absolute;left:0pt;margin-left:3.55pt;margin-top:4.75pt;height:114.25pt;width:406.4pt;z-index:251659264;mso-width-relative:page;mso-height-relative:page;" o:ole="t" filled="f" o:preferrelative="t" stroked="f" coordsize="21600,21600">
                  <v:path/>
                  <v:fill on="f" focussize="0,0"/>
                  <v:stroke on="f"/>
                  <v:imagedata r:id="rId24" o:title=""/>
                  <o:lock v:ext="edit" aspectratio="f"/>
                </v:shape>
                <o:OLEObject Type="Embed" ProgID="" ShapeID="Object 127" DrawAspect="Content" ObjectID="_1468075727" r:id="rId23">
                  <o:LockedField>false</o:LockedField>
                </o:OLEObject>
              </w:pict>
            </w:r>
          </w:p>
          <w:p>
            <w:pPr>
              <w:pStyle w:val="110"/>
              <w:ind w:firstLine="480"/>
              <w:rPr>
                <w:rFonts w:hint="eastAsia"/>
                <w:color w:val="auto"/>
              </w:rPr>
            </w:pPr>
          </w:p>
          <w:p>
            <w:pPr>
              <w:pStyle w:val="110"/>
              <w:ind w:firstLine="480"/>
              <w:rPr>
                <w:rFonts w:hint="eastAsia"/>
                <w:color w:val="auto"/>
              </w:rPr>
            </w:pPr>
          </w:p>
          <w:p>
            <w:pPr>
              <w:pStyle w:val="110"/>
              <w:ind w:firstLine="480"/>
              <w:rPr>
                <w:rFonts w:hint="eastAsia"/>
                <w:color w:val="auto"/>
              </w:rPr>
            </w:pPr>
          </w:p>
          <w:p>
            <w:pPr>
              <w:pStyle w:val="110"/>
              <w:ind w:firstLine="480"/>
              <w:rPr>
                <w:rFonts w:hint="eastAsia"/>
                <w:color w:val="auto"/>
              </w:rPr>
            </w:pPr>
          </w:p>
          <w:p>
            <w:pPr>
              <w:pStyle w:val="123"/>
              <w:rPr>
                <w:rFonts w:hint="eastAsia"/>
                <w:color w:val="auto"/>
              </w:rPr>
            </w:pPr>
          </w:p>
          <w:p>
            <w:pPr>
              <w:pStyle w:val="123"/>
              <w:bidi w:val="0"/>
              <w:rPr>
                <w:rFonts w:hint="eastAsia"/>
              </w:rPr>
            </w:pPr>
            <w:r>
              <w:rPr>
                <w:rFonts w:hint="eastAsia"/>
              </w:rPr>
              <w:t>图4-1 废水处理工艺流程图</w:t>
            </w:r>
          </w:p>
          <w:p>
            <w:pPr>
              <w:pStyle w:val="91"/>
              <w:bidi w:val="0"/>
              <w:rPr>
                <w:rFonts w:hint="eastAsia"/>
                <w:color w:val="auto"/>
                <w:lang w:eastAsia="zh-CN"/>
              </w:rPr>
            </w:pPr>
          </w:p>
          <w:p>
            <w:pPr>
              <w:pStyle w:val="210"/>
              <w:bidi w:val="0"/>
              <w:spacing w:line="360" w:lineRule="auto"/>
              <w:rPr>
                <w:rFonts w:hint="eastAsia"/>
                <w:color w:val="auto"/>
                <w:lang w:eastAsia="zh-CN"/>
              </w:rPr>
            </w:pPr>
            <w:r>
              <w:rPr>
                <w:rFonts w:hint="eastAsia"/>
                <w:color w:val="auto"/>
                <w:lang w:eastAsia="zh-CN"/>
              </w:rPr>
              <w:drawing>
                <wp:inline distT="0" distB="0" distL="114300" distR="114300">
                  <wp:extent cx="4203700" cy="2942590"/>
                  <wp:effectExtent l="0" t="0" r="6350" b="10160"/>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25"/>
                          <a:stretch>
                            <a:fillRect/>
                          </a:stretch>
                        </pic:blipFill>
                        <pic:spPr>
                          <a:xfrm>
                            <a:off x="0" y="0"/>
                            <a:ext cx="4203700" cy="2942590"/>
                          </a:xfrm>
                          <a:prstGeom prst="rect">
                            <a:avLst/>
                          </a:prstGeom>
                          <a:noFill/>
                          <a:ln>
                            <a:noFill/>
                          </a:ln>
                        </pic:spPr>
                      </pic:pic>
                    </a:graphicData>
                  </a:graphic>
                </wp:inline>
              </w:drawing>
            </w:r>
          </w:p>
          <w:p>
            <w:pPr>
              <w:pStyle w:val="210"/>
              <w:bidi w:val="0"/>
              <w:rPr>
                <w:rFonts w:hint="default"/>
                <w:color w:val="auto"/>
                <w:lang w:val="en-US" w:eastAsia="zh-CN"/>
              </w:rPr>
            </w:pPr>
            <w:r>
              <w:rPr>
                <w:rFonts w:hint="eastAsia"/>
                <w:color w:val="auto"/>
                <w:lang w:eastAsia="zh-CN"/>
              </w:rPr>
              <w:t>图4-</w:t>
            </w:r>
            <w:r>
              <w:rPr>
                <w:rFonts w:hint="eastAsia"/>
                <w:color w:val="auto"/>
                <w:lang w:val="en-US" w:eastAsia="zh-CN"/>
              </w:rPr>
              <w:t>2</w:t>
            </w:r>
            <w:r>
              <w:rPr>
                <w:rFonts w:hint="eastAsia"/>
                <w:color w:val="auto"/>
                <w:lang w:eastAsia="zh-CN"/>
              </w:rPr>
              <w:t xml:space="preserve"> 污水处理器构造示意图</w:t>
            </w:r>
          </w:p>
          <w:p>
            <w:pPr>
              <w:pStyle w:val="110"/>
              <w:ind w:firstLine="482"/>
              <w:rPr>
                <w:rFonts w:hint="eastAsia"/>
                <w:color w:val="auto"/>
              </w:rPr>
            </w:pPr>
            <w:r>
              <w:rPr>
                <w:rFonts w:hint="eastAsia"/>
                <w:b/>
                <w:bCs/>
                <w:color w:val="auto"/>
              </w:rPr>
              <w:t>处理工艺说明：</w:t>
            </w:r>
            <w:r>
              <w:rPr>
                <w:rFonts w:hint="eastAsia"/>
                <w:color w:val="auto"/>
              </w:rPr>
              <w:t>项目医疗废水进入缓释消毒器中经过滤、沉淀处理后，采用自动缓释延时压力加氯工艺。</w:t>
            </w:r>
            <w:r>
              <w:rPr>
                <w:rFonts w:hint="eastAsia"/>
                <w:color w:val="auto"/>
                <w:lang w:eastAsia="zh-CN"/>
              </w:rPr>
              <w:t>医疗废水处理后</w:t>
            </w:r>
            <w:r>
              <w:rPr>
                <w:rFonts w:hint="eastAsia"/>
                <w:color w:val="auto"/>
              </w:rPr>
              <w:t>同生活污水</w:t>
            </w:r>
            <w:r>
              <w:rPr>
                <w:rFonts w:hint="eastAsia"/>
                <w:color w:val="auto"/>
                <w:lang w:eastAsia="zh-CN"/>
              </w:rPr>
              <w:t>经</w:t>
            </w:r>
            <w:r>
              <w:rPr>
                <w:rFonts w:hint="eastAsia"/>
                <w:color w:val="auto"/>
              </w:rPr>
              <w:t>管道排入</w:t>
            </w:r>
            <w:r>
              <w:rPr>
                <w:rFonts w:hint="eastAsia"/>
                <w:color w:val="auto"/>
                <w:lang w:eastAsia="zh-CN"/>
              </w:rPr>
              <w:t>邦泰国际社区</w:t>
            </w:r>
            <w:r>
              <w:rPr>
                <w:rFonts w:hint="eastAsia"/>
                <w:color w:val="auto"/>
              </w:rPr>
              <w:t xml:space="preserve">小区预处理池，通过小区预处理池处理后排入市政污水管网，最终进入乐山市第一污水处理厂，处理达标后排入岷江。 </w:t>
            </w:r>
          </w:p>
          <w:p>
            <w:pPr>
              <w:pStyle w:val="110"/>
              <w:ind w:firstLine="482"/>
              <w:rPr>
                <w:rFonts w:hint="eastAsia"/>
                <w:b/>
                <w:bCs/>
                <w:color w:val="auto"/>
              </w:rPr>
            </w:pPr>
            <w:r>
              <w:rPr>
                <w:rFonts w:hint="eastAsia"/>
                <w:b/>
                <w:bCs/>
                <w:color w:val="auto"/>
              </w:rPr>
              <w:t>污水处理设备基本情况：</w:t>
            </w:r>
          </w:p>
          <w:p>
            <w:pPr>
              <w:pStyle w:val="110"/>
              <w:numPr>
                <w:ilvl w:val="0"/>
                <w:numId w:val="10"/>
              </w:numPr>
              <w:ind w:firstLine="480"/>
              <w:rPr>
                <w:rFonts w:hint="eastAsia"/>
                <w:i w:val="0"/>
                <w:iCs w:val="0"/>
                <w:color w:val="auto"/>
                <w:u w:val="single"/>
              </w:rPr>
            </w:pPr>
            <w:r>
              <w:rPr>
                <w:rFonts w:hint="eastAsia"/>
                <w:i w:val="0"/>
                <w:iCs w:val="0"/>
                <w:color w:val="auto"/>
                <w:u w:val="single"/>
              </w:rPr>
              <w:t>设备特点：</w:t>
            </w:r>
          </w:p>
          <w:p>
            <w:pPr>
              <w:pStyle w:val="110"/>
              <w:ind w:firstLine="480"/>
              <w:rPr>
                <w:rFonts w:hint="eastAsia"/>
                <w:color w:val="auto"/>
              </w:rPr>
            </w:pPr>
            <w:r>
              <w:rPr>
                <w:rFonts w:hint="eastAsia"/>
                <w:color w:val="auto"/>
              </w:rPr>
              <w:t>①将传统的混凝、沉淀、过滤等净水工艺组合在一个设备内完成，占地少，安装方便。</w:t>
            </w:r>
          </w:p>
          <w:p>
            <w:pPr>
              <w:pStyle w:val="110"/>
              <w:ind w:firstLine="480"/>
              <w:rPr>
                <w:rFonts w:hint="eastAsia"/>
                <w:color w:val="auto"/>
              </w:rPr>
            </w:pPr>
            <w:r>
              <w:rPr>
                <w:rFonts w:hint="eastAsia"/>
                <w:color w:val="auto"/>
              </w:rPr>
              <w:t>②运行自动化、智能化。除了对水泵和加药系统的管理外，设备进水、沉淀、过滤、出水、反冲、排污等均自动进行，不需要人工操作。</w:t>
            </w:r>
          </w:p>
          <w:p>
            <w:pPr>
              <w:pStyle w:val="110"/>
              <w:ind w:firstLine="480"/>
              <w:rPr>
                <w:color w:val="auto"/>
              </w:rPr>
            </w:pPr>
            <w:r>
              <w:rPr>
                <w:rFonts w:hint="eastAsia"/>
                <w:color w:val="auto"/>
              </w:rPr>
              <w:t>③适应性强，出水水质稳定、可靠、水量充足，在源水浊度高达3000mg/L时，出水浊度能稳定在3mg/L以下，达自来水浊度标准。</w:t>
            </w:r>
          </w:p>
          <w:p>
            <w:pPr>
              <w:pStyle w:val="110"/>
              <w:numPr>
                <w:ilvl w:val="0"/>
                <w:numId w:val="10"/>
              </w:numPr>
              <w:ind w:firstLine="480"/>
              <w:rPr>
                <w:color w:val="auto"/>
                <w:u w:val="single"/>
              </w:rPr>
            </w:pPr>
            <w:r>
              <w:rPr>
                <w:rFonts w:hint="eastAsia"/>
                <w:color w:val="auto"/>
                <w:u w:val="single"/>
              </w:rPr>
              <w:t>工作原理：</w:t>
            </w:r>
          </w:p>
          <w:p>
            <w:pPr>
              <w:pStyle w:val="110"/>
              <w:ind w:firstLine="480"/>
              <w:rPr>
                <w:color w:val="auto"/>
              </w:rPr>
            </w:pPr>
            <w:r>
              <w:rPr>
                <w:color w:val="auto"/>
              </w:rPr>
              <w:t>采用溶解法，自动缓释，压力加氯工艺设计，CL固体药剂为主要原料，经水与药剂合理混合缓释所产生的消毒液，投入到所需水池(水井)与水充分接触杀菌消毒。</w:t>
            </w:r>
          </w:p>
          <w:p>
            <w:pPr>
              <w:pStyle w:val="110"/>
              <w:ind w:firstLine="480"/>
              <w:rPr>
                <w:color w:val="auto"/>
              </w:rPr>
            </w:pPr>
            <w:r>
              <w:rPr>
                <w:rFonts w:hint="eastAsia"/>
                <w:color w:val="auto"/>
                <w:lang w:eastAsia="zh-CN"/>
              </w:rPr>
              <w:t>设备</w:t>
            </w:r>
            <w:r>
              <w:rPr>
                <w:color w:val="auto"/>
              </w:rPr>
              <w:t>采用化学反应，自动稀释延时压力加氯工艺，以强氯固体药剂为主要原料，水与药剂合理混合后所产生的消毒杀菌液，投加到水池、水井、管道和污水池与接触达到灭菌的作用。缓释消毒器结构较简单，操作方便，不用专人维护，可以自行控制药剂投入量</w:t>
            </w:r>
            <w:r>
              <w:rPr>
                <w:rFonts w:hint="eastAsia"/>
                <w:color w:val="auto"/>
                <w:lang w:eastAsia="zh-CN"/>
              </w:rPr>
              <w:t>，</w:t>
            </w:r>
            <w:r>
              <w:rPr>
                <w:color w:val="auto"/>
              </w:rPr>
              <w:t xml:space="preserve"> 制作成本和使用成本低，有很好的使用效果。缓释消毒器是这样构成的，它包括箱体，在箱体的两侧分别设有进水口和出水口</w:t>
            </w:r>
            <w:r>
              <w:rPr>
                <w:rFonts w:hint="eastAsia"/>
                <w:color w:val="auto"/>
              </w:rPr>
              <w:t>；</w:t>
            </w:r>
            <w:r>
              <w:rPr>
                <w:color w:val="auto"/>
              </w:rPr>
              <w:t>进水口和出水口之间连接有缓释管</w:t>
            </w:r>
            <w:r>
              <w:rPr>
                <w:rFonts w:hint="eastAsia"/>
                <w:color w:val="auto"/>
                <w:lang w:eastAsia="zh-CN"/>
              </w:rPr>
              <w:t>，</w:t>
            </w:r>
            <w:r>
              <w:rPr>
                <w:color w:val="auto"/>
              </w:rPr>
              <w:t>在缓释管上方设有1个或1个以上的带有密封盖的投药室，在投药室下方的箱体内设有水平隔板。</w:t>
            </w:r>
          </w:p>
          <w:p>
            <w:pPr>
              <w:pStyle w:val="110"/>
              <w:ind w:firstLine="482"/>
              <w:rPr>
                <w:rFonts w:hint="eastAsia"/>
                <w:b w:val="0"/>
                <w:bCs w:val="0"/>
                <w:color w:val="auto"/>
              </w:rPr>
            </w:pPr>
            <w:r>
              <w:rPr>
                <w:rFonts w:hint="eastAsia"/>
                <w:b w:val="0"/>
                <w:bCs w:val="0"/>
                <w:color w:val="auto"/>
              </w:rPr>
              <w:t>本项目为宠物医疗服务项目，</w:t>
            </w:r>
            <w:r>
              <w:rPr>
                <w:rFonts w:hint="eastAsia"/>
                <w:b w:val="0"/>
                <w:bCs w:val="0"/>
                <w:color w:val="auto"/>
                <w:lang w:eastAsia="zh-CN"/>
              </w:rPr>
              <w:t>项目运营期产生的</w:t>
            </w:r>
            <w:r>
              <w:rPr>
                <w:rFonts w:hint="eastAsia"/>
                <w:b w:val="0"/>
                <w:bCs w:val="0"/>
                <w:color w:val="auto"/>
              </w:rPr>
              <w:t>医疗废水</w:t>
            </w:r>
            <w:r>
              <w:rPr>
                <w:rFonts w:hint="eastAsia"/>
                <w:b w:val="0"/>
                <w:bCs w:val="0"/>
                <w:color w:val="auto"/>
                <w:lang w:eastAsia="zh-CN"/>
              </w:rPr>
              <w:t>处理工艺及</w:t>
            </w:r>
            <w:r>
              <w:rPr>
                <w:rFonts w:hint="eastAsia"/>
                <w:b w:val="0"/>
                <w:bCs w:val="0"/>
                <w:color w:val="auto"/>
              </w:rPr>
              <w:t>排放标准参照执行《医疗机构水污染物排放标准》(GB18466－2005)</w:t>
            </w:r>
            <w:r>
              <w:rPr>
                <w:rFonts w:hint="eastAsia"/>
                <w:b w:val="0"/>
                <w:bCs w:val="0"/>
                <w:color w:val="auto"/>
                <w:lang w:eastAsia="zh-CN"/>
              </w:rPr>
              <w:t>。</w:t>
            </w:r>
            <w:r>
              <w:rPr>
                <w:rFonts w:hint="eastAsia"/>
                <w:b/>
                <w:bCs/>
                <w:color w:val="auto"/>
              </w:rPr>
              <w:t>根据《医疗机构水污染物排放标准》（ GB18466-2005）中</w:t>
            </w:r>
            <w:r>
              <w:rPr>
                <w:rFonts w:hint="eastAsia"/>
                <w:b/>
                <w:bCs/>
                <w:color w:val="auto"/>
                <w:lang w:eastAsia="zh-CN"/>
              </w:rPr>
              <w:t>“</w:t>
            </w:r>
            <w:r>
              <w:rPr>
                <w:rFonts w:hint="eastAsia"/>
                <w:b/>
                <w:bCs/>
                <w:color w:val="auto"/>
              </w:rPr>
              <w:t xml:space="preserve"> 4.1.3 规定县或级以下或 20张床位以下的综合医疗机构和其他所有医疗机构污水经消毒处理后方可排放</w:t>
            </w:r>
            <w:r>
              <w:rPr>
                <w:rFonts w:hint="eastAsia"/>
                <w:b/>
                <w:bCs/>
                <w:color w:val="auto"/>
                <w:lang w:eastAsia="zh-CN"/>
              </w:rPr>
              <w:t>”</w:t>
            </w:r>
            <w:r>
              <w:rPr>
                <w:rFonts w:hint="eastAsia"/>
                <w:b/>
                <w:bCs/>
                <w:color w:val="auto"/>
              </w:rPr>
              <w:t>的要求</w:t>
            </w:r>
            <w:r>
              <w:rPr>
                <w:rFonts w:hint="eastAsia"/>
                <w:b/>
                <w:bCs/>
                <w:color w:val="auto"/>
                <w:lang w:eastAsia="zh-CN"/>
              </w:rPr>
              <w:t>，并结合目前的宠物医疗行业废水处理工程经验，本项目现采用一体化污水处理设备（过滤沉淀+氯片消毒）对污水进行净化处理</w:t>
            </w:r>
            <w:r>
              <w:rPr>
                <w:rFonts w:hint="eastAsia"/>
                <w:b/>
                <w:bCs/>
                <w:color w:val="auto"/>
              </w:rPr>
              <w:t>，</w:t>
            </w:r>
            <w:r>
              <w:rPr>
                <w:rFonts w:hint="eastAsia"/>
                <w:b/>
                <w:bCs/>
                <w:color w:val="auto"/>
                <w:lang w:eastAsia="zh-CN"/>
              </w:rPr>
              <w:t>满足《医疗机构水污染物排放标准》的相关要求</w:t>
            </w:r>
            <w:r>
              <w:rPr>
                <w:rFonts w:hint="eastAsia"/>
                <w:b w:val="0"/>
                <w:bCs w:val="0"/>
                <w:color w:val="auto"/>
                <w:lang w:eastAsia="zh-CN"/>
              </w:rPr>
              <w:t>。</w:t>
            </w:r>
            <w:r>
              <w:rPr>
                <w:rFonts w:hint="eastAsia"/>
                <w:b w:val="0"/>
                <w:bCs w:val="0"/>
                <w:color w:val="auto"/>
              </w:rPr>
              <w:t>污水处理设施设计处理能力为</w:t>
            </w:r>
            <w:r>
              <w:rPr>
                <w:rFonts w:hint="eastAsia"/>
                <w:b w:val="0"/>
                <w:bCs w:val="0"/>
                <w:color w:val="auto"/>
                <w:lang w:val="en-US" w:eastAsia="zh-CN"/>
              </w:rPr>
              <w:t>2</w:t>
            </w:r>
            <w:r>
              <w:rPr>
                <w:rFonts w:hint="eastAsia"/>
                <w:b w:val="0"/>
                <w:bCs w:val="0"/>
                <w:color w:val="auto"/>
              </w:rPr>
              <w:t>m</w:t>
            </w:r>
            <w:r>
              <w:rPr>
                <w:rFonts w:hint="eastAsia"/>
                <w:b w:val="0"/>
                <w:bCs w:val="0"/>
                <w:color w:val="auto"/>
                <w:vertAlign w:val="superscript"/>
              </w:rPr>
              <w:t>3</w:t>
            </w:r>
            <w:r>
              <w:rPr>
                <w:rFonts w:hint="eastAsia"/>
                <w:b w:val="0"/>
                <w:bCs w:val="0"/>
                <w:color w:val="auto"/>
              </w:rPr>
              <w:t xml:space="preserve">/d，设备采用自动缓释延时压力加氯工艺，项目目前采用的医疗废水处理工艺能满足《医院污水处理工程技术规范》（HJ2029—2013）废水处理工艺要求，项目现有的医疗废水治理措施可行，无需整改。 </w:t>
            </w:r>
          </w:p>
          <w:p>
            <w:pPr>
              <w:pStyle w:val="6"/>
              <w:ind w:firstLine="482"/>
              <w:rPr>
                <w:rFonts w:hint="eastAsia"/>
                <w:color w:val="auto"/>
              </w:rPr>
            </w:pPr>
            <w:r>
              <w:rPr>
                <w:rFonts w:hint="eastAsia"/>
                <w:color w:val="auto"/>
                <w:lang w:val="en-US" w:eastAsia="zh-CN"/>
              </w:rPr>
              <w:t xml:space="preserve">1.4 </w:t>
            </w:r>
            <w:r>
              <w:rPr>
                <w:rFonts w:hint="eastAsia"/>
                <w:color w:val="auto"/>
              </w:rPr>
              <w:t>项目依托</w:t>
            </w:r>
            <w:r>
              <w:rPr>
                <w:rFonts w:hint="eastAsia"/>
                <w:color w:val="auto"/>
                <w:lang w:eastAsia="zh-CN"/>
              </w:rPr>
              <w:t>邦泰国际社区</w:t>
            </w:r>
            <w:r>
              <w:rPr>
                <w:rFonts w:hint="eastAsia"/>
                <w:color w:val="auto"/>
              </w:rPr>
              <w:t>预处理池可行性分析</w:t>
            </w:r>
          </w:p>
          <w:p>
            <w:pPr>
              <w:pStyle w:val="110"/>
              <w:ind w:firstLine="480"/>
              <w:rPr>
                <w:rFonts w:hint="eastAsia"/>
                <w:color w:val="auto"/>
              </w:rPr>
            </w:pPr>
            <w:r>
              <w:rPr>
                <w:rFonts w:hint="eastAsia"/>
                <w:color w:val="auto"/>
              </w:rPr>
              <w:t>本项目废水最终依托</w:t>
            </w:r>
            <w:r>
              <w:rPr>
                <w:rFonts w:hint="eastAsia"/>
                <w:color w:val="auto"/>
                <w:lang w:eastAsia="zh-CN"/>
              </w:rPr>
              <w:t>邦泰国际社区</w:t>
            </w:r>
            <w:r>
              <w:rPr>
                <w:rFonts w:hint="eastAsia"/>
                <w:color w:val="auto"/>
              </w:rPr>
              <w:t>小区已建的公用预处理池进行处理，由该小区物管单位管理维护，在修建时已对所有区域废水排放情况进行了分析，可以容纳整个区域所产生的污水。且本项目废水为间歇排放，排放量较小，</w:t>
            </w:r>
            <w:r>
              <w:rPr>
                <w:rFonts w:hint="eastAsia"/>
                <w:color w:val="auto"/>
                <w:lang w:eastAsia="zh-CN"/>
              </w:rPr>
              <w:t>邦泰国际社区</w:t>
            </w:r>
            <w:r>
              <w:rPr>
                <w:rFonts w:hint="eastAsia"/>
                <w:color w:val="auto"/>
              </w:rPr>
              <w:t>小区污水预处理池在设计规模时已将小区配套商铺废水排放量纳入其容积范围内，预处理池的处理能力能够满足本项目纳入后的使用要求，因此本环评不再对其做具体分析。</w:t>
            </w:r>
          </w:p>
          <w:p>
            <w:pPr>
              <w:pStyle w:val="110"/>
              <w:ind w:left="480" w:leftChars="200" w:firstLine="0" w:firstLineChars="0"/>
              <w:rPr>
                <w:b/>
                <w:bCs/>
                <w:color w:val="auto"/>
              </w:rPr>
            </w:pPr>
            <w:r>
              <w:rPr>
                <w:rFonts w:hint="eastAsia"/>
                <w:b/>
                <w:bCs/>
                <w:color w:val="auto"/>
                <w:lang w:val="en-US" w:eastAsia="zh-CN"/>
              </w:rPr>
              <w:t xml:space="preserve">1.5 </w:t>
            </w:r>
            <w:r>
              <w:rPr>
                <w:rFonts w:hint="eastAsia"/>
                <w:b/>
                <w:bCs/>
                <w:color w:val="auto"/>
              </w:rPr>
              <w:t>本项目废水末端排入乐山市第一污水处理厂依托可行性分析</w:t>
            </w:r>
          </w:p>
          <w:p>
            <w:pPr>
              <w:pStyle w:val="110"/>
              <w:ind w:firstLine="480"/>
              <w:rPr>
                <w:rFonts w:hint="eastAsia"/>
                <w:color w:val="auto"/>
              </w:rPr>
            </w:pPr>
            <w:r>
              <w:rPr>
                <w:rFonts w:hint="eastAsia"/>
                <w:color w:val="auto"/>
              </w:rPr>
              <w:t>本项目位于</w:t>
            </w:r>
            <w:r>
              <w:rPr>
                <w:rFonts w:hint="eastAsia"/>
                <w:color w:val="auto"/>
                <w:lang w:eastAsia="zh-CN"/>
              </w:rPr>
              <w:t>乐山市市中区凤洲路2028号2楼2号</w:t>
            </w:r>
            <w:r>
              <w:rPr>
                <w:rFonts w:hint="eastAsia"/>
                <w:color w:val="auto"/>
              </w:rPr>
              <w:t>，项目位置属于城市建成区，项目所在</w:t>
            </w:r>
            <w:r>
              <w:rPr>
                <w:rFonts w:hint="eastAsia"/>
                <w:color w:val="auto"/>
                <w:lang w:eastAsia="zh-CN"/>
              </w:rPr>
              <w:t>区域排水属岷江排水分区范围，街道</w:t>
            </w:r>
            <w:r>
              <w:rPr>
                <w:rFonts w:hint="eastAsia"/>
                <w:color w:val="auto"/>
              </w:rPr>
              <w:t>市政污水管网已与乐山市第一水污水处理厂主干管接通</w:t>
            </w:r>
            <w:r>
              <w:rPr>
                <w:rFonts w:hint="eastAsia"/>
                <w:color w:val="auto"/>
                <w:lang w:eastAsia="zh-CN"/>
              </w:rPr>
              <w:t>，具备排水条件，排水主干管沿鹤翔路敷设至沿龙游路至竹公溪排水管网，整体排放流向为由北向南</w:t>
            </w:r>
            <w:r>
              <w:rPr>
                <w:rFonts w:hint="eastAsia"/>
                <w:color w:val="auto"/>
              </w:rPr>
              <w:t>。乐山市第一污水处理厂位于乐山市市中区九峰乡永安村，设计处理能力为15万吨/日，服务范围为乐山市老城区、肖坝片区、竹公溪部分片区、城北、城西以及全部岷江东岸片区。污水处理厂采用“A</w:t>
            </w:r>
            <w:r>
              <w:rPr>
                <w:rFonts w:hint="eastAsia"/>
                <w:color w:val="auto"/>
                <w:vertAlign w:val="superscript"/>
              </w:rPr>
              <w:t>2</w:t>
            </w:r>
            <w:r>
              <w:rPr>
                <w:rFonts w:hint="eastAsia"/>
                <w:color w:val="auto"/>
              </w:rPr>
              <w:t>/O工艺+二沉池+高效沉淀池+反硝化滤池”工艺，出水水质满足《四川省岷江、沱江流域水污染物排放标准》（DB51/2311-2016）中“城镇污水处理厂”标准。</w:t>
            </w:r>
          </w:p>
          <w:p>
            <w:pPr>
              <w:pStyle w:val="110"/>
              <w:ind w:firstLine="480"/>
              <w:rPr>
                <w:rFonts w:hint="eastAsia"/>
                <w:color w:val="auto"/>
              </w:rPr>
            </w:pPr>
            <w:r>
              <w:rPr>
                <w:rFonts w:hint="eastAsia"/>
                <w:color w:val="auto"/>
              </w:rPr>
              <w:t>本项目依托市政污水处理厂的可行性主要从</w:t>
            </w:r>
            <w:r>
              <w:rPr>
                <w:rFonts w:hint="eastAsia"/>
                <w:b/>
                <w:bCs/>
                <w:color w:val="auto"/>
              </w:rPr>
              <w:t>进水水质和水量</w:t>
            </w:r>
            <w:r>
              <w:rPr>
                <w:rFonts w:hint="eastAsia"/>
                <w:color w:val="auto"/>
              </w:rPr>
              <w:t>来分析。</w:t>
            </w:r>
          </w:p>
          <w:p>
            <w:pPr>
              <w:pStyle w:val="110"/>
              <w:ind w:firstLine="482"/>
              <w:rPr>
                <w:rFonts w:hint="eastAsia"/>
                <w:b/>
                <w:bCs/>
                <w:color w:val="auto"/>
                <w:u w:val="single"/>
              </w:rPr>
            </w:pPr>
            <w:r>
              <w:rPr>
                <w:rFonts w:hint="eastAsia"/>
                <w:b/>
                <w:bCs/>
                <w:color w:val="auto"/>
                <w:u w:val="single"/>
              </w:rPr>
              <w:t>进水水质：</w:t>
            </w:r>
          </w:p>
          <w:p>
            <w:pPr>
              <w:pStyle w:val="110"/>
              <w:ind w:firstLine="480"/>
              <w:rPr>
                <w:rFonts w:hint="eastAsia"/>
                <w:color w:val="auto"/>
                <w:lang w:eastAsia="zh-CN"/>
              </w:rPr>
            </w:pPr>
            <w:r>
              <w:rPr>
                <w:rFonts w:hint="eastAsia"/>
                <w:color w:val="auto"/>
                <w:lang w:eastAsia="zh-CN"/>
              </w:rPr>
              <w:t>根据《乐山市第一污水处理厂提标扩容改造项目环境影响报告表》表明，污水处理厂设计进水水质情况如下：</w:t>
            </w:r>
          </w:p>
          <w:p>
            <w:pPr>
              <w:pStyle w:val="123"/>
              <w:bidi w:val="0"/>
              <w:rPr>
                <w:rFonts w:hint="eastAsia"/>
                <w:lang w:val="en-US" w:eastAsia="zh-CN"/>
              </w:rPr>
            </w:pPr>
            <w:r>
              <w:rPr>
                <w:rFonts w:hint="eastAsia"/>
                <w:lang w:eastAsia="zh-CN"/>
              </w:rPr>
              <w:t>表</w:t>
            </w:r>
            <w:r>
              <w:rPr>
                <w:rFonts w:hint="eastAsia"/>
                <w:lang w:val="en-US" w:eastAsia="zh-CN"/>
              </w:rPr>
              <w:t>4-1 乐山市第一污水处理厂设计进水水质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188"/>
              <w:gridCol w:w="1188"/>
              <w:gridCol w:w="1188"/>
              <w:gridCol w:w="1188"/>
              <w:gridCol w:w="1188"/>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top"/>
                </w:tcPr>
                <w:p>
                  <w:pPr>
                    <w:pStyle w:val="176"/>
                    <w:bidi w:val="0"/>
                    <w:rPr>
                      <w:rFonts w:hint="default"/>
                      <w:vertAlign w:val="baseline"/>
                      <w:lang w:val="en-US" w:eastAsia="zh-CN"/>
                    </w:rPr>
                  </w:pPr>
                  <w:r>
                    <w:rPr>
                      <w:rFonts w:hint="eastAsia"/>
                      <w:vertAlign w:val="baseline"/>
                      <w:lang w:val="en-US" w:eastAsia="zh-CN"/>
                    </w:rPr>
                    <w:t>项目</w:t>
                  </w:r>
                </w:p>
              </w:tc>
              <w:tc>
                <w:tcPr>
                  <w:tcW w:w="1188" w:type="dxa"/>
                  <w:noWrap w:val="0"/>
                  <w:vAlign w:val="top"/>
                </w:tcPr>
                <w:p>
                  <w:pPr>
                    <w:pStyle w:val="176"/>
                    <w:bidi w:val="0"/>
                    <w:rPr>
                      <w:rFonts w:hint="default"/>
                      <w:vertAlign w:val="baseline"/>
                      <w:lang w:val="en-US" w:eastAsia="zh-CN"/>
                    </w:rPr>
                  </w:pPr>
                  <w:r>
                    <w:rPr>
                      <w:rFonts w:hint="eastAsia"/>
                      <w:vertAlign w:val="baseline"/>
                      <w:lang w:val="en-US" w:eastAsia="zh-CN"/>
                    </w:rPr>
                    <w:t>CODcr</w:t>
                  </w:r>
                </w:p>
              </w:tc>
              <w:tc>
                <w:tcPr>
                  <w:tcW w:w="1188" w:type="dxa"/>
                  <w:noWrap w:val="0"/>
                  <w:vAlign w:val="top"/>
                </w:tcPr>
                <w:p>
                  <w:pPr>
                    <w:pStyle w:val="176"/>
                    <w:bidi w:val="0"/>
                    <w:rPr>
                      <w:rFonts w:hint="default"/>
                      <w:vertAlign w:val="subscript"/>
                      <w:lang w:val="en-US" w:eastAsia="zh-CN"/>
                    </w:rPr>
                  </w:pPr>
                  <w:r>
                    <w:rPr>
                      <w:rFonts w:hint="eastAsia"/>
                      <w:vertAlign w:val="baseline"/>
                      <w:lang w:val="en-US" w:eastAsia="zh-CN"/>
                    </w:rPr>
                    <w:t>BOD</w:t>
                  </w:r>
                  <w:r>
                    <w:rPr>
                      <w:rFonts w:hint="eastAsia"/>
                      <w:vertAlign w:val="subscript"/>
                      <w:lang w:val="en-US" w:eastAsia="zh-CN"/>
                    </w:rPr>
                    <w:t>5</w:t>
                  </w:r>
                </w:p>
              </w:tc>
              <w:tc>
                <w:tcPr>
                  <w:tcW w:w="1188" w:type="dxa"/>
                  <w:noWrap w:val="0"/>
                  <w:vAlign w:val="top"/>
                </w:tcPr>
                <w:p>
                  <w:pPr>
                    <w:pStyle w:val="176"/>
                    <w:bidi w:val="0"/>
                    <w:rPr>
                      <w:rFonts w:hint="default"/>
                      <w:vertAlign w:val="baseline"/>
                      <w:lang w:val="en-US" w:eastAsia="zh-CN"/>
                    </w:rPr>
                  </w:pPr>
                  <w:r>
                    <w:rPr>
                      <w:rFonts w:hint="eastAsia"/>
                      <w:vertAlign w:val="baseline"/>
                      <w:lang w:val="en-US" w:eastAsia="zh-CN"/>
                    </w:rPr>
                    <w:t>SS</w:t>
                  </w:r>
                </w:p>
              </w:tc>
              <w:tc>
                <w:tcPr>
                  <w:tcW w:w="1188" w:type="dxa"/>
                  <w:noWrap w:val="0"/>
                  <w:vAlign w:val="top"/>
                </w:tcPr>
                <w:p>
                  <w:pPr>
                    <w:pStyle w:val="176"/>
                    <w:bidi w:val="0"/>
                    <w:rPr>
                      <w:rFonts w:hint="default"/>
                      <w:vertAlign w:val="baseline"/>
                      <w:lang w:val="en-US" w:eastAsia="zh-CN"/>
                    </w:rPr>
                  </w:pPr>
                  <w:r>
                    <w:rPr>
                      <w:rFonts w:hint="eastAsia"/>
                      <w:vertAlign w:val="baseline"/>
                      <w:lang w:val="en-US" w:eastAsia="zh-CN"/>
                    </w:rPr>
                    <w:t>TN</w:t>
                  </w:r>
                </w:p>
              </w:tc>
              <w:tc>
                <w:tcPr>
                  <w:tcW w:w="1188" w:type="dxa"/>
                  <w:noWrap w:val="0"/>
                  <w:vAlign w:val="top"/>
                </w:tcPr>
                <w:p>
                  <w:pPr>
                    <w:pStyle w:val="176"/>
                    <w:bidi w:val="0"/>
                    <w:rPr>
                      <w:rFonts w:hint="default"/>
                      <w:vertAlign w:val="baseline"/>
                      <w:lang w:val="en-US" w:eastAsia="zh-CN"/>
                    </w:rPr>
                  </w:pPr>
                  <w:r>
                    <w:rPr>
                      <w:rFonts w:hint="eastAsia"/>
                      <w:vertAlign w:val="baseline"/>
                      <w:lang w:val="en-US" w:eastAsia="zh-CN"/>
                    </w:rPr>
                    <w:t>NH</w:t>
                  </w:r>
                  <w:r>
                    <w:rPr>
                      <w:rFonts w:hint="eastAsia"/>
                      <w:vertAlign w:val="subscript"/>
                      <w:lang w:val="en-US" w:eastAsia="zh-CN"/>
                    </w:rPr>
                    <w:t>3</w:t>
                  </w:r>
                  <w:r>
                    <w:rPr>
                      <w:rFonts w:hint="eastAsia"/>
                      <w:vertAlign w:val="baseline"/>
                      <w:lang w:val="en-US" w:eastAsia="zh-CN"/>
                    </w:rPr>
                    <w:t>-N</w:t>
                  </w:r>
                </w:p>
              </w:tc>
              <w:tc>
                <w:tcPr>
                  <w:tcW w:w="1188" w:type="dxa"/>
                  <w:noWrap w:val="0"/>
                  <w:vAlign w:val="top"/>
                </w:tcPr>
                <w:p>
                  <w:pPr>
                    <w:pStyle w:val="176"/>
                    <w:bidi w:val="0"/>
                    <w:rPr>
                      <w:rFonts w:hint="default"/>
                      <w:vertAlign w:val="baseline"/>
                      <w:lang w:val="en-US" w:eastAsia="zh-CN"/>
                    </w:rPr>
                  </w:pPr>
                  <w:r>
                    <w:rPr>
                      <w:rFonts w:hint="eastAsia"/>
                      <w:vertAlign w:val="baseline"/>
                      <w:lang w:val="en-US" w:eastAsia="zh-CN"/>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top"/>
                </w:tcPr>
                <w:p>
                  <w:pPr>
                    <w:pStyle w:val="176"/>
                    <w:bidi w:val="0"/>
                    <w:rPr>
                      <w:rFonts w:hint="default"/>
                      <w:vertAlign w:val="baseline"/>
                      <w:lang w:val="en-US" w:eastAsia="zh-CN"/>
                    </w:rPr>
                  </w:pPr>
                  <w:r>
                    <w:rPr>
                      <w:rFonts w:hint="eastAsia"/>
                      <w:vertAlign w:val="baseline"/>
                      <w:lang w:val="en-US" w:eastAsia="zh-CN"/>
                    </w:rPr>
                    <w:t>浓度</w:t>
                  </w:r>
                </w:p>
              </w:tc>
              <w:tc>
                <w:tcPr>
                  <w:tcW w:w="1188" w:type="dxa"/>
                  <w:noWrap w:val="0"/>
                  <w:vAlign w:val="top"/>
                </w:tcPr>
                <w:p>
                  <w:pPr>
                    <w:pStyle w:val="176"/>
                    <w:bidi w:val="0"/>
                    <w:rPr>
                      <w:rFonts w:hint="default"/>
                      <w:vertAlign w:val="baseline"/>
                      <w:lang w:val="en-US" w:eastAsia="zh-CN"/>
                    </w:rPr>
                  </w:pPr>
                  <w:r>
                    <w:rPr>
                      <w:rFonts w:hint="eastAsia"/>
                      <w:vertAlign w:val="baseline"/>
                      <w:lang w:val="en-US" w:eastAsia="zh-CN"/>
                    </w:rPr>
                    <w:t>300</w:t>
                  </w:r>
                </w:p>
              </w:tc>
              <w:tc>
                <w:tcPr>
                  <w:tcW w:w="1188" w:type="dxa"/>
                  <w:noWrap w:val="0"/>
                  <w:vAlign w:val="top"/>
                </w:tcPr>
                <w:p>
                  <w:pPr>
                    <w:pStyle w:val="176"/>
                    <w:bidi w:val="0"/>
                    <w:rPr>
                      <w:rFonts w:hint="default"/>
                      <w:vertAlign w:val="baseline"/>
                      <w:lang w:val="en-US" w:eastAsia="zh-CN"/>
                    </w:rPr>
                  </w:pPr>
                  <w:r>
                    <w:rPr>
                      <w:rFonts w:hint="eastAsia"/>
                      <w:vertAlign w:val="baseline"/>
                      <w:lang w:val="en-US" w:eastAsia="zh-CN"/>
                    </w:rPr>
                    <w:t>150</w:t>
                  </w:r>
                </w:p>
              </w:tc>
              <w:tc>
                <w:tcPr>
                  <w:tcW w:w="1188" w:type="dxa"/>
                  <w:noWrap w:val="0"/>
                  <w:vAlign w:val="top"/>
                </w:tcPr>
                <w:p>
                  <w:pPr>
                    <w:pStyle w:val="176"/>
                    <w:bidi w:val="0"/>
                    <w:rPr>
                      <w:rFonts w:hint="default"/>
                      <w:vertAlign w:val="baseline"/>
                      <w:lang w:val="en-US" w:eastAsia="zh-CN"/>
                    </w:rPr>
                  </w:pPr>
                  <w:r>
                    <w:rPr>
                      <w:rFonts w:hint="eastAsia"/>
                      <w:vertAlign w:val="baseline"/>
                      <w:lang w:val="en-US" w:eastAsia="zh-CN"/>
                    </w:rPr>
                    <w:t>200</w:t>
                  </w:r>
                </w:p>
              </w:tc>
              <w:tc>
                <w:tcPr>
                  <w:tcW w:w="1188" w:type="dxa"/>
                  <w:noWrap w:val="0"/>
                  <w:vAlign w:val="top"/>
                </w:tcPr>
                <w:p>
                  <w:pPr>
                    <w:pStyle w:val="176"/>
                    <w:bidi w:val="0"/>
                    <w:rPr>
                      <w:rFonts w:hint="default"/>
                      <w:vertAlign w:val="baseline"/>
                      <w:lang w:val="en-US" w:eastAsia="zh-CN"/>
                    </w:rPr>
                  </w:pPr>
                  <w:r>
                    <w:rPr>
                      <w:rFonts w:hint="eastAsia"/>
                      <w:vertAlign w:val="baseline"/>
                      <w:lang w:val="en-US" w:eastAsia="zh-CN"/>
                    </w:rPr>
                    <w:t>40</w:t>
                  </w:r>
                </w:p>
              </w:tc>
              <w:tc>
                <w:tcPr>
                  <w:tcW w:w="1188" w:type="dxa"/>
                  <w:noWrap w:val="0"/>
                  <w:vAlign w:val="top"/>
                </w:tcPr>
                <w:p>
                  <w:pPr>
                    <w:pStyle w:val="176"/>
                    <w:bidi w:val="0"/>
                    <w:rPr>
                      <w:rFonts w:hint="default"/>
                      <w:vertAlign w:val="baseline"/>
                      <w:lang w:val="en-US" w:eastAsia="zh-CN"/>
                    </w:rPr>
                  </w:pPr>
                  <w:r>
                    <w:rPr>
                      <w:rFonts w:hint="eastAsia"/>
                      <w:vertAlign w:val="baseline"/>
                      <w:lang w:val="en-US" w:eastAsia="zh-CN"/>
                    </w:rPr>
                    <w:t>35</w:t>
                  </w:r>
                </w:p>
              </w:tc>
              <w:tc>
                <w:tcPr>
                  <w:tcW w:w="1188" w:type="dxa"/>
                  <w:noWrap w:val="0"/>
                  <w:vAlign w:val="top"/>
                </w:tcPr>
                <w:p>
                  <w:pPr>
                    <w:pStyle w:val="176"/>
                    <w:bidi w:val="0"/>
                    <w:rPr>
                      <w:rFonts w:hint="default"/>
                      <w:vertAlign w:val="baseline"/>
                      <w:lang w:val="en-US" w:eastAsia="zh-CN"/>
                    </w:rPr>
                  </w:pPr>
                  <w:r>
                    <w:rPr>
                      <w:rFonts w:hint="eastAsia"/>
                      <w:vertAlign w:val="baseline"/>
                      <w:lang w:val="en-US" w:eastAsia="zh-CN"/>
                    </w:rPr>
                    <w:t>4.5</w:t>
                  </w:r>
                </w:p>
              </w:tc>
            </w:tr>
          </w:tbl>
          <w:p>
            <w:pPr>
              <w:pStyle w:val="110"/>
              <w:ind w:firstLine="480"/>
              <w:rPr>
                <w:rFonts w:hint="eastAsia"/>
                <w:color w:val="auto"/>
              </w:rPr>
            </w:pPr>
            <w:r>
              <w:rPr>
                <w:rFonts w:hint="eastAsia"/>
                <w:color w:val="auto"/>
                <w:lang w:eastAsia="zh-CN"/>
              </w:rPr>
              <w:t>本项目</w:t>
            </w:r>
            <w:r>
              <w:rPr>
                <w:rFonts w:hint="eastAsia"/>
                <w:color w:val="auto"/>
              </w:rPr>
              <w:t>医疗废水经医院一体化污水处理设备处理达到《医疗机构水污染物排放标准》(GB18466-2005)表2中的预处理标准后同生活污水一起依托</w:t>
            </w:r>
            <w:r>
              <w:rPr>
                <w:rFonts w:hint="eastAsia"/>
                <w:color w:val="auto"/>
                <w:lang w:eastAsia="zh-CN"/>
              </w:rPr>
              <w:t>邦泰国际社区</w:t>
            </w:r>
            <w:r>
              <w:rPr>
                <w:rFonts w:hint="eastAsia"/>
                <w:color w:val="auto"/>
              </w:rPr>
              <w:t>小区的预处理池处理达到《污水综合排放标准》（GB 8978-1996）表4中三级标准限值后排入市政污水管网</w:t>
            </w:r>
            <w:r>
              <w:rPr>
                <w:rFonts w:hint="eastAsia"/>
                <w:color w:val="auto"/>
                <w:lang w:eastAsia="zh-CN"/>
              </w:rPr>
              <w:t>，项目</w:t>
            </w:r>
            <w:r>
              <w:rPr>
                <w:rFonts w:hint="eastAsia"/>
                <w:color w:val="auto"/>
                <w:lang w:val="en-US" w:eastAsia="zh-CN"/>
              </w:rPr>
              <w:t>污水中主要污染物为 pH、COD、BOD</w:t>
            </w:r>
            <w:r>
              <w:rPr>
                <w:rFonts w:hint="eastAsia"/>
                <w:color w:val="auto"/>
                <w:vertAlign w:val="subscript"/>
                <w:lang w:val="en-US" w:eastAsia="zh-CN"/>
              </w:rPr>
              <w:t>5</w:t>
            </w:r>
            <w:r>
              <w:rPr>
                <w:rFonts w:hint="eastAsia"/>
                <w:color w:val="auto"/>
                <w:lang w:val="en-US" w:eastAsia="zh-CN"/>
              </w:rPr>
              <w:t>、SS，氨氮、粪大肠菌群、总余氯，不涉及其他特征污染因子</w:t>
            </w:r>
            <w:r>
              <w:rPr>
                <w:rFonts w:hint="eastAsia"/>
                <w:color w:val="auto"/>
              </w:rPr>
              <w:t>。因此，本项目出水水质满足乐山市第一污水处理厂的进水水质标准要求。</w:t>
            </w:r>
          </w:p>
          <w:p>
            <w:pPr>
              <w:pStyle w:val="110"/>
              <w:ind w:firstLine="482"/>
              <w:rPr>
                <w:rFonts w:hint="eastAsia"/>
                <w:b/>
                <w:bCs/>
                <w:color w:val="auto"/>
                <w:u w:val="single"/>
              </w:rPr>
            </w:pPr>
            <w:r>
              <w:rPr>
                <w:rFonts w:hint="eastAsia"/>
                <w:b/>
                <w:bCs/>
                <w:color w:val="auto"/>
                <w:u w:val="single"/>
              </w:rPr>
              <w:t>处理水量：</w:t>
            </w:r>
          </w:p>
          <w:p>
            <w:pPr>
              <w:pStyle w:val="110"/>
              <w:ind w:firstLine="480"/>
              <w:rPr>
                <w:rFonts w:hint="eastAsia"/>
                <w:color w:val="auto"/>
              </w:rPr>
            </w:pPr>
            <w:r>
              <w:rPr>
                <w:rFonts w:hint="eastAsia"/>
                <w:color w:val="auto"/>
              </w:rPr>
              <w:t>项目所依托的乐山市第一污水处理厂设计处理规模为15万吨/d，根据前文分析，本项目污水排放总量为1.12m</w:t>
            </w:r>
            <w:r>
              <w:rPr>
                <w:rFonts w:hint="eastAsia"/>
                <w:color w:val="auto"/>
                <w:vertAlign w:val="superscript"/>
              </w:rPr>
              <w:t>3</w:t>
            </w:r>
            <w:r>
              <w:rPr>
                <w:rFonts w:hint="eastAsia"/>
                <w:color w:val="auto"/>
              </w:rPr>
              <w:t>/d，占总处理规模的</w:t>
            </w:r>
            <w:r>
              <w:rPr>
                <w:rFonts w:hint="eastAsia"/>
                <w:color w:val="auto"/>
                <w:lang w:val="en-US" w:eastAsia="zh-CN"/>
              </w:rPr>
              <w:t>0.000013%</w:t>
            </w:r>
            <w:r>
              <w:rPr>
                <w:rFonts w:hint="eastAsia"/>
                <w:color w:val="auto"/>
              </w:rPr>
              <w:t>，占比极小，满足乐山市第一污水处理厂设计处理规模的水量标准。</w:t>
            </w:r>
          </w:p>
          <w:p>
            <w:pPr>
              <w:pStyle w:val="110"/>
              <w:ind w:firstLine="482"/>
              <w:rPr>
                <w:rFonts w:hint="eastAsia"/>
                <w:b/>
                <w:bCs/>
                <w:color w:val="auto"/>
              </w:rPr>
            </w:pPr>
            <w:r>
              <w:rPr>
                <w:rFonts w:hint="eastAsia"/>
                <w:b/>
                <w:bCs/>
                <w:color w:val="auto"/>
              </w:rPr>
              <w:t>综上所述，项目废水接市政污水管网进入乐山市第一污水处理厂处理是可行的。</w:t>
            </w:r>
          </w:p>
          <w:p>
            <w:pPr>
              <w:pStyle w:val="110"/>
              <w:ind w:firstLine="482"/>
              <w:rPr>
                <w:b/>
                <w:bCs/>
                <w:color w:val="auto"/>
              </w:rPr>
            </w:pPr>
            <w:r>
              <w:rPr>
                <w:rFonts w:hint="eastAsia"/>
                <w:b/>
                <w:bCs/>
                <w:color w:val="auto"/>
                <w:lang w:val="en-US" w:eastAsia="zh-CN"/>
              </w:rPr>
              <w:t xml:space="preserve">1.6 </w:t>
            </w:r>
            <w:r>
              <w:rPr>
                <w:rFonts w:hint="eastAsia"/>
                <w:b/>
                <w:bCs/>
                <w:color w:val="auto"/>
              </w:rPr>
              <w:t>建议及要求</w:t>
            </w:r>
          </w:p>
          <w:p>
            <w:pPr>
              <w:pStyle w:val="110"/>
              <w:ind w:firstLine="480"/>
              <w:rPr>
                <w:rFonts w:hint="eastAsia"/>
                <w:color w:val="auto"/>
              </w:rPr>
            </w:pPr>
            <w:r>
              <w:rPr>
                <w:rFonts w:hint="eastAsia"/>
                <w:color w:val="auto"/>
              </w:rPr>
              <w:t xml:space="preserve">环评要求： </w:t>
            </w:r>
          </w:p>
          <w:p>
            <w:pPr>
              <w:pStyle w:val="110"/>
              <w:ind w:firstLine="480"/>
              <w:rPr>
                <w:rFonts w:hint="eastAsia"/>
                <w:color w:val="auto"/>
              </w:rPr>
            </w:pPr>
            <w:r>
              <w:rPr>
                <w:rFonts w:hint="eastAsia"/>
                <w:color w:val="auto"/>
              </w:rPr>
              <w:t>（1）需严格做好项目内排水管网、承插连接，做好防渗处理，严格做好污水收集系统。</w:t>
            </w:r>
          </w:p>
          <w:p>
            <w:pPr>
              <w:pStyle w:val="110"/>
              <w:ind w:firstLine="480"/>
              <w:rPr>
                <w:rFonts w:hint="eastAsia"/>
                <w:color w:val="auto"/>
              </w:rPr>
            </w:pPr>
            <w:r>
              <w:rPr>
                <w:rFonts w:hint="eastAsia"/>
                <w:color w:val="auto"/>
              </w:rPr>
              <w:t>（2）消毒工艺要使氯片与废水充分混合接触，以杀灭出水中可能残存的病毒和细菌，确保出水满足有关细菌学指标要求。</w:t>
            </w:r>
          </w:p>
          <w:p>
            <w:pPr>
              <w:pStyle w:val="110"/>
              <w:ind w:firstLine="480"/>
              <w:rPr>
                <w:rFonts w:hint="eastAsia"/>
                <w:color w:val="auto"/>
              </w:rPr>
            </w:pPr>
            <w:r>
              <w:rPr>
                <w:rFonts w:hint="eastAsia"/>
                <w:color w:val="auto"/>
              </w:rPr>
              <w:t>（3）污水处理过程中处理设备的操作、设备的维修等环节都易对环境及人体产生危害，因此应对污水处理设施对环境产生的影响及工作人员的劳动保护予以重视。</w:t>
            </w:r>
          </w:p>
          <w:p>
            <w:pPr>
              <w:keepNext/>
              <w:keepLines/>
              <w:spacing w:before="10" w:after="10" w:line="480" w:lineRule="exact"/>
              <w:ind w:firstLine="482"/>
              <w:outlineLvl w:val="2"/>
              <w:rPr>
                <w:rFonts w:hint="eastAsia"/>
                <w:b/>
                <w:color w:val="auto"/>
                <w:sz w:val="24"/>
              </w:rPr>
            </w:pPr>
            <w:r>
              <w:rPr>
                <w:rFonts w:hint="eastAsia"/>
                <w:b/>
                <w:color w:val="auto"/>
                <w:sz w:val="24"/>
                <w:lang w:val="en-US" w:eastAsia="zh-CN"/>
              </w:rPr>
              <w:t xml:space="preserve">1.7 </w:t>
            </w:r>
            <w:r>
              <w:rPr>
                <w:rFonts w:hint="eastAsia"/>
                <w:b/>
                <w:color w:val="auto"/>
                <w:sz w:val="24"/>
              </w:rPr>
              <w:t>本项目废水排放情况汇总</w:t>
            </w:r>
          </w:p>
          <w:p>
            <w:pPr>
              <w:spacing w:line="480" w:lineRule="exact"/>
              <w:ind w:firstLine="480"/>
              <w:rPr>
                <w:rFonts w:cs="宋体"/>
                <w:color w:val="auto"/>
                <w:sz w:val="24"/>
              </w:rPr>
            </w:pPr>
            <w:r>
              <w:rPr>
                <w:rFonts w:hint="eastAsia" w:cs="宋体"/>
                <w:color w:val="auto"/>
                <w:sz w:val="24"/>
              </w:rPr>
              <w:t>本项目废水排放总量为</w:t>
            </w:r>
            <w:r>
              <w:rPr>
                <w:rFonts w:hint="eastAsia" w:cs="宋体"/>
                <w:color w:val="auto"/>
                <w:sz w:val="24"/>
                <w:lang w:val="en-US" w:eastAsia="zh-CN"/>
              </w:rPr>
              <w:t>2.0</w:t>
            </w:r>
            <w:r>
              <w:rPr>
                <w:rFonts w:hint="eastAsia" w:cs="宋体"/>
                <w:color w:val="auto"/>
                <w:sz w:val="24"/>
              </w:rPr>
              <w:t>m</w:t>
            </w:r>
            <w:r>
              <w:rPr>
                <w:rFonts w:hint="eastAsia" w:cs="宋体"/>
                <w:color w:val="auto"/>
                <w:sz w:val="24"/>
                <w:vertAlign w:val="superscript"/>
              </w:rPr>
              <w:t>3</w:t>
            </w:r>
            <w:r>
              <w:rPr>
                <w:rFonts w:hint="eastAsia" w:cs="宋体"/>
                <w:color w:val="auto"/>
                <w:sz w:val="24"/>
              </w:rPr>
              <w:t>/d（</w:t>
            </w:r>
            <w:r>
              <w:rPr>
                <w:rFonts w:hint="eastAsia" w:cs="宋体"/>
                <w:color w:val="auto"/>
                <w:sz w:val="24"/>
                <w:lang w:eastAsia="zh-CN"/>
              </w:rPr>
              <w:t>720</w:t>
            </w:r>
            <w:r>
              <w:rPr>
                <w:rFonts w:hint="eastAsia" w:cs="宋体"/>
                <w:color w:val="auto"/>
                <w:sz w:val="24"/>
              </w:rPr>
              <w:t>m</w:t>
            </w:r>
            <w:r>
              <w:rPr>
                <w:rFonts w:hint="eastAsia" w:cs="宋体"/>
                <w:color w:val="auto"/>
                <w:sz w:val="24"/>
                <w:vertAlign w:val="superscript"/>
              </w:rPr>
              <w:t>3</w:t>
            </w:r>
            <w:r>
              <w:rPr>
                <w:rFonts w:hint="eastAsia" w:cs="宋体"/>
                <w:color w:val="auto"/>
                <w:sz w:val="24"/>
              </w:rPr>
              <w:t>/a），其中生活污水0.</w:t>
            </w:r>
            <w:r>
              <w:rPr>
                <w:rFonts w:hint="eastAsia" w:cs="宋体"/>
                <w:color w:val="auto"/>
                <w:sz w:val="24"/>
                <w:lang w:val="en-US" w:eastAsia="zh-CN"/>
              </w:rPr>
              <w:t>72</w:t>
            </w:r>
            <w:r>
              <w:rPr>
                <w:rFonts w:hint="eastAsia" w:cs="宋体"/>
                <w:color w:val="auto"/>
                <w:sz w:val="24"/>
              </w:rPr>
              <w:t>m</w:t>
            </w:r>
            <w:r>
              <w:rPr>
                <w:rFonts w:hint="eastAsia" w:cs="宋体"/>
                <w:color w:val="auto"/>
                <w:sz w:val="24"/>
                <w:vertAlign w:val="superscript"/>
              </w:rPr>
              <w:t>3</w:t>
            </w:r>
            <w:r>
              <w:rPr>
                <w:rFonts w:hint="eastAsia" w:cs="宋体"/>
                <w:color w:val="auto"/>
                <w:sz w:val="24"/>
              </w:rPr>
              <w:t>/d直接通过管道进入</w:t>
            </w:r>
            <w:r>
              <w:rPr>
                <w:rFonts w:hint="eastAsia" w:cs="宋体"/>
                <w:color w:val="auto"/>
                <w:sz w:val="24"/>
                <w:lang w:eastAsia="zh-CN"/>
              </w:rPr>
              <w:t>邦泰国际社区</w:t>
            </w:r>
            <w:r>
              <w:rPr>
                <w:rFonts w:hint="eastAsia" w:cs="宋体"/>
                <w:color w:val="auto"/>
                <w:sz w:val="24"/>
              </w:rPr>
              <w:t>小区预处理池，医疗废水</w:t>
            </w:r>
            <w:r>
              <w:rPr>
                <w:rFonts w:hint="eastAsia" w:cs="宋体"/>
                <w:color w:val="auto"/>
                <w:sz w:val="24"/>
                <w:lang w:val="en-US" w:eastAsia="zh-CN"/>
              </w:rPr>
              <w:t>1.28</w:t>
            </w:r>
            <w:r>
              <w:rPr>
                <w:rFonts w:hint="eastAsia" w:cs="宋体"/>
                <w:color w:val="auto"/>
                <w:sz w:val="24"/>
              </w:rPr>
              <w:t>m</w:t>
            </w:r>
            <w:r>
              <w:rPr>
                <w:rFonts w:hint="eastAsia" w:cs="宋体"/>
                <w:color w:val="auto"/>
                <w:sz w:val="24"/>
                <w:vertAlign w:val="superscript"/>
              </w:rPr>
              <w:t>3</w:t>
            </w:r>
            <w:r>
              <w:rPr>
                <w:rFonts w:hint="eastAsia" w:cs="宋体"/>
                <w:color w:val="auto"/>
                <w:sz w:val="24"/>
              </w:rPr>
              <w:t>/d经医院内一体化污水处理器处理后进入</w:t>
            </w:r>
            <w:r>
              <w:rPr>
                <w:rFonts w:hint="eastAsia" w:cs="宋体"/>
                <w:color w:val="auto"/>
                <w:sz w:val="24"/>
                <w:lang w:eastAsia="zh-CN"/>
              </w:rPr>
              <w:t>邦泰国际社区</w:t>
            </w:r>
            <w:r>
              <w:rPr>
                <w:rFonts w:hint="eastAsia" w:cs="宋体"/>
                <w:color w:val="auto"/>
                <w:sz w:val="24"/>
              </w:rPr>
              <w:t>小区预处理池，处理后进入市政污水管网，排入末端乐山市第一污水处理厂，经污水处理厂处理后排入岷江。</w:t>
            </w:r>
          </w:p>
          <w:p>
            <w:pPr>
              <w:spacing w:line="480" w:lineRule="exact"/>
              <w:ind w:left="480" w:leftChars="200" w:firstLine="0" w:firstLineChars="0"/>
              <w:rPr>
                <w:rFonts w:hint="eastAsia" w:cs="宋体"/>
                <w:color w:val="auto"/>
                <w:sz w:val="24"/>
              </w:rPr>
            </w:pPr>
            <w:r>
              <w:rPr>
                <w:rFonts w:hint="eastAsia" w:cs="宋体"/>
                <w:color w:val="auto"/>
                <w:sz w:val="24"/>
              </w:rPr>
              <w:t>本项目废水各污染物排放情况见表 4-1。</w:t>
            </w:r>
          </w:p>
          <w:p>
            <w:pPr>
              <w:spacing w:line="480" w:lineRule="exact"/>
              <w:ind w:firstLine="422"/>
              <w:jc w:val="center"/>
              <w:rPr>
                <w:rFonts w:hint="eastAsia"/>
                <w:b/>
                <w:color w:val="auto"/>
              </w:rPr>
            </w:pPr>
            <w:r>
              <w:rPr>
                <w:rFonts w:hint="eastAsia"/>
                <w:b/>
                <w:color w:val="auto"/>
              </w:rPr>
              <w:t xml:space="preserve">表4-1 </w:t>
            </w:r>
            <w:r>
              <w:rPr>
                <w:rFonts w:hint="eastAsia"/>
                <w:b/>
                <w:color w:val="auto"/>
                <w:lang w:eastAsia="zh-CN"/>
              </w:rPr>
              <w:t>项目综合废水污染物产生及排放统计表</w:t>
            </w:r>
            <w:r>
              <w:rPr>
                <w:rFonts w:hint="eastAsia"/>
                <w:b/>
                <w:color w:val="auto"/>
              </w:rPr>
              <w:t xml:space="preserve"> </w:t>
            </w:r>
          </w:p>
          <w:tbl>
            <w:tblPr>
              <w:tblStyle w:val="40"/>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1127"/>
              <w:gridCol w:w="1101"/>
              <w:gridCol w:w="785"/>
              <w:gridCol w:w="728"/>
              <w:gridCol w:w="728"/>
              <w:gridCol w:w="786"/>
              <w:gridCol w:w="842"/>
              <w:gridCol w:w="899"/>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3" w:type="pct"/>
                  <w:gridSpan w:val="2"/>
                  <w:noWrap w:val="0"/>
                  <w:vAlign w:val="center"/>
                </w:tcPr>
                <w:p>
                  <w:pPr>
                    <w:pStyle w:val="111"/>
                    <w:bidi w:val="0"/>
                    <w:rPr>
                      <w:rFonts w:hint="eastAsia" w:eastAsia="宋体"/>
                      <w:b/>
                      <w:bCs/>
                      <w:color w:val="auto"/>
                      <w:lang w:eastAsia="zh-CN"/>
                    </w:rPr>
                  </w:pPr>
                  <w:r>
                    <w:rPr>
                      <w:rFonts w:hint="eastAsia"/>
                      <w:b/>
                      <w:bCs/>
                      <w:color w:val="auto"/>
                      <w:lang w:eastAsia="zh-CN"/>
                    </w:rPr>
                    <w:t>废水性质</w:t>
                  </w:r>
                </w:p>
              </w:tc>
              <w:tc>
                <w:tcPr>
                  <w:tcW w:w="559" w:type="pct"/>
                  <w:noWrap w:val="0"/>
                  <w:vAlign w:val="center"/>
                </w:tcPr>
                <w:p>
                  <w:pPr>
                    <w:pStyle w:val="111"/>
                    <w:bidi w:val="0"/>
                    <w:rPr>
                      <w:rFonts w:hint="default"/>
                      <w:b/>
                      <w:bCs/>
                      <w:color w:val="auto"/>
                      <w:lang w:val="en-US" w:eastAsia="zh-CN"/>
                    </w:rPr>
                  </w:pPr>
                  <w:r>
                    <w:rPr>
                      <w:rFonts w:hint="eastAsia"/>
                      <w:b/>
                      <w:bCs/>
                      <w:color w:val="auto"/>
                      <w:lang w:eastAsia="zh-CN"/>
                    </w:rPr>
                    <w:t>排水量（</w:t>
                  </w:r>
                  <w:r>
                    <w:rPr>
                      <w:rFonts w:hint="eastAsia"/>
                      <w:b/>
                      <w:bCs/>
                      <w:color w:val="auto"/>
                      <w:lang w:val="en-US" w:eastAsia="zh-CN"/>
                    </w:rPr>
                    <w:t>m</w:t>
                  </w:r>
                  <w:r>
                    <w:rPr>
                      <w:rFonts w:hint="eastAsia"/>
                      <w:b/>
                      <w:bCs/>
                      <w:color w:val="auto"/>
                      <w:vertAlign w:val="superscript"/>
                      <w:lang w:val="en-US" w:eastAsia="zh-CN"/>
                    </w:rPr>
                    <w:t>3</w:t>
                  </w:r>
                  <w:r>
                    <w:rPr>
                      <w:rFonts w:hint="eastAsia"/>
                      <w:b/>
                      <w:bCs/>
                      <w:color w:val="auto"/>
                      <w:lang w:val="en-US" w:eastAsia="zh-CN"/>
                    </w:rPr>
                    <w:t>/a）</w:t>
                  </w:r>
                </w:p>
              </w:tc>
              <w:tc>
                <w:tcPr>
                  <w:tcW w:w="465" w:type="pct"/>
                  <w:noWrap w:val="0"/>
                  <w:vAlign w:val="center"/>
                </w:tcPr>
                <w:p>
                  <w:pPr>
                    <w:pStyle w:val="111"/>
                    <w:bidi w:val="0"/>
                    <w:rPr>
                      <w:rFonts w:hint="default"/>
                      <w:b/>
                      <w:bCs/>
                      <w:color w:val="auto"/>
                      <w:lang w:val="en-US" w:eastAsia="zh-CN"/>
                    </w:rPr>
                  </w:pPr>
                  <w:r>
                    <w:rPr>
                      <w:rFonts w:hint="eastAsia"/>
                      <w:b/>
                      <w:bCs/>
                      <w:color w:val="auto"/>
                      <w:lang w:val="en-US" w:eastAsia="zh-CN"/>
                    </w:rPr>
                    <w:t>COD</w:t>
                  </w:r>
                </w:p>
              </w:tc>
              <w:tc>
                <w:tcPr>
                  <w:tcW w:w="507" w:type="pct"/>
                  <w:noWrap w:val="0"/>
                  <w:vAlign w:val="center"/>
                </w:tcPr>
                <w:p>
                  <w:pPr>
                    <w:pStyle w:val="111"/>
                    <w:bidi w:val="0"/>
                    <w:rPr>
                      <w:rFonts w:hint="default"/>
                      <w:b/>
                      <w:bCs/>
                      <w:color w:val="auto"/>
                      <w:lang w:val="en-US" w:eastAsia="zh-CN"/>
                    </w:rPr>
                  </w:pPr>
                  <w:r>
                    <w:rPr>
                      <w:rFonts w:hint="eastAsia"/>
                      <w:b/>
                      <w:bCs/>
                      <w:color w:val="auto"/>
                      <w:lang w:val="en-US" w:eastAsia="zh-CN"/>
                    </w:rPr>
                    <w:t>BOD</w:t>
                  </w:r>
                  <w:r>
                    <w:rPr>
                      <w:rFonts w:hint="eastAsia"/>
                      <w:b/>
                      <w:bCs/>
                      <w:color w:val="auto"/>
                      <w:vertAlign w:val="subscript"/>
                      <w:lang w:val="en-US" w:eastAsia="zh-CN"/>
                    </w:rPr>
                    <w:t>5</w:t>
                  </w:r>
                </w:p>
              </w:tc>
              <w:tc>
                <w:tcPr>
                  <w:tcW w:w="463" w:type="pct"/>
                  <w:noWrap w:val="0"/>
                  <w:vAlign w:val="center"/>
                </w:tcPr>
                <w:p>
                  <w:pPr>
                    <w:pStyle w:val="111"/>
                    <w:bidi w:val="0"/>
                    <w:rPr>
                      <w:rFonts w:hint="default"/>
                      <w:b/>
                      <w:bCs/>
                      <w:color w:val="auto"/>
                      <w:lang w:val="en-US" w:eastAsia="zh-CN"/>
                    </w:rPr>
                  </w:pPr>
                  <w:r>
                    <w:rPr>
                      <w:rFonts w:hint="eastAsia"/>
                      <w:b/>
                      <w:bCs/>
                      <w:color w:val="auto"/>
                      <w:lang w:val="en-US" w:eastAsia="zh-CN"/>
                    </w:rPr>
                    <w:t>SS</w:t>
                  </w:r>
                </w:p>
              </w:tc>
              <w:tc>
                <w:tcPr>
                  <w:tcW w:w="433" w:type="pct"/>
                  <w:noWrap w:val="0"/>
                  <w:vAlign w:val="center"/>
                </w:tcPr>
                <w:p>
                  <w:pPr>
                    <w:pStyle w:val="111"/>
                    <w:bidi w:val="0"/>
                    <w:rPr>
                      <w:rFonts w:hint="default"/>
                      <w:b/>
                      <w:bCs/>
                      <w:color w:val="auto"/>
                      <w:lang w:val="en-US" w:eastAsia="zh-CN"/>
                    </w:rPr>
                  </w:pPr>
                  <w:r>
                    <w:rPr>
                      <w:rFonts w:hint="eastAsia"/>
                      <w:b/>
                      <w:bCs/>
                      <w:color w:val="auto"/>
                      <w:lang w:val="en-US" w:eastAsia="zh-CN"/>
                    </w:rPr>
                    <w:t>氨氮</w:t>
                  </w:r>
                </w:p>
              </w:tc>
              <w:tc>
                <w:tcPr>
                  <w:tcW w:w="417" w:type="pct"/>
                  <w:noWrap w:val="0"/>
                  <w:vAlign w:val="center"/>
                </w:tcPr>
                <w:p>
                  <w:pPr>
                    <w:pStyle w:val="111"/>
                    <w:bidi w:val="0"/>
                    <w:rPr>
                      <w:rFonts w:hint="default"/>
                      <w:b/>
                      <w:bCs/>
                      <w:color w:val="auto"/>
                      <w:lang w:val="en-US" w:eastAsia="zh-CN"/>
                    </w:rPr>
                  </w:pPr>
                  <w:r>
                    <w:rPr>
                      <w:rFonts w:hint="eastAsia"/>
                      <w:b/>
                      <w:bCs/>
                      <w:color w:val="auto"/>
                      <w:lang w:val="en-US" w:eastAsia="zh-CN"/>
                    </w:rPr>
                    <w:t>TP</w:t>
                  </w:r>
                </w:p>
              </w:tc>
              <w:tc>
                <w:tcPr>
                  <w:tcW w:w="654" w:type="pct"/>
                  <w:noWrap w:val="0"/>
                  <w:vAlign w:val="center"/>
                </w:tcPr>
                <w:p>
                  <w:pPr>
                    <w:pStyle w:val="111"/>
                    <w:bidi w:val="0"/>
                    <w:rPr>
                      <w:rFonts w:hint="default"/>
                      <w:b/>
                      <w:bCs/>
                      <w:color w:val="auto"/>
                      <w:lang w:val="en-US" w:eastAsia="zh-CN"/>
                    </w:rPr>
                  </w:pPr>
                  <w:r>
                    <w:rPr>
                      <w:rFonts w:hint="eastAsia"/>
                      <w:b/>
                      <w:bCs/>
                      <w:color w:val="auto"/>
                      <w:lang w:eastAsia="zh-CN"/>
                    </w:rPr>
                    <w:t>粪大肠菌群</w:t>
                  </w:r>
                  <w:r>
                    <w:rPr>
                      <w:rFonts w:hint="eastAsia"/>
                      <w:b/>
                      <w:bCs/>
                      <w:color w:val="auto"/>
                      <w:lang w:val="en-US" w:eastAsia="zh-CN"/>
                    </w:rPr>
                    <w:t>(</w:t>
                  </w:r>
                  <w:r>
                    <w:rPr>
                      <w:rFonts w:hint="eastAsia"/>
                      <w:b/>
                      <w:bCs/>
                      <w:color w:val="auto"/>
                      <w:lang w:eastAsia="zh-CN"/>
                    </w:rPr>
                    <w:t>个</w:t>
                  </w:r>
                  <w:r>
                    <w:rPr>
                      <w:rFonts w:hint="eastAsia"/>
                      <w:b/>
                      <w:bCs/>
                      <w:color w:val="auto"/>
                      <w:lang w:val="en-US" w:eastAsia="zh-CN"/>
                    </w:rPr>
                    <w:t>/L)</w:t>
                  </w:r>
                </w:p>
              </w:tc>
              <w:tc>
                <w:tcPr>
                  <w:tcW w:w="425" w:type="pct"/>
                  <w:noWrap w:val="0"/>
                  <w:vAlign w:val="center"/>
                </w:tcPr>
                <w:p>
                  <w:pPr>
                    <w:pStyle w:val="111"/>
                    <w:bidi w:val="0"/>
                    <w:rPr>
                      <w:rFonts w:hint="default"/>
                      <w:b/>
                      <w:bCs/>
                      <w:color w:val="auto"/>
                      <w:lang w:val="en-US" w:eastAsia="zh-CN"/>
                    </w:rPr>
                  </w:pPr>
                  <w:r>
                    <w:rPr>
                      <w:rFonts w:hint="eastAsia"/>
                      <w:b/>
                      <w:bCs/>
                      <w:color w:val="auto"/>
                      <w:lang w:val="en-US" w:eastAsia="zh-CN"/>
                    </w:rPr>
                    <w:t>总余氯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65" w:type="pct"/>
                  <w:vMerge w:val="restart"/>
                  <w:noWrap w:val="0"/>
                  <w:vAlign w:val="center"/>
                </w:tcPr>
                <w:p>
                  <w:pPr>
                    <w:pStyle w:val="111"/>
                    <w:bidi w:val="0"/>
                    <w:rPr>
                      <w:rFonts w:hint="eastAsia" w:eastAsia="宋体"/>
                      <w:color w:val="auto"/>
                      <w:lang w:eastAsia="zh-CN"/>
                    </w:rPr>
                  </w:pPr>
                  <w:r>
                    <w:rPr>
                      <w:rFonts w:hint="eastAsia"/>
                      <w:color w:val="auto"/>
                      <w:lang w:eastAsia="zh-CN"/>
                    </w:rPr>
                    <w:t>处理前</w:t>
                  </w:r>
                </w:p>
              </w:tc>
              <w:tc>
                <w:tcPr>
                  <w:tcW w:w="608" w:type="pct"/>
                  <w:noWrap w:val="0"/>
                  <w:vAlign w:val="center"/>
                </w:tcPr>
                <w:p>
                  <w:pPr>
                    <w:pStyle w:val="111"/>
                    <w:bidi w:val="0"/>
                    <w:rPr>
                      <w:rFonts w:hint="default" w:eastAsia="宋体"/>
                      <w:color w:val="auto"/>
                      <w:lang w:val="en-US" w:eastAsia="zh-CN"/>
                    </w:rPr>
                  </w:pPr>
                  <w:r>
                    <w:rPr>
                      <w:rFonts w:hint="eastAsia"/>
                      <w:color w:val="auto"/>
                      <w:lang w:eastAsia="zh-CN"/>
                    </w:rPr>
                    <w:t>浓度（</w:t>
                  </w:r>
                  <w:r>
                    <w:rPr>
                      <w:rFonts w:hint="eastAsia"/>
                      <w:color w:val="auto"/>
                      <w:lang w:val="en-US" w:eastAsia="zh-CN"/>
                    </w:rPr>
                    <w:t>mg/L）</w:t>
                  </w:r>
                </w:p>
              </w:tc>
              <w:tc>
                <w:tcPr>
                  <w:tcW w:w="559" w:type="pct"/>
                  <w:vMerge w:val="restart"/>
                  <w:noWrap w:val="0"/>
                  <w:vAlign w:val="center"/>
                </w:tcPr>
                <w:p>
                  <w:pPr>
                    <w:pStyle w:val="111"/>
                    <w:bidi w:val="0"/>
                    <w:rPr>
                      <w:rFonts w:hint="default"/>
                      <w:color w:val="auto"/>
                      <w:lang w:val="en-US" w:eastAsia="zh-CN"/>
                    </w:rPr>
                  </w:pPr>
                  <w:r>
                    <w:rPr>
                      <w:rFonts w:hint="eastAsia"/>
                      <w:color w:val="auto"/>
                      <w:lang w:val="en-US" w:eastAsia="zh-CN"/>
                    </w:rPr>
                    <w:t>720</w:t>
                  </w:r>
                </w:p>
              </w:tc>
              <w:tc>
                <w:tcPr>
                  <w:tcW w:w="465" w:type="pct"/>
                  <w:noWrap w:val="0"/>
                  <w:vAlign w:val="center"/>
                </w:tcPr>
                <w:p>
                  <w:pPr>
                    <w:pStyle w:val="111"/>
                    <w:bidi w:val="0"/>
                    <w:rPr>
                      <w:rFonts w:hint="default" w:eastAsia="宋体"/>
                      <w:color w:val="auto"/>
                      <w:lang w:val="en-US" w:eastAsia="zh-CN"/>
                    </w:rPr>
                  </w:pPr>
                  <w:r>
                    <w:rPr>
                      <w:rFonts w:hint="eastAsia"/>
                      <w:color w:val="auto"/>
                      <w:lang w:val="en-US" w:eastAsia="zh-CN"/>
                    </w:rPr>
                    <w:t>500</w:t>
                  </w:r>
                </w:p>
              </w:tc>
              <w:tc>
                <w:tcPr>
                  <w:tcW w:w="507" w:type="pct"/>
                  <w:noWrap w:val="0"/>
                  <w:vAlign w:val="center"/>
                </w:tcPr>
                <w:p>
                  <w:pPr>
                    <w:pStyle w:val="111"/>
                    <w:bidi w:val="0"/>
                    <w:rPr>
                      <w:rFonts w:hint="default" w:eastAsia="宋体"/>
                      <w:color w:val="auto"/>
                      <w:lang w:val="en-US" w:eastAsia="zh-CN"/>
                    </w:rPr>
                  </w:pPr>
                  <w:r>
                    <w:rPr>
                      <w:rFonts w:hint="eastAsia"/>
                      <w:color w:val="auto"/>
                      <w:lang w:val="en-US" w:eastAsia="zh-CN"/>
                    </w:rPr>
                    <w:t>250</w:t>
                  </w:r>
                </w:p>
              </w:tc>
              <w:tc>
                <w:tcPr>
                  <w:tcW w:w="463" w:type="pct"/>
                  <w:noWrap w:val="0"/>
                  <w:vAlign w:val="center"/>
                </w:tcPr>
                <w:p>
                  <w:pPr>
                    <w:pStyle w:val="111"/>
                    <w:bidi w:val="0"/>
                    <w:rPr>
                      <w:rFonts w:hint="default" w:eastAsia="宋体"/>
                      <w:color w:val="auto"/>
                      <w:lang w:val="en-US" w:eastAsia="zh-CN"/>
                    </w:rPr>
                  </w:pPr>
                  <w:r>
                    <w:rPr>
                      <w:rFonts w:hint="eastAsia"/>
                      <w:color w:val="auto"/>
                      <w:lang w:val="en-US" w:eastAsia="zh-CN"/>
                    </w:rPr>
                    <w:t>400</w:t>
                  </w:r>
                </w:p>
              </w:tc>
              <w:tc>
                <w:tcPr>
                  <w:tcW w:w="433" w:type="pct"/>
                  <w:noWrap w:val="0"/>
                  <w:vAlign w:val="center"/>
                </w:tcPr>
                <w:p>
                  <w:pPr>
                    <w:pStyle w:val="111"/>
                    <w:bidi w:val="0"/>
                    <w:rPr>
                      <w:rFonts w:hint="default" w:eastAsia="宋体"/>
                      <w:color w:val="auto"/>
                      <w:lang w:val="en-US" w:eastAsia="zh-CN"/>
                    </w:rPr>
                  </w:pPr>
                  <w:r>
                    <w:rPr>
                      <w:rFonts w:hint="eastAsia"/>
                      <w:color w:val="auto"/>
                      <w:lang w:val="en-US" w:eastAsia="zh-CN"/>
                    </w:rPr>
                    <w:t>45</w:t>
                  </w:r>
                </w:p>
              </w:tc>
              <w:tc>
                <w:tcPr>
                  <w:tcW w:w="417" w:type="pct"/>
                  <w:noWrap w:val="0"/>
                  <w:vAlign w:val="center"/>
                </w:tcPr>
                <w:p>
                  <w:pPr>
                    <w:pStyle w:val="111"/>
                    <w:bidi w:val="0"/>
                    <w:rPr>
                      <w:rFonts w:hint="eastAsia" w:eastAsia="宋体"/>
                      <w:color w:val="auto"/>
                      <w:lang w:val="en-US" w:eastAsia="zh-CN"/>
                    </w:rPr>
                  </w:pPr>
                  <w:r>
                    <w:rPr>
                      <w:rFonts w:hint="eastAsia"/>
                      <w:color w:val="auto"/>
                      <w:lang w:val="en-US" w:eastAsia="zh-CN"/>
                    </w:rPr>
                    <w:t>8</w:t>
                  </w:r>
                </w:p>
              </w:tc>
              <w:tc>
                <w:tcPr>
                  <w:tcW w:w="654" w:type="pct"/>
                  <w:noWrap w:val="0"/>
                  <w:vAlign w:val="center"/>
                </w:tcPr>
                <w:p>
                  <w:pPr>
                    <w:pStyle w:val="111"/>
                    <w:bidi w:val="0"/>
                    <w:rPr>
                      <w:rFonts w:hint="default" w:eastAsia="宋体"/>
                      <w:color w:val="auto"/>
                      <w:vertAlign w:val="subscript"/>
                      <w:lang w:val="en-US" w:eastAsia="zh-CN"/>
                    </w:rPr>
                  </w:pPr>
                  <w:r>
                    <w:rPr>
                      <w:rFonts w:hint="eastAsia"/>
                      <w:color w:val="auto"/>
                      <w:lang w:val="en-US" w:eastAsia="zh-CN"/>
                    </w:rPr>
                    <w:t>10</w:t>
                  </w:r>
                  <w:r>
                    <w:rPr>
                      <w:rFonts w:hint="eastAsia"/>
                      <w:color w:val="auto"/>
                      <w:vertAlign w:val="superscript"/>
                      <w:lang w:val="en-US" w:eastAsia="zh-CN"/>
                    </w:rPr>
                    <w:t>7</w:t>
                  </w:r>
                </w:p>
              </w:tc>
              <w:tc>
                <w:tcPr>
                  <w:tcW w:w="425" w:type="pct"/>
                  <w:noWrap w:val="0"/>
                  <w:vAlign w:val="center"/>
                </w:tcPr>
                <w:p>
                  <w:pPr>
                    <w:pStyle w:val="111"/>
                    <w:bidi w:val="0"/>
                    <w:rPr>
                      <w:rFonts w:hint="eastAsia" w:eastAsia="宋体"/>
                      <w:color w:val="auto"/>
                      <w:lang w:val="en-US" w:eastAsia="zh-CN"/>
                    </w:rPr>
                  </w:pPr>
                  <w:r>
                    <w:rPr>
                      <w:rFonts w:hint="eastAsia"/>
                      <w:color w:val="auto"/>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vMerge w:val="continue"/>
                  <w:noWrap w:val="0"/>
                  <w:vAlign w:val="center"/>
                </w:tcPr>
                <w:p>
                  <w:pPr>
                    <w:pStyle w:val="111"/>
                    <w:bidi w:val="0"/>
                    <w:rPr>
                      <w:rFonts w:hint="eastAsia" w:eastAsia="宋体"/>
                      <w:color w:val="auto"/>
                      <w:lang w:eastAsia="zh-CN"/>
                    </w:rPr>
                  </w:pPr>
                </w:p>
              </w:tc>
              <w:tc>
                <w:tcPr>
                  <w:tcW w:w="608" w:type="pct"/>
                  <w:noWrap w:val="0"/>
                  <w:vAlign w:val="center"/>
                </w:tcPr>
                <w:p>
                  <w:pPr>
                    <w:pStyle w:val="111"/>
                    <w:bidi w:val="0"/>
                    <w:rPr>
                      <w:rFonts w:hint="default" w:eastAsia="宋体"/>
                      <w:color w:val="auto"/>
                      <w:lang w:val="en-US" w:eastAsia="zh-CN"/>
                    </w:rPr>
                  </w:pPr>
                  <w:r>
                    <w:rPr>
                      <w:rFonts w:hint="eastAsia"/>
                      <w:color w:val="auto"/>
                      <w:lang w:eastAsia="zh-CN"/>
                    </w:rPr>
                    <w:t>排放量（</w:t>
                  </w:r>
                  <w:r>
                    <w:rPr>
                      <w:rFonts w:hint="eastAsia"/>
                      <w:color w:val="auto"/>
                      <w:lang w:val="en-US" w:eastAsia="zh-CN"/>
                    </w:rPr>
                    <w:t>t/a）</w:t>
                  </w:r>
                </w:p>
              </w:tc>
              <w:tc>
                <w:tcPr>
                  <w:tcW w:w="559" w:type="pct"/>
                  <w:vMerge w:val="continue"/>
                  <w:noWrap w:val="0"/>
                  <w:vAlign w:val="center"/>
                </w:tcPr>
                <w:p>
                  <w:pPr>
                    <w:pStyle w:val="111"/>
                    <w:bidi w:val="0"/>
                    <w:rPr>
                      <w:rFonts w:hint="eastAsia"/>
                      <w:color w:val="auto"/>
                    </w:rPr>
                  </w:pPr>
                </w:p>
              </w:tc>
              <w:tc>
                <w:tcPr>
                  <w:tcW w:w="465" w:type="pct"/>
                  <w:noWrap w:val="0"/>
                  <w:vAlign w:val="center"/>
                </w:tcPr>
                <w:p>
                  <w:pPr>
                    <w:pStyle w:val="111"/>
                    <w:bidi w:val="0"/>
                    <w:rPr>
                      <w:rFonts w:hint="default" w:eastAsia="宋体"/>
                      <w:color w:val="auto"/>
                      <w:lang w:val="en-US" w:eastAsia="zh-CN"/>
                    </w:rPr>
                  </w:pPr>
                  <w:r>
                    <w:rPr>
                      <w:rFonts w:hint="eastAsia"/>
                      <w:color w:val="auto"/>
                      <w:lang w:val="en-US" w:eastAsia="zh-CN"/>
                    </w:rPr>
                    <w:t>0.360</w:t>
                  </w:r>
                </w:p>
              </w:tc>
              <w:tc>
                <w:tcPr>
                  <w:tcW w:w="507" w:type="pct"/>
                  <w:noWrap w:val="0"/>
                  <w:vAlign w:val="center"/>
                </w:tcPr>
                <w:p>
                  <w:pPr>
                    <w:pStyle w:val="111"/>
                    <w:bidi w:val="0"/>
                    <w:rPr>
                      <w:rFonts w:hint="default" w:eastAsia="宋体"/>
                      <w:color w:val="auto"/>
                      <w:lang w:val="en-US" w:eastAsia="zh-CN"/>
                    </w:rPr>
                  </w:pPr>
                  <w:r>
                    <w:rPr>
                      <w:rFonts w:hint="eastAsia"/>
                      <w:color w:val="auto"/>
                      <w:lang w:val="en-US" w:eastAsia="zh-CN"/>
                    </w:rPr>
                    <w:t>0.180</w:t>
                  </w:r>
                </w:p>
              </w:tc>
              <w:tc>
                <w:tcPr>
                  <w:tcW w:w="463" w:type="pct"/>
                  <w:noWrap w:val="0"/>
                  <w:vAlign w:val="center"/>
                </w:tcPr>
                <w:p>
                  <w:pPr>
                    <w:pStyle w:val="111"/>
                    <w:bidi w:val="0"/>
                    <w:rPr>
                      <w:rFonts w:hint="default" w:eastAsia="宋体"/>
                      <w:color w:val="auto"/>
                      <w:lang w:val="en-US" w:eastAsia="zh-CN"/>
                    </w:rPr>
                  </w:pPr>
                  <w:r>
                    <w:rPr>
                      <w:rFonts w:hint="eastAsia"/>
                      <w:color w:val="auto"/>
                      <w:lang w:val="en-US" w:eastAsia="zh-CN"/>
                    </w:rPr>
                    <w:t>0.288</w:t>
                  </w:r>
                </w:p>
              </w:tc>
              <w:tc>
                <w:tcPr>
                  <w:tcW w:w="433" w:type="pct"/>
                  <w:noWrap w:val="0"/>
                  <w:vAlign w:val="center"/>
                </w:tcPr>
                <w:p>
                  <w:pPr>
                    <w:pStyle w:val="111"/>
                    <w:bidi w:val="0"/>
                    <w:rPr>
                      <w:rFonts w:hint="default" w:eastAsia="宋体"/>
                      <w:color w:val="auto"/>
                      <w:lang w:val="en-US" w:eastAsia="zh-CN"/>
                    </w:rPr>
                  </w:pPr>
                  <w:r>
                    <w:rPr>
                      <w:rFonts w:hint="eastAsia"/>
                      <w:color w:val="auto"/>
                      <w:lang w:val="en-US" w:eastAsia="zh-CN"/>
                    </w:rPr>
                    <w:t>0.032</w:t>
                  </w:r>
                </w:p>
              </w:tc>
              <w:tc>
                <w:tcPr>
                  <w:tcW w:w="417" w:type="pct"/>
                  <w:noWrap w:val="0"/>
                  <w:vAlign w:val="center"/>
                </w:tcPr>
                <w:p>
                  <w:pPr>
                    <w:pStyle w:val="111"/>
                    <w:bidi w:val="0"/>
                    <w:rPr>
                      <w:rFonts w:hint="default" w:eastAsia="宋体"/>
                      <w:color w:val="auto"/>
                      <w:lang w:val="en-US" w:eastAsia="zh-CN"/>
                    </w:rPr>
                  </w:pPr>
                  <w:r>
                    <w:rPr>
                      <w:rFonts w:hint="eastAsia"/>
                      <w:color w:val="auto"/>
                      <w:lang w:val="en-US" w:eastAsia="zh-CN"/>
                    </w:rPr>
                    <w:t>0.006</w:t>
                  </w:r>
                </w:p>
              </w:tc>
              <w:tc>
                <w:tcPr>
                  <w:tcW w:w="654" w:type="pct"/>
                  <w:noWrap w:val="0"/>
                  <w:vAlign w:val="center"/>
                </w:tcPr>
                <w:p>
                  <w:pPr>
                    <w:pStyle w:val="111"/>
                    <w:bidi w:val="0"/>
                    <w:rPr>
                      <w:rFonts w:hint="eastAsia" w:eastAsia="宋体"/>
                      <w:color w:val="auto"/>
                      <w:lang w:val="en-US" w:eastAsia="zh-CN"/>
                    </w:rPr>
                  </w:pPr>
                  <w:r>
                    <w:rPr>
                      <w:rFonts w:hint="eastAsia"/>
                      <w:color w:val="auto"/>
                      <w:lang w:val="en-US" w:eastAsia="zh-CN"/>
                    </w:rPr>
                    <w:t>/</w:t>
                  </w:r>
                </w:p>
              </w:tc>
              <w:tc>
                <w:tcPr>
                  <w:tcW w:w="425" w:type="pct"/>
                  <w:noWrap w:val="0"/>
                  <w:vAlign w:val="center"/>
                </w:tcPr>
                <w:p>
                  <w:pPr>
                    <w:pStyle w:val="111"/>
                    <w:bidi w:val="0"/>
                    <w:rPr>
                      <w:rFonts w:hint="default" w:eastAsia="宋体"/>
                      <w:color w:val="auto"/>
                      <w:lang w:val="en-US" w:eastAsia="zh-CN"/>
                    </w:rPr>
                  </w:pPr>
                  <w:r>
                    <w:rPr>
                      <w:rFonts w:hint="eastAsia"/>
                      <w:color w:val="auto"/>
                      <w:lang w:val="en-US" w:eastAsia="zh-CN"/>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vMerge w:val="restart"/>
                  <w:noWrap w:val="0"/>
                  <w:vAlign w:val="center"/>
                </w:tcPr>
                <w:p>
                  <w:pPr>
                    <w:pStyle w:val="111"/>
                    <w:bidi w:val="0"/>
                    <w:rPr>
                      <w:rFonts w:hint="eastAsia" w:eastAsia="宋体"/>
                      <w:color w:val="auto"/>
                      <w:lang w:eastAsia="zh-CN"/>
                    </w:rPr>
                  </w:pPr>
                  <w:r>
                    <w:rPr>
                      <w:rFonts w:hint="eastAsia"/>
                      <w:color w:val="auto"/>
                      <w:lang w:eastAsia="zh-CN"/>
                    </w:rPr>
                    <w:t>处理后</w:t>
                  </w:r>
                </w:p>
              </w:tc>
              <w:tc>
                <w:tcPr>
                  <w:tcW w:w="608" w:type="pct"/>
                  <w:noWrap w:val="0"/>
                  <w:vAlign w:val="center"/>
                </w:tcPr>
                <w:p>
                  <w:pPr>
                    <w:pStyle w:val="111"/>
                    <w:bidi w:val="0"/>
                    <w:ind w:firstLine="0" w:firstLineChars="0"/>
                    <w:rPr>
                      <w:rFonts w:hint="eastAsia"/>
                      <w:color w:val="auto"/>
                    </w:rPr>
                  </w:pPr>
                  <w:r>
                    <w:rPr>
                      <w:rFonts w:hint="eastAsia"/>
                      <w:color w:val="auto"/>
                      <w:lang w:eastAsia="zh-CN"/>
                    </w:rPr>
                    <w:t>浓度（</w:t>
                  </w:r>
                  <w:r>
                    <w:rPr>
                      <w:rFonts w:hint="eastAsia"/>
                      <w:color w:val="auto"/>
                      <w:lang w:val="en-US" w:eastAsia="zh-CN"/>
                    </w:rPr>
                    <w:t>mg/L）</w:t>
                  </w:r>
                </w:p>
              </w:tc>
              <w:tc>
                <w:tcPr>
                  <w:tcW w:w="559" w:type="pct"/>
                  <w:vMerge w:val="restart"/>
                  <w:noWrap w:val="0"/>
                  <w:vAlign w:val="center"/>
                </w:tcPr>
                <w:p>
                  <w:pPr>
                    <w:pStyle w:val="111"/>
                    <w:bidi w:val="0"/>
                    <w:rPr>
                      <w:rFonts w:hint="eastAsia"/>
                      <w:color w:val="auto"/>
                    </w:rPr>
                  </w:pPr>
                  <w:r>
                    <w:rPr>
                      <w:rFonts w:hint="eastAsia"/>
                      <w:color w:val="auto"/>
                      <w:lang w:val="en-US" w:eastAsia="zh-CN"/>
                    </w:rPr>
                    <w:t>720</w:t>
                  </w:r>
                </w:p>
              </w:tc>
              <w:tc>
                <w:tcPr>
                  <w:tcW w:w="465" w:type="pct"/>
                  <w:noWrap w:val="0"/>
                  <w:vAlign w:val="center"/>
                </w:tcPr>
                <w:p>
                  <w:pPr>
                    <w:pStyle w:val="111"/>
                    <w:bidi w:val="0"/>
                    <w:rPr>
                      <w:rFonts w:hint="default" w:eastAsia="宋体"/>
                      <w:color w:val="auto"/>
                      <w:lang w:val="en-US" w:eastAsia="zh-CN"/>
                    </w:rPr>
                  </w:pPr>
                  <w:r>
                    <w:rPr>
                      <w:rFonts w:hint="eastAsia"/>
                      <w:color w:val="auto"/>
                      <w:lang w:val="en-US" w:eastAsia="zh-CN"/>
                    </w:rPr>
                    <w:t>250</w:t>
                  </w:r>
                </w:p>
              </w:tc>
              <w:tc>
                <w:tcPr>
                  <w:tcW w:w="507" w:type="pct"/>
                  <w:noWrap w:val="0"/>
                  <w:vAlign w:val="center"/>
                </w:tcPr>
                <w:p>
                  <w:pPr>
                    <w:pStyle w:val="111"/>
                    <w:bidi w:val="0"/>
                    <w:rPr>
                      <w:rFonts w:hint="default" w:eastAsia="宋体"/>
                      <w:color w:val="auto"/>
                      <w:lang w:val="en-US" w:eastAsia="zh-CN"/>
                    </w:rPr>
                  </w:pPr>
                  <w:r>
                    <w:rPr>
                      <w:rFonts w:hint="eastAsia"/>
                      <w:color w:val="auto"/>
                      <w:lang w:val="en-US" w:eastAsia="zh-CN"/>
                    </w:rPr>
                    <w:t>150</w:t>
                  </w:r>
                </w:p>
              </w:tc>
              <w:tc>
                <w:tcPr>
                  <w:tcW w:w="463" w:type="pct"/>
                  <w:noWrap w:val="0"/>
                  <w:vAlign w:val="center"/>
                </w:tcPr>
                <w:p>
                  <w:pPr>
                    <w:pStyle w:val="111"/>
                    <w:bidi w:val="0"/>
                    <w:rPr>
                      <w:rFonts w:hint="default" w:eastAsia="宋体"/>
                      <w:color w:val="auto"/>
                      <w:lang w:val="en-US" w:eastAsia="zh-CN"/>
                    </w:rPr>
                  </w:pPr>
                  <w:r>
                    <w:rPr>
                      <w:rFonts w:hint="eastAsia"/>
                      <w:color w:val="auto"/>
                      <w:lang w:val="en-US" w:eastAsia="zh-CN"/>
                    </w:rPr>
                    <w:t>200</w:t>
                  </w:r>
                </w:p>
              </w:tc>
              <w:tc>
                <w:tcPr>
                  <w:tcW w:w="433" w:type="pct"/>
                  <w:noWrap w:val="0"/>
                  <w:vAlign w:val="center"/>
                </w:tcPr>
                <w:p>
                  <w:pPr>
                    <w:pStyle w:val="111"/>
                    <w:bidi w:val="0"/>
                    <w:rPr>
                      <w:rFonts w:hint="default" w:eastAsia="宋体"/>
                      <w:color w:val="auto"/>
                      <w:lang w:val="en-US" w:eastAsia="zh-CN"/>
                    </w:rPr>
                  </w:pPr>
                  <w:r>
                    <w:rPr>
                      <w:rFonts w:hint="eastAsia"/>
                      <w:color w:val="auto"/>
                      <w:lang w:val="en-US" w:eastAsia="zh-CN"/>
                    </w:rPr>
                    <w:t>45</w:t>
                  </w:r>
                </w:p>
              </w:tc>
              <w:tc>
                <w:tcPr>
                  <w:tcW w:w="417" w:type="pct"/>
                  <w:noWrap w:val="0"/>
                  <w:vAlign w:val="center"/>
                </w:tcPr>
                <w:p>
                  <w:pPr>
                    <w:pStyle w:val="111"/>
                    <w:bidi w:val="0"/>
                    <w:rPr>
                      <w:rFonts w:hint="eastAsia" w:eastAsia="宋体"/>
                      <w:color w:val="auto"/>
                      <w:lang w:val="en-US" w:eastAsia="zh-CN"/>
                    </w:rPr>
                  </w:pPr>
                  <w:r>
                    <w:rPr>
                      <w:rFonts w:hint="eastAsia"/>
                      <w:color w:val="auto"/>
                      <w:lang w:val="en-US" w:eastAsia="zh-CN"/>
                    </w:rPr>
                    <w:t>8</w:t>
                  </w:r>
                </w:p>
              </w:tc>
              <w:tc>
                <w:tcPr>
                  <w:tcW w:w="654" w:type="pct"/>
                  <w:noWrap w:val="0"/>
                  <w:vAlign w:val="center"/>
                </w:tcPr>
                <w:p>
                  <w:pPr>
                    <w:pStyle w:val="111"/>
                    <w:bidi w:val="0"/>
                    <w:rPr>
                      <w:rFonts w:hint="default" w:eastAsia="宋体"/>
                      <w:color w:val="auto"/>
                      <w:lang w:val="en-US" w:eastAsia="zh-CN"/>
                    </w:rPr>
                  </w:pPr>
                  <w:r>
                    <w:rPr>
                      <w:rFonts w:hint="default" w:ascii="Times New Roman" w:hAnsi="Times New Roman" w:cs="Times New Roman"/>
                      <w:color w:val="auto"/>
                      <w:lang w:eastAsia="zh-CN"/>
                    </w:rPr>
                    <w:t>＜</w:t>
                  </w:r>
                  <w:r>
                    <w:rPr>
                      <w:rFonts w:hint="eastAsia"/>
                      <w:color w:val="auto"/>
                      <w:lang w:val="en-US" w:eastAsia="zh-CN"/>
                    </w:rPr>
                    <w:t>5000</w:t>
                  </w:r>
                </w:p>
              </w:tc>
              <w:tc>
                <w:tcPr>
                  <w:tcW w:w="425" w:type="pct"/>
                  <w:noWrap w:val="0"/>
                  <w:vAlign w:val="center"/>
                </w:tcPr>
                <w:p>
                  <w:pPr>
                    <w:pStyle w:val="111"/>
                    <w:bidi w:val="0"/>
                    <w:rPr>
                      <w:rFonts w:hint="eastAsia" w:eastAsia="宋体"/>
                      <w:color w:val="auto"/>
                      <w:lang w:val="en-US" w:eastAsia="zh-CN"/>
                    </w:rPr>
                  </w:pPr>
                  <w:r>
                    <w:rPr>
                      <w:rFonts w:hint="eastAsia"/>
                      <w:color w:val="auto"/>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vMerge w:val="continue"/>
                  <w:noWrap w:val="0"/>
                  <w:vAlign w:val="center"/>
                </w:tcPr>
                <w:p>
                  <w:pPr>
                    <w:pStyle w:val="111"/>
                    <w:bidi w:val="0"/>
                    <w:rPr>
                      <w:rFonts w:hint="eastAsia"/>
                      <w:color w:val="auto"/>
                    </w:rPr>
                  </w:pPr>
                </w:p>
              </w:tc>
              <w:tc>
                <w:tcPr>
                  <w:tcW w:w="608" w:type="pct"/>
                  <w:noWrap w:val="0"/>
                  <w:vAlign w:val="center"/>
                </w:tcPr>
                <w:p>
                  <w:pPr>
                    <w:pStyle w:val="111"/>
                    <w:bidi w:val="0"/>
                    <w:ind w:firstLine="0" w:firstLineChars="0"/>
                    <w:rPr>
                      <w:rFonts w:hint="eastAsia"/>
                      <w:color w:val="auto"/>
                      <w:lang w:eastAsia="zh-CN"/>
                    </w:rPr>
                  </w:pPr>
                  <w:r>
                    <w:rPr>
                      <w:rFonts w:hint="eastAsia"/>
                      <w:color w:val="auto"/>
                      <w:lang w:eastAsia="zh-CN"/>
                    </w:rPr>
                    <w:t>排放量</w:t>
                  </w:r>
                </w:p>
                <w:p>
                  <w:pPr>
                    <w:pStyle w:val="176"/>
                    <w:bidi w:val="0"/>
                    <w:rPr>
                      <w:rFonts w:hint="eastAsia"/>
                      <w:color w:val="auto"/>
                    </w:rPr>
                  </w:pPr>
                  <w:r>
                    <w:rPr>
                      <w:rFonts w:hint="eastAsia"/>
                      <w:color w:val="auto"/>
                      <w:lang w:eastAsia="zh-CN"/>
                    </w:rPr>
                    <w:t>（</w:t>
                  </w:r>
                  <w:r>
                    <w:rPr>
                      <w:rFonts w:hint="eastAsia"/>
                      <w:color w:val="auto"/>
                      <w:lang w:val="en-US" w:eastAsia="zh-CN"/>
                    </w:rPr>
                    <w:t>t/a）</w:t>
                  </w:r>
                </w:p>
              </w:tc>
              <w:tc>
                <w:tcPr>
                  <w:tcW w:w="559" w:type="pct"/>
                  <w:vMerge w:val="continue"/>
                  <w:noWrap w:val="0"/>
                  <w:vAlign w:val="center"/>
                </w:tcPr>
                <w:p>
                  <w:pPr>
                    <w:pStyle w:val="111"/>
                    <w:bidi w:val="0"/>
                    <w:rPr>
                      <w:rFonts w:hint="eastAsia"/>
                      <w:color w:val="auto"/>
                    </w:rPr>
                  </w:pPr>
                </w:p>
              </w:tc>
              <w:tc>
                <w:tcPr>
                  <w:tcW w:w="465" w:type="pct"/>
                  <w:noWrap w:val="0"/>
                  <w:vAlign w:val="center"/>
                </w:tcPr>
                <w:p>
                  <w:pPr>
                    <w:pStyle w:val="111"/>
                    <w:bidi w:val="0"/>
                    <w:rPr>
                      <w:rFonts w:hint="default" w:eastAsia="宋体"/>
                      <w:color w:val="auto"/>
                      <w:lang w:val="en-US" w:eastAsia="zh-CN"/>
                    </w:rPr>
                  </w:pPr>
                  <w:r>
                    <w:rPr>
                      <w:rFonts w:hint="eastAsia"/>
                      <w:color w:val="auto"/>
                      <w:lang w:val="en-US" w:eastAsia="zh-CN"/>
                    </w:rPr>
                    <w:t>0.180</w:t>
                  </w:r>
                </w:p>
              </w:tc>
              <w:tc>
                <w:tcPr>
                  <w:tcW w:w="507" w:type="pct"/>
                  <w:noWrap w:val="0"/>
                  <w:vAlign w:val="center"/>
                </w:tcPr>
                <w:p>
                  <w:pPr>
                    <w:pStyle w:val="111"/>
                    <w:bidi w:val="0"/>
                    <w:rPr>
                      <w:rFonts w:hint="default" w:eastAsia="宋体"/>
                      <w:color w:val="auto"/>
                      <w:lang w:val="en-US" w:eastAsia="zh-CN"/>
                    </w:rPr>
                  </w:pPr>
                  <w:r>
                    <w:rPr>
                      <w:rFonts w:hint="eastAsia"/>
                      <w:color w:val="auto"/>
                      <w:lang w:val="en-US" w:eastAsia="zh-CN"/>
                    </w:rPr>
                    <w:t>0.108</w:t>
                  </w:r>
                </w:p>
              </w:tc>
              <w:tc>
                <w:tcPr>
                  <w:tcW w:w="463" w:type="pct"/>
                  <w:noWrap w:val="0"/>
                  <w:vAlign w:val="center"/>
                </w:tcPr>
                <w:p>
                  <w:pPr>
                    <w:pStyle w:val="111"/>
                    <w:bidi w:val="0"/>
                    <w:rPr>
                      <w:rFonts w:hint="default" w:eastAsia="宋体"/>
                      <w:color w:val="auto"/>
                      <w:lang w:val="en-US" w:eastAsia="zh-CN"/>
                    </w:rPr>
                  </w:pPr>
                  <w:r>
                    <w:rPr>
                      <w:rFonts w:hint="eastAsia"/>
                      <w:color w:val="auto"/>
                      <w:lang w:val="en-US" w:eastAsia="zh-CN"/>
                    </w:rPr>
                    <w:t>0.144</w:t>
                  </w:r>
                </w:p>
              </w:tc>
              <w:tc>
                <w:tcPr>
                  <w:tcW w:w="433" w:type="pct"/>
                  <w:noWrap w:val="0"/>
                  <w:vAlign w:val="center"/>
                </w:tcPr>
                <w:p>
                  <w:pPr>
                    <w:pStyle w:val="111"/>
                    <w:bidi w:val="0"/>
                    <w:rPr>
                      <w:rFonts w:hint="default"/>
                      <w:color w:val="auto"/>
                      <w:lang w:val="en-US"/>
                    </w:rPr>
                  </w:pPr>
                  <w:r>
                    <w:rPr>
                      <w:rFonts w:hint="eastAsia"/>
                      <w:color w:val="auto"/>
                      <w:lang w:val="en-US" w:eastAsia="zh-CN"/>
                    </w:rPr>
                    <w:t>0.032</w:t>
                  </w:r>
                </w:p>
              </w:tc>
              <w:tc>
                <w:tcPr>
                  <w:tcW w:w="417" w:type="pct"/>
                  <w:noWrap w:val="0"/>
                  <w:vAlign w:val="center"/>
                </w:tcPr>
                <w:p>
                  <w:pPr>
                    <w:pStyle w:val="111"/>
                    <w:bidi w:val="0"/>
                    <w:rPr>
                      <w:rFonts w:hint="default" w:eastAsia="宋体"/>
                      <w:color w:val="auto"/>
                      <w:lang w:val="en-US" w:eastAsia="zh-CN"/>
                    </w:rPr>
                  </w:pPr>
                  <w:r>
                    <w:rPr>
                      <w:rFonts w:hint="eastAsia"/>
                      <w:color w:val="auto"/>
                      <w:lang w:val="en-US" w:eastAsia="zh-CN"/>
                    </w:rPr>
                    <w:t>0.006</w:t>
                  </w:r>
                </w:p>
              </w:tc>
              <w:tc>
                <w:tcPr>
                  <w:tcW w:w="654" w:type="pct"/>
                  <w:noWrap w:val="0"/>
                  <w:vAlign w:val="center"/>
                </w:tcPr>
                <w:p>
                  <w:pPr>
                    <w:pStyle w:val="111"/>
                    <w:bidi w:val="0"/>
                    <w:rPr>
                      <w:rFonts w:hint="eastAsia" w:eastAsia="宋体"/>
                      <w:color w:val="auto"/>
                      <w:lang w:val="en-US" w:eastAsia="zh-CN"/>
                    </w:rPr>
                  </w:pPr>
                  <w:r>
                    <w:rPr>
                      <w:rFonts w:hint="eastAsia"/>
                      <w:color w:val="auto"/>
                      <w:lang w:val="en-US" w:eastAsia="zh-CN"/>
                    </w:rPr>
                    <w:t>/</w:t>
                  </w:r>
                </w:p>
              </w:tc>
              <w:tc>
                <w:tcPr>
                  <w:tcW w:w="425" w:type="pct"/>
                  <w:noWrap w:val="0"/>
                  <w:vAlign w:val="center"/>
                </w:tcPr>
                <w:p>
                  <w:pPr>
                    <w:pStyle w:val="111"/>
                    <w:bidi w:val="0"/>
                    <w:rPr>
                      <w:rFonts w:hint="eastAsia"/>
                      <w:color w:val="auto"/>
                    </w:rPr>
                  </w:pPr>
                  <w:r>
                    <w:rPr>
                      <w:rFonts w:hint="eastAsia"/>
                      <w:color w:val="auto"/>
                      <w:lang w:val="en-US" w:eastAsia="zh-CN"/>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pct"/>
                  <w:gridSpan w:val="3"/>
                  <w:noWrap w:val="0"/>
                  <w:vAlign w:val="center"/>
                </w:tcPr>
                <w:p>
                  <w:pPr>
                    <w:pStyle w:val="111"/>
                    <w:bidi w:val="0"/>
                    <w:rPr>
                      <w:rFonts w:hint="eastAsia" w:eastAsia="宋体"/>
                      <w:color w:val="auto"/>
                      <w:lang w:eastAsia="zh-CN"/>
                    </w:rPr>
                  </w:pPr>
                  <w:r>
                    <w:rPr>
                      <w:rFonts w:hint="eastAsia"/>
                      <w:color w:val="auto"/>
                      <w:lang w:eastAsia="zh-CN"/>
                    </w:rPr>
                    <w:t>处理效率</w:t>
                  </w:r>
                </w:p>
              </w:tc>
              <w:tc>
                <w:tcPr>
                  <w:tcW w:w="465" w:type="pct"/>
                  <w:noWrap w:val="0"/>
                  <w:vAlign w:val="center"/>
                </w:tcPr>
                <w:p>
                  <w:pPr>
                    <w:pStyle w:val="111"/>
                    <w:bidi w:val="0"/>
                    <w:rPr>
                      <w:rFonts w:hint="default" w:eastAsia="宋体"/>
                      <w:color w:val="auto"/>
                      <w:lang w:val="en-US" w:eastAsia="zh-CN"/>
                    </w:rPr>
                  </w:pPr>
                  <w:r>
                    <w:rPr>
                      <w:rFonts w:hint="eastAsia"/>
                      <w:color w:val="auto"/>
                      <w:lang w:val="en-US" w:eastAsia="zh-CN"/>
                    </w:rPr>
                    <w:t>50%</w:t>
                  </w:r>
                </w:p>
              </w:tc>
              <w:tc>
                <w:tcPr>
                  <w:tcW w:w="507" w:type="pct"/>
                  <w:noWrap w:val="0"/>
                  <w:vAlign w:val="center"/>
                </w:tcPr>
                <w:p>
                  <w:pPr>
                    <w:pStyle w:val="111"/>
                    <w:bidi w:val="0"/>
                    <w:rPr>
                      <w:rFonts w:hint="default" w:eastAsia="宋体"/>
                      <w:color w:val="auto"/>
                      <w:lang w:val="en-US" w:eastAsia="zh-CN"/>
                    </w:rPr>
                  </w:pPr>
                  <w:r>
                    <w:rPr>
                      <w:rFonts w:hint="eastAsia"/>
                      <w:color w:val="auto"/>
                      <w:lang w:val="en-US" w:eastAsia="zh-CN"/>
                    </w:rPr>
                    <w:t>60%</w:t>
                  </w:r>
                </w:p>
              </w:tc>
              <w:tc>
                <w:tcPr>
                  <w:tcW w:w="463" w:type="pct"/>
                  <w:noWrap w:val="0"/>
                  <w:vAlign w:val="center"/>
                </w:tcPr>
                <w:p>
                  <w:pPr>
                    <w:pStyle w:val="111"/>
                    <w:bidi w:val="0"/>
                    <w:rPr>
                      <w:rFonts w:hint="default" w:eastAsia="宋体"/>
                      <w:color w:val="auto"/>
                      <w:lang w:val="en-US" w:eastAsia="zh-CN"/>
                    </w:rPr>
                  </w:pPr>
                  <w:r>
                    <w:rPr>
                      <w:rFonts w:hint="eastAsia"/>
                      <w:color w:val="auto"/>
                      <w:lang w:val="en-US" w:eastAsia="zh-CN"/>
                    </w:rPr>
                    <w:t>50%</w:t>
                  </w:r>
                </w:p>
              </w:tc>
              <w:tc>
                <w:tcPr>
                  <w:tcW w:w="433" w:type="pct"/>
                  <w:noWrap w:val="0"/>
                  <w:vAlign w:val="center"/>
                </w:tcPr>
                <w:p>
                  <w:pPr>
                    <w:pStyle w:val="111"/>
                    <w:bidi w:val="0"/>
                    <w:rPr>
                      <w:rFonts w:hint="default" w:eastAsia="宋体"/>
                      <w:color w:val="auto"/>
                      <w:lang w:val="en-US" w:eastAsia="zh-CN"/>
                    </w:rPr>
                  </w:pPr>
                  <w:r>
                    <w:rPr>
                      <w:rFonts w:hint="eastAsia"/>
                      <w:color w:val="auto"/>
                      <w:lang w:val="en-US" w:eastAsia="zh-CN"/>
                    </w:rPr>
                    <w:t>0%</w:t>
                  </w:r>
                </w:p>
              </w:tc>
              <w:tc>
                <w:tcPr>
                  <w:tcW w:w="417" w:type="pct"/>
                  <w:noWrap w:val="0"/>
                  <w:vAlign w:val="center"/>
                </w:tcPr>
                <w:p>
                  <w:pPr>
                    <w:pStyle w:val="111"/>
                    <w:bidi w:val="0"/>
                    <w:rPr>
                      <w:rFonts w:hint="default"/>
                      <w:color w:val="auto"/>
                      <w:lang w:val="en-US"/>
                    </w:rPr>
                  </w:pPr>
                  <w:r>
                    <w:rPr>
                      <w:rFonts w:hint="eastAsia"/>
                      <w:color w:val="auto"/>
                      <w:lang w:val="en-US" w:eastAsia="zh-CN"/>
                    </w:rPr>
                    <w:t>0%</w:t>
                  </w:r>
                </w:p>
              </w:tc>
              <w:tc>
                <w:tcPr>
                  <w:tcW w:w="654" w:type="pct"/>
                  <w:noWrap w:val="0"/>
                  <w:vAlign w:val="center"/>
                </w:tcPr>
                <w:p>
                  <w:pPr>
                    <w:pStyle w:val="111"/>
                    <w:bidi w:val="0"/>
                    <w:rPr>
                      <w:rFonts w:hint="default" w:eastAsia="宋体"/>
                      <w:color w:val="auto"/>
                      <w:lang w:val="en-US" w:eastAsia="zh-CN"/>
                    </w:rPr>
                  </w:pPr>
                  <w:r>
                    <w:rPr>
                      <w:rFonts w:hint="eastAsia"/>
                      <w:color w:val="auto"/>
                      <w:lang w:val="en-US" w:eastAsia="zh-CN"/>
                    </w:rPr>
                    <w:t>99%</w:t>
                  </w:r>
                </w:p>
              </w:tc>
              <w:tc>
                <w:tcPr>
                  <w:tcW w:w="425" w:type="pct"/>
                  <w:noWrap w:val="0"/>
                  <w:vAlign w:val="center"/>
                </w:tcPr>
                <w:p>
                  <w:pPr>
                    <w:pStyle w:val="111"/>
                    <w:bidi w:val="0"/>
                    <w:rPr>
                      <w:rFonts w:hint="eastAsia" w:eastAsia="宋体"/>
                      <w:color w:val="auto"/>
                      <w:lang w:val="en-US" w:eastAsia="zh-CN"/>
                    </w:rPr>
                  </w:pPr>
                  <w:r>
                    <w:rPr>
                      <w:rFonts w:hint="eastAsia"/>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vMerge w:val="restart"/>
                  <w:noWrap w:val="0"/>
                  <w:vAlign w:val="center"/>
                </w:tcPr>
                <w:p>
                  <w:pPr>
                    <w:pStyle w:val="111"/>
                    <w:bidi w:val="0"/>
                    <w:rPr>
                      <w:rFonts w:hint="eastAsia" w:eastAsia="宋体"/>
                      <w:color w:val="auto"/>
                      <w:lang w:eastAsia="zh-CN"/>
                    </w:rPr>
                  </w:pPr>
                  <w:r>
                    <w:rPr>
                      <w:rFonts w:hint="eastAsia"/>
                      <w:color w:val="auto"/>
                      <w:lang w:eastAsia="zh-CN"/>
                    </w:rPr>
                    <w:t>乐山市第一污水处理厂</w:t>
                  </w:r>
                </w:p>
              </w:tc>
              <w:tc>
                <w:tcPr>
                  <w:tcW w:w="608" w:type="pct"/>
                  <w:noWrap w:val="0"/>
                  <w:vAlign w:val="center"/>
                </w:tcPr>
                <w:p>
                  <w:pPr>
                    <w:pStyle w:val="111"/>
                    <w:bidi w:val="0"/>
                    <w:ind w:firstLine="0" w:firstLineChars="0"/>
                    <w:rPr>
                      <w:rFonts w:hint="eastAsia"/>
                      <w:color w:val="auto"/>
                    </w:rPr>
                  </w:pPr>
                  <w:r>
                    <w:rPr>
                      <w:rFonts w:hint="eastAsia"/>
                      <w:color w:val="auto"/>
                      <w:lang w:eastAsia="zh-CN"/>
                    </w:rPr>
                    <w:t>浓度（</w:t>
                  </w:r>
                  <w:r>
                    <w:rPr>
                      <w:rFonts w:hint="eastAsia"/>
                      <w:color w:val="auto"/>
                      <w:lang w:val="en-US" w:eastAsia="zh-CN"/>
                    </w:rPr>
                    <w:t>mg/L）</w:t>
                  </w:r>
                </w:p>
              </w:tc>
              <w:tc>
                <w:tcPr>
                  <w:tcW w:w="559" w:type="pct"/>
                  <w:vMerge w:val="restart"/>
                  <w:noWrap w:val="0"/>
                  <w:vAlign w:val="center"/>
                </w:tcPr>
                <w:p>
                  <w:pPr>
                    <w:pStyle w:val="111"/>
                    <w:bidi w:val="0"/>
                    <w:rPr>
                      <w:rFonts w:hint="eastAsia"/>
                      <w:color w:val="auto"/>
                    </w:rPr>
                  </w:pPr>
                  <w:r>
                    <w:rPr>
                      <w:rFonts w:hint="eastAsia"/>
                      <w:color w:val="auto"/>
                      <w:lang w:val="en-US" w:eastAsia="zh-CN"/>
                    </w:rPr>
                    <w:t>720</w:t>
                  </w:r>
                </w:p>
              </w:tc>
              <w:tc>
                <w:tcPr>
                  <w:tcW w:w="465" w:type="pct"/>
                  <w:noWrap w:val="0"/>
                  <w:vAlign w:val="center"/>
                </w:tcPr>
                <w:p>
                  <w:pPr>
                    <w:pStyle w:val="111"/>
                    <w:bidi w:val="0"/>
                    <w:rPr>
                      <w:rFonts w:hint="default" w:eastAsia="宋体"/>
                      <w:color w:val="auto"/>
                      <w:lang w:val="en-US" w:eastAsia="zh-CN"/>
                    </w:rPr>
                  </w:pPr>
                  <w:r>
                    <w:rPr>
                      <w:rFonts w:hint="eastAsia"/>
                      <w:color w:val="auto"/>
                      <w:lang w:val="en-US" w:eastAsia="zh-CN"/>
                    </w:rPr>
                    <w:t>30</w:t>
                  </w:r>
                </w:p>
              </w:tc>
              <w:tc>
                <w:tcPr>
                  <w:tcW w:w="507" w:type="pct"/>
                  <w:noWrap w:val="0"/>
                  <w:vAlign w:val="center"/>
                </w:tcPr>
                <w:p>
                  <w:pPr>
                    <w:pStyle w:val="111"/>
                    <w:bidi w:val="0"/>
                    <w:rPr>
                      <w:rFonts w:hint="eastAsia" w:eastAsia="宋体"/>
                      <w:color w:val="auto"/>
                      <w:lang w:val="en-US" w:eastAsia="zh-CN"/>
                    </w:rPr>
                  </w:pPr>
                  <w:r>
                    <w:rPr>
                      <w:rFonts w:hint="eastAsia"/>
                      <w:color w:val="auto"/>
                      <w:lang w:val="en-US" w:eastAsia="zh-CN"/>
                    </w:rPr>
                    <w:t>6</w:t>
                  </w:r>
                </w:p>
              </w:tc>
              <w:tc>
                <w:tcPr>
                  <w:tcW w:w="463" w:type="pct"/>
                  <w:noWrap w:val="0"/>
                  <w:vAlign w:val="center"/>
                </w:tcPr>
                <w:p>
                  <w:pPr>
                    <w:pStyle w:val="111"/>
                    <w:bidi w:val="0"/>
                    <w:rPr>
                      <w:rFonts w:hint="eastAsia" w:eastAsia="宋体"/>
                      <w:color w:val="auto"/>
                      <w:lang w:val="en-US" w:eastAsia="zh-CN"/>
                    </w:rPr>
                  </w:pPr>
                  <w:r>
                    <w:rPr>
                      <w:rFonts w:hint="eastAsia"/>
                      <w:color w:val="auto"/>
                      <w:lang w:val="en-US" w:eastAsia="zh-CN"/>
                    </w:rPr>
                    <w:t>-</w:t>
                  </w:r>
                </w:p>
              </w:tc>
              <w:tc>
                <w:tcPr>
                  <w:tcW w:w="433" w:type="pct"/>
                  <w:noWrap w:val="0"/>
                  <w:vAlign w:val="center"/>
                </w:tcPr>
                <w:p>
                  <w:pPr>
                    <w:pStyle w:val="111"/>
                    <w:bidi w:val="0"/>
                    <w:rPr>
                      <w:rFonts w:hint="default" w:eastAsia="宋体"/>
                      <w:color w:val="auto"/>
                      <w:lang w:val="en-US" w:eastAsia="zh-CN"/>
                    </w:rPr>
                  </w:pPr>
                  <w:r>
                    <w:rPr>
                      <w:rFonts w:hint="eastAsia"/>
                      <w:color w:val="auto"/>
                      <w:lang w:val="en-US" w:eastAsia="zh-CN"/>
                    </w:rPr>
                    <w:t>1.5</w:t>
                  </w:r>
                </w:p>
              </w:tc>
              <w:tc>
                <w:tcPr>
                  <w:tcW w:w="417" w:type="pct"/>
                  <w:noWrap w:val="0"/>
                  <w:vAlign w:val="center"/>
                </w:tcPr>
                <w:p>
                  <w:pPr>
                    <w:pStyle w:val="111"/>
                    <w:bidi w:val="0"/>
                    <w:rPr>
                      <w:rFonts w:hint="default" w:eastAsia="宋体"/>
                      <w:color w:val="auto"/>
                      <w:lang w:val="en-US" w:eastAsia="zh-CN"/>
                    </w:rPr>
                  </w:pPr>
                  <w:r>
                    <w:rPr>
                      <w:rFonts w:hint="eastAsia"/>
                      <w:color w:val="auto"/>
                      <w:lang w:val="en-US" w:eastAsia="zh-CN"/>
                    </w:rPr>
                    <w:t>0.3</w:t>
                  </w:r>
                </w:p>
              </w:tc>
              <w:tc>
                <w:tcPr>
                  <w:tcW w:w="654" w:type="pct"/>
                  <w:noWrap w:val="0"/>
                  <w:vAlign w:val="center"/>
                </w:tcPr>
                <w:p>
                  <w:pPr>
                    <w:pStyle w:val="111"/>
                    <w:bidi w:val="0"/>
                    <w:rPr>
                      <w:rFonts w:hint="eastAsia" w:eastAsia="宋体"/>
                      <w:color w:val="auto"/>
                      <w:lang w:val="en-US" w:eastAsia="zh-CN"/>
                    </w:rPr>
                  </w:pPr>
                  <w:r>
                    <w:rPr>
                      <w:rFonts w:hint="eastAsia"/>
                      <w:color w:val="auto"/>
                      <w:lang w:val="en-US" w:eastAsia="zh-CN"/>
                    </w:rPr>
                    <w:t>-</w:t>
                  </w:r>
                </w:p>
              </w:tc>
              <w:tc>
                <w:tcPr>
                  <w:tcW w:w="425" w:type="pct"/>
                  <w:noWrap w:val="0"/>
                  <w:vAlign w:val="center"/>
                </w:tcPr>
                <w:p>
                  <w:pPr>
                    <w:pStyle w:val="111"/>
                    <w:bidi w:val="0"/>
                    <w:rPr>
                      <w:rFonts w:hint="eastAsia" w:eastAsia="宋体"/>
                      <w:color w:val="auto"/>
                      <w:lang w:val="en-US" w:eastAsia="zh-CN"/>
                    </w:rPr>
                  </w:pPr>
                  <w:r>
                    <w:rPr>
                      <w:rFonts w:hint="eastAsia"/>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vMerge w:val="continue"/>
                  <w:noWrap w:val="0"/>
                  <w:vAlign w:val="center"/>
                </w:tcPr>
                <w:p>
                  <w:pPr>
                    <w:pStyle w:val="111"/>
                    <w:bidi w:val="0"/>
                    <w:rPr>
                      <w:rFonts w:hint="eastAsia"/>
                      <w:color w:val="auto"/>
                    </w:rPr>
                  </w:pPr>
                </w:p>
              </w:tc>
              <w:tc>
                <w:tcPr>
                  <w:tcW w:w="608" w:type="pct"/>
                  <w:noWrap w:val="0"/>
                  <w:vAlign w:val="center"/>
                </w:tcPr>
                <w:p>
                  <w:pPr>
                    <w:pStyle w:val="111"/>
                    <w:bidi w:val="0"/>
                    <w:ind w:firstLine="0" w:firstLineChars="0"/>
                    <w:rPr>
                      <w:rFonts w:hint="eastAsia"/>
                      <w:color w:val="auto"/>
                      <w:lang w:eastAsia="zh-CN"/>
                    </w:rPr>
                  </w:pPr>
                  <w:r>
                    <w:rPr>
                      <w:rFonts w:hint="eastAsia"/>
                      <w:color w:val="auto"/>
                      <w:lang w:eastAsia="zh-CN"/>
                    </w:rPr>
                    <w:t>排放量</w:t>
                  </w:r>
                </w:p>
                <w:p>
                  <w:pPr>
                    <w:pStyle w:val="176"/>
                    <w:bidi w:val="0"/>
                    <w:rPr>
                      <w:rFonts w:hint="eastAsia"/>
                      <w:color w:val="auto"/>
                    </w:rPr>
                  </w:pPr>
                  <w:r>
                    <w:rPr>
                      <w:rFonts w:hint="eastAsia"/>
                      <w:color w:val="auto"/>
                      <w:lang w:eastAsia="zh-CN"/>
                    </w:rPr>
                    <w:t>（</w:t>
                  </w:r>
                  <w:r>
                    <w:rPr>
                      <w:rFonts w:hint="eastAsia"/>
                      <w:color w:val="auto"/>
                      <w:lang w:val="en-US" w:eastAsia="zh-CN"/>
                    </w:rPr>
                    <w:t>t/a）</w:t>
                  </w:r>
                </w:p>
              </w:tc>
              <w:tc>
                <w:tcPr>
                  <w:tcW w:w="559" w:type="pct"/>
                  <w:vMerge w:val="continue"/>
                  <w:noWrap w:val="0"/>
                  <w:vAlign w:val="center"/>
                </w:tcPr>
                <w:p>
                  <w:pPr>
                    <w:pStyle w:val="111"/>
                    <w:bidi w:val="0"/>
                    <w:rPr>
                      <w:rFonts w:hint="eastAsia"/>
                      <w:color w:val="auto"/>
                    </w:rPr>
                  </w:pPr>
                </w:p>
              </w:tc>
              <w:tc>
                <w:tcPr>
                  <w:tcW w:w="465" w:type="pct"/>
                  <w:noWrap w:val="0"/>
                  <w:vAlign w:val="center"/>
                </w:tcPr>
                <w:p>
                  <w:pPr>
                    <w:pStyle w:val="111"/>
                    <w:bidi w:val="0"/>
                    <w:rPr>
                      <w:rFonts w:hint="default" w:eastAsia="宋体"/>
                      <w:color w:val="auto"/>
                      <w:lang w:val="en-US" w:eastAsia="zh-CN"/>
                    </w:rPr>
                  </w:pPr>
                  <w:r>
                    <w:rPr>
                      <w:rFonts w:hint="eastAsia"/>
                      <w:color w:val="auto"/>
                      <w:lang w:val="en-US" w:eastAsia="zh-CN"/>
                    </w:rPr>
                    <w:t>0.0216</w:t>
                  </w:r>
                </w:p>
              </w:tc>
              <w:tc>
                <w:tcPr>
                  <w:tcW w:w="507" w:type="pct"/>
                  <w:noWrap w:val="0"/>
                  <w:vAlign w:val="center"/>
                </w:tcPr>
                <w:p>
                  <w:pPr>
                    <w:pStyle w:val="111"/>
                    <w:bidi w:val="0"/>
                    <w:rPr>
                      <w:rFonts w:hint="default" w:eastAsia="宋体"/>
                      <w:color w:val="auto"/>
                      <w:lang w:val="en-US" w:eastAsia="zh-CN"/>
                    </w:rPr>
                  </w:pPr>
                  <w:r>
                    <w:rPr>
                      <w:rFonts w:hint="eastAsia"/>
                      <w:color w:val="auto"/>
                      <w:lang w:val="en-US" w:eastAsia="zh-CN"/>
                    </w:rPr>
                    <w:t>0.004</w:t>
                  </w:r>
                </w:p>
              </w:tc>
              <w:tc>
                <w:tcPr>
                  <w:tcW w:w="463" w:type="pct"/>
                  <w:noWrap w:val="0"/>
                  <w:vAlign w:val="center"/>
                </w:tcPr>
                <w:p>
                  <w:pPr>
                    <w:pStyle w:val="111"/>
                    <w:bidi w:val="0"/>
                    <w:rPr>
                      <w:rFonts w:hint="eastAsia" w:eastAsia="宋体"/>
                      <w:color w:val="auto"/>
                      <w:lang w:val="en-US" w:eastAsia="zh-CN"/>
                    </w:rPr>
                  </w:pPr>
                  <w:r>
                    <w:rPr>
                      <w:rFonts w:hint="eastAsia"/>
                      <w:color w:val="auto"/>
                      <w:lang w:val="en-US" w:eastAsia="zh-CN"/>
                    </w:rPr>
                    <w:t>-</w:t>
                  </w:r>
                </w:p>
              </w:tc>
              <w:tc>
                <w:tcPr>
                  <w:tcW w:w="433" w:type="pct"/>
                  <w:noWrap w:val="0"/>
                  <w:vAlign w:val="center"/>
                </w:tcPr>
                <w:p>
                  <w:pPr>
                    <w:pStyle w:val="111"/>
                    <w:bidi w:val="0"/>
                    <w:rPr>
                      <w:rFonts w:hint="default" w:eastAsia="宋体"/>
                      <w:color w:val="auto"/>
                      <w:lang w:val="en-US" w:eastAsia="zh-CN"/>
                    </w:rPr>
                  </w:pPr>
                  <w:r>
                    <w:rPr>
                      <w:rFonts w:hint="eastAsia"/>
                      <w:color w:val="auto"/>
                      <w:lang w:val="en-US" w:eastAsia="zh-CN"/>
                    </w:rPr>
                    <w:t>0.0011</w:t>
                  </w:r>
                </w:p>
              </w:tc>
              <w:tc>
                <w:tcPr>
                  <w:tcW w:w="417" w:type="pct"/>
                  <w:noWrap w:val="0"/>
                  <w:vAlign w:val="center"/>
                </w:tcPr>
                <w:p>
                  <w:pPr>
                    <w:pStyle w:val="111"/>
                    <w:bidi w:val="0"/>
                    <w:rPr>
                      <w:rFonts w:hint="default" w:eastAsia="宋体"/>
                      <w:color w:val="auto"/>
                      <w:lang w:val="en-US" w:eastAsia="zh-CN"/>
                    </w:rPr>
                  </w:pPr>
                  <w:r>
                    <w:rPr>
                      <w:rFonts w:hint="eastAsia"/>
                      <w:color w:val="auto"/>
                      <w:lang w:val="en-US" w:eastAsia="zh-CN"/>
                    </w:rPr>
                    <w:t>0.00022</w:t>
                  </w:r>
                </w:p>
              </w:tc>
              <w:tc>
                <w:tcPr>
                  <w:tcW w:w="654" w:type="pct"/>
                  <w:noWrap w:val="0"/>
                  <w:vAlign w:val="center"/>
                </w:tcPr>
                <w:p>
                  <w:pPr>
                    <w:pStyle w:val="111"/>
                    <w:bidi w:val="0"/>
                    <w:rPr>
                      <w:rFonts w:hint="eastAsia" w:eastAsia="宋体"/>
                      <w:color w:val="auto"/>
                      <w:lang w:val="en-US" w:eastAsia="zh-CN"/>
                    </w:rPr>
                  </w:pPr>
                  <w:r>
                    <w:rPr>
                      <w:rFonts w:hint="eastAsia"/>
                      <w:color w:val="auto"/>
                      <w:lang w:val="en-US" w:eastAsia="zh-CN"/>
                    </w:rPr>
                    <w:t>-</w:t>
                  </w:r>
                </w:p>
              </w:tc>
              <w:tc>
                <w:tcPr>
                  <w:tcW w:w="425" w:type="pct"/>
                  <w:noWrap w:val="0"/>
                  <w:vAlign w:val="center"/>
                </w:tcPr>
                <w:p>
                  <w:pPr>
                    <w:pStyle w:val="111"/>
                    <w:bidi w:val="0"/>
                    <w:rPr>
                      <w:rFonts w:hint="eastAsia" w:eastAsia="宋体"/>
                      <w:color w:val="auto"/>
                      <w:lang w:val="en-US" w:eastAsia="zh-CN"/>
                    </w:rPr>
                  </w:pPr>
                  <w:r>
                    <w:rPr>
                      <w:rFonts w:hint="eastAsia"/>
                      <w:color w:val="auto"/>
                      <w:lang w:val="en-US" w:eastAsia="zh-CN"/>
                    </w:rPr>
                    <w:t>-</w:t>
                  </w:r>
                </w:p>
              </w:tc>
            </w:tr>
          </w:tbl>
          <w:p>
            <w:pPr>
              <w:pStyle w:val="108"/>
              <w:ind w:firstLine="0" w:firstLineChars="0"/>
              <w:rPr>
                <w:color w:val="auto"/>
              </w:rPr>
            </w:pPr>
            <w:r>
              <w:rPr>
                <w:rFonts w:hint="eastAsia"/>
                <w:b/>
                <w:bCs/>
                <w:color w:val="auto"/>
                <w:lang w:val="en-US" w:eastAsia="zh-CN"/>
              </w:rPr>
              <w:t>2</w:t>
            </w:r>
            <w:r>
              <w:rPr>
                <w:rFonts w:hint="eastAsia"/>
                <w:b/>
                <w:bCs/>
                <w:color w:val="auto"/>
              </w:rPr>
              <w:t>、营运期大气环境影响分析</w:t>
            </w:r>
          </w:p>
          <w:p>
            <w:pPr>
              <w:pStyle w:val="108"/>
              <w:ind w:firstLine="482"/>
              <w:rPr>
                <w:rFonts w:hint="eastAsia"/>
                <w:color w:val="auto"/>
              </w:rPr>
            </w:pPr>
            <w:r>
              <w:rPr>
                <w:rFonts w:hint="eastAsia"/>
                <w:b/>
                <w:bCs/>
                <w:color w:val="auto"/>
                <w:lang w:val="en-US" w:eastAsia="zh-CN"/>
              </w:rPr>
              <w:t xml:space="preserve">2.1 </w:t>
            </w:r>
            <w:r>
              <w:rPr>
                <w:rFonts w:hint="eastAsia"/>
                <w:b/>
                <w:bCs/>
                <w:color w:val="auto"/>
              </w:rPr>
              <w:t>废气产生情况</w:t>
            </w:r>
          </w:p>
          <w:p>
            <w:pPr>
              <w:pStyle w:val="110"/>
              <w:ind w:firstLine="480"/>
              <w:rPr>
                <w:rFonts w:hint="eastAsia"/>
                <w:color w:val="auto"/>
              </w:rPr>
            </w:pPr>
            <w:r>
              <w:rPr>
                <w:rFonts w:hint="eastAsia"/>
                <w:color w:val="auto"/>
              </w:rPr>
              <w:t>本项目为宠物医院服务项目，根据项目特点，本项目运营期产生的废气主要来源于医疗废物暂存间异味、就诊区域宠物散发的异味、院内带菌空气、一体化污水处理设施臭气。</w:t>
            </w:r>
          </w:p>
          <w:p>
            <w:pPr>
              <w:pStyle w:val="110"/>
              <w:bidi w:val="0"/>
              <w:rPr>
                <w:rFonts w:hint="eastAsia"/>
                <w:b/>
                <w:bCs/>
                <w:color w:val="auto"/>
              </w:rPr>
            </w:pPr>
            <w:r>
              <w:rPr>
                <w:rFonts w:hint="eastAsia"/>
                <w:b/>
                <w:bCs/>
                <w:color w:val="auto"/>
                <w:lang w:val="en-US" w:eastAsia="zh-CN"/>
              </w:rPr>
              <w:t xml:space="preserve">2.2 </w:t>
            </w:r>
            <w:r>
              <w:rPr>
                <w:rFonts w:hint="eastAsia"/>
                <w:b/>
                <w:bCs/>
                <w:color w:val="auto"/>
              </w:rPr>
              <w:t>废气治理措施</w:t>
            </w:r>
          </w:p>
          <w:p>
            <w:pPr>
              <w:pStyle w:val="110"/>
              <w:bidi w:val="0"/>
              <w:rPr>
                <w:rFonts w:hint="default" w:eastAsia="宋体"/>
                <w:b/>
                <w:bCs/>
                <w:lang w:val="en-US" w:eastAsia="zh-CN"/>
              </w:rPr>
            </w:pPr>
            <w:r>
              <w:rPr>
                <w:rFonts w:hint="eastAsia"/>
                <w:b/>
                <w:bCs/>
                <w:lang w:eastAsia="zh-CN"/>
              </w:rPr>
              <w:t>（</w:t>
            </w:r>
            <w:r>
              <w:rPr>
                <w:rFonts w:hint="eastAsia"/>
                <w:b/>
                <w:bCs/>
                <w:lang w:val="en-US" w:eastAsia="zh-CN"/>
              </w:rPr>
              <w:t>1）宠物异味及院内带菌空气</w:t>
            </w:r>
          </w:p>
          <w:p>
            <w:pPr>
              <w:pStyle w:val="110"/>
              <w:bidi w:val="0"/>
              <w:rPr>
                <w:rFonts w:hint="eastAsia"/>
              </w:rPr>
            </w:pPr>
            <w:r>
              <w:rPr>
                <w:rFonts w:hint="eastAsia"/>
                <w:lang w:val="en-US" w:eastAsia="zh-CN"/>
              </w:rPr>
              <w:t>宠物就诊及住院过程中宠物散发异味，宠物就诊、手术时院内产生带菌空气。</w:t>
            </w:r>
          </w:p>
          <w:p>
            <w:pPr>
              <w:pStyle w:val="110"/>
              <w:bidi w:val="0"/>
              <w:rPr>
                <w:rFonts w:hint="eastAsia"/>
              </w:rPr>
            </w:pPr>
            <w:r>
              <w:rPr>
                <w:rFonts w:hint="eastAsia"/>
                <w:b/>
                <w:bCs/>
                <w:lang w:val="en-US" w:eastAsia="zh-CN"/>
              </w:rPr>
              <w:t>治理措施：</w:t>
            </w:r>
            <w:r>
              <w:rPr>
                <w:rFonts w:hint="eastAsia"/>
                <w:lang w:val="en-US" w:eastAsia="zh-CN"/>
              </w:rPr>
              <w:t>项目日常采用移动式紫外线灯及臭氧消毒机加强对院内环境消毒，每日下班前进行房间消毒灭菌。经紫外线消毒后，能大大降低空气的含菌量。另外医院设置1套新风系统，管控诊室、处置室、手术室、犬猫住院室、隔离室等区域。新风系统排风口末端加装活性炭净味装置，专用送排风管道将新风系统外排的废气引至室外排放，排口位于项目吊顶位置，朝向凤洲路处，排放高度约 10m。同时，建设单位采取一定管理措施，如：加强管理，及时清扫笼舍内废物，必要时喷洒除臭剂（无毒无害）等措施。</w:t>
            </w:r>
          </w:p>
          <w:p>
            <w:pPr>
              <w:pStyle w:val="110"/>
              <w:bidi w:val="0"/>
              <w:rPr>
                <w:rFonts w:hint="eastAsia"/>
                <w:lang w:val="en-US" w:eastAsia="zh-CN"/>
              </w:rPr>
            </w:pPr>
            <w:r>
              <w:rPr>
                <w:rFonts w:hint="eastAsia"/>
                <w:b/>
                <w:bCs/>
                <w:lang w:val="en-US" w:eastAsia="zh-CN"/>
              </w:rPr>
              <w:t>新风系统介绍：</w:t>
            </w:r>
            <w:r>
              <w:rPr>
                <w:rFonts w:hint="eastAsia"/>
                <w:lang w:val="en-US" w:eastAsia="zh-CN"/>
              </w:rPr>
              <w:t>新风系统将室外的含氧量充足的新鲜空气，经过净化处理后，把洁净的新风送入室内，同时将室内含异味、恶臭等的浑浊空气排出室外。通过不间断循环置换，让室内空气始终处于新鲜，洁净、温湿度适宜啥的环境，杜绝细菌滋生减少对人与宠物的影响。</w:t>
            </w:r>
          </w:p>
          <w:p>
            <w:pPr>
              <w:pStyle w:val="110"/>
              <w:bidi w:val="0"/>
              <w:rPr>
                <w:rFonts w:hint="eastAsia"/>
                <w:b w:val="0"/>
                <w:bCs w:val="0"/>
                <w:color w:val="auto"/>
                <w:lang w:val="en-US" w:eastAsia="zh-CN"/>
              </w:rPr>
            </w:pPr>
            <w:r>
              <w:rPr>
                <w:rFonts w:hint="eastAsia"/>
                <w:lang w:val="en-US" w:eastAsia="zh-CN"/>
              </w:rPr>
              <w:t>本项目新风系统安装于房间吊顶上，各房间上方设置进风口出风口各一个，风口与</w:t>
            </w:r>
            <w:r>
              <w:rPr>
                <w:rFonts w:hint="eastAsia"/>
                <w:b w:val="0"/>
                <w:bCs w:val="0"/>
                <w:color w:val="auto"/>
                <w:lang w:val="en-US" w:eastAsia="zh-CN"/>
              </w:rPr>
              <w:t>管道连接。通过机械动力排风，将室内污浊空气排出，通过机械动力送风将室外过滤后的新鲜空气吸入室内，在室内污浊空气排出和室外新鲜空气进入的时候都要经过主机的热交换器，它能够使室内污浊空气与室外新鲜空气交错隔离，使一边的热量传递到另一边并加热，同时两股气流不掺混。</w:t>
            </w:r>
          </w:p>
          <w:p>
            <w:pPr>
              <w:pStyle w:val="110"/>
              <w:bidi w:val="0"/>
              <w:rPr>
                <w:rFonts w:hint="eastAsia"/>
                <w:b w:val="0"/>
                <w:bCs w:val="0"/>
                <w:color w:val="auto"/>
                <w:lang w:val="en-US" w:eastAsia="zh-CN"/>
              </w:rPr>
            </w:pPr>
            <w:r>
              <w:rPr>
                <w:rFonts w:hint="eastAsia"/>
                <w:b w:val="0"/>
                <w:bCs w:val="0"/>
                <w:color w:val="auto"/>
                <w:u w:val="single"/>
                <w:lang w:val="en-US" w:eastAsia="zh-CN"/>
              </w:rPr>
              <w:t>活性炭更换量：</w:t>
            </w:r>
            <w:r>
              <w:rPr>
                <w:rFonts w:hint="eastAsia"/>
                <w:b w:val="0"/>
                <w:bCs w:val="0"/>
                <w:color w:val="auto"/>
                <w:lang w:val="en-US" w:eastAsia="zh-CN"/>
              </w:rPr>
              <w:t xml:space="preserve">项目活性炭净味装置一次装填量约 10kg，一个季度更换一次，更换后的废活性炭产生量约为 40kg/a，暂存于医疗废物暂存间，后交由资质单位处置。 </w:t>
            </w:r>
          </w:p>
          <w:p>
            <w:pPr>
              <w:pStyle w:val="110"/>
              <w:bidi w:val="0"/>
              <w:rPr>
                <w:rFonts w:hint="eastAsia"/>
                <w:b w:val="0"/>
                <w:bCs w:val="0"/>
                <w:color w:val="auto"/>
                <w:lang w:val="en-US" w:eastAsia="zh-CN"/>
              </w:rPr>
            </w:pPr>
            <w:r>
              <w:rPr>
                <w:rFonts w:hint="eastAsia"/>
                <w:b w:val="0"/>
                <w:bCs w:val="0"/>
                <w:color w:val="auto"/>
                <w:u w:val="single"/>
                <w:lang w:val="en-US" w:eastAsia="zh-CN"/>
              </w:rPr>
              <w:t>环评要求：</w:t>
            </w:r>
            <w:r>
              <w:rPr>
                <w:rFonts w:hint="eastAsia"/>
                <w:b w:val="0"/>
                <w:bCs w:val="0"/>
                <w:color w:val="auto"/>
                <w:lang w:val="en-US" w:eastAsia="zh-CN"/>
              </w:rPr>
              <w:t>建设单位要密切注意排口所排放气体情况，了解周边住户的反馈，如发现有异味产生，要立即停止营业，查找原因，加强室内卫生清洁并检查活性炭吸附装置，若活性炭吸附装置达到饱和要及时更换，待异味消除后方可继续营业；此外，建设单位须对项目孔洞进行封堵，避免异味散发对居民造成影响。</w:t>
            </w:r>
          </w:p>
          <w:p>
            <w:pPr>
              <w:pStyle w:val="110"/>
              <w:bidi w:val="0"/>
              <w:rPr>
                <w:rFonts w:hint="default" w:eastAsia="宋体"/>
                <w:b/>
                <w:bCs/>
                <w:color w:val="auto"/>
                <w:lang w:val="en-US" w:eastAsia="zh-CN"/>
              </w:rPr>
            </w:pPr>
            <w:r>
              <w:rPr>
                <w:rFonts w:hint="eastAsia"/>
                <w:b/>
                <w:bCs/>
                <w:color w:val="auto"/>
                <w:lang w:eastAsia="zh-CN"/>
              </w:rPr>
              <w:t>（</w:t>
            </w:r>
            <w:r>
              <w:rPr>
                <w:rFonts w:hint="eastAsia"/>
                <w:b/>
                <w:bCs/>
                <w:color w:val="auto"/>
                <w:lang w:val="en-US" w:eastAsia="zh-CN"/>
              </w:rPr>
              <w:t>2）一体化污水处理设施臭气</w:t>
            </w:r>
          </w:p>
          <w:p>
            <w:pPr>
              <w:pStyle w:val="110"/>
              <w:bidi w:val="0"/>
              <w:rPr>
                <w:rFonts w:hint="eastAsia"/>
              </w:rPr>
            </w:pPr>
            <w:r>
              <w:rPr>
                <w:rFonts w:hint="eastAsia"/>
                <w:lang w:val="en-US" w:eastAsia="zh-CN"/>
              </w:rPr>
              <w:t>项目设置 1 套一体化污水处理器，主要工艺为“过滤沉淀+氯片消毒”，医疗废水采用污水管道收集后进入一 体化污水处理设备进行消毒处理（设备自动投加氯片），消毒后即通过污水管道排入项目所在商铺预处理池。项目医疗废水预处理设施不涉及二级生化处理工序，对BOD无处理效率，污水处理设施臭气产生量较少，且污水处理设施为密闭装置，产生的臭气极少，对周边环境影响较小。</w:t>
            </w:r>
          </w:p>
          <w:p>
            <w:pPr>
              <w:pStyle w:val="110"/>
              <w:ind w:left="480" w:leftChars="200" w:firstLine="0" w:firstLineChars="0"/>
              <w:rPr>
                <w:rFonts w:hint="eastAsia"/>
                <w:b/>
                <w:bCs/>
                <w:color w:val="auto"/>
              </w:rPr>
            </w:pPr>
            <w:r>
              <w:rPr>
                <w:rFonts w:hint="eastAsia"/>
                <w:b/>
                <w:bCs/>
                <w:color w:val="auto"/>
                <w:lang w:eastAsia="zh-CN"/>
              </w:rPr>
              <w:t>（</w:t>
            </w:r>
            <w:r>
              <w:rPr>
                <w:rFonts w:hint="eastAsia"/>
                <w:b/>
                <w:bCs/>
                <w:color w:val="auto"/>
                <w:lang w:val="en-US" w:eastAsia="zh-CN"/>
              </w:rPr>
              <w:t>3）</w:t>
            </w:r>
            <w:r>
              <w:rPr>
                <w:rFonts w:hint="eastAsia"/>
                <w:b/>
                <w:bCs/>
                <w:color w:val="auto"/>
              </w:rPr>
              <w:t>医疗废物暂存间异味：</w:t>
            </w:r>
          </w:p>
          <w:p>
            <w:pPr>
              <w:pStyle w:val="110"/>
              <w:ind w:firstLine="480"/>
              <w:rPr>
                <w:rFonts w:hint="eastAsia"/>
                <w:color w:val="auto"/>
                <w:vertAlign w:val="baseline"/>
                <w:lang w:val="en-US" w:eastAsia="zh-CN"/>
              </w:rPr>
            </w:pPr>
            <w:r>
              <w:rPr>
                <w:rFonts w:hint="eastAsia"/>
                <w:color w:val="auto"/>
                <w:lang w:eastAsia="zh-CN"/>
              </w:rPr>
              <w:t>环评要求建设单位设置危废暂存间一间，为独立房间，建筑面积约</w:t>
            </w:r>
            <w:r>
              <w:rPr>
                <w:rFonts w:hint="eastAsia"/>
                <w:color w:val="auto"/>
                <w:lang w:val="en-US" w:eastAsia="zh-CN"/>
              </w:rPr>
              <w:t>2m</w:t>
            </w:r>
            <w:r>
              <w:rPr>
                <w:rFonts w:hint="eastAsia"/>
                <w:color w:val="auto"/>
                <w:vertAlign w:val="superscript"/>
                <w:lang w:val="en-US" w:eastAsia="zh-CN"/>
              </w:rPr>
              <w:t>2</w:t>
            </w:r>
            <w:r>
              <w:rPr>
                <w:rFonts w:hint="eastAsia"/>
                <w:color w:val="auto"/>
                <w:vertAlign w:val="baseline"/>
                <w:lang w:val="en-US" w:eastAsia="zh-CN"/>
              </w:rPr>
              <w:t>。医疗废物暂存过程中会产生少量恶臭。</w:t>
            </w:r>
          </w:p>
          <w:p>
            <w:pPr>
              <w:pStyle w:val="110"/>
              <w:bidi w:val="0"/>
              <w:rPr>
                <w:rFonts w:hint="eastAsia"/>
                <w:lang w:val="en-US" w:eastAsia="zh-CN"/>
              </w:rPr>
            </w:pPr>
            <w:r>
              <w:rPr>
                <w:rFonts w:hint="eastAsia"/>
                <w:b/>
                <w:bCs/>
                <w:color w:val="auto"/>
                <w:vertAlign w:val="baseline"/>
                <w:lang w:val="en-US" w:eastAsia="zh-CN"/>
              </w:rPr>
              <w:t>治理措施：</w:t>
            </w:r>
            <w:r>
              <w:rPr>
                <w:rFonts w:hint="eastAsia"/>
                <w:lang w:val="en-US" w:eastAsia="zh-CN"/>
              </w:rPr>
              <w:t>建设单位做好医疗废物的密封、清运和消毒工作；动物病理组织等袋装密封暂存于冰箱内；定期进行医疗废物暂存间存储设施、设备的清洁和消毒工作（消毒方式为喷洒消毒剂消毒），并喷洒生物除臭剂；做好暂存间的防鼠、防蚊蝇等措施；加强管理，确保医疗废物及时清运。</w:t>
            </w:r>
          </w:p>
          <w:p>
            <w:pPr>
              <w:pStyle w:val="110"/>
              <w:ind w:firstLine="482"/>
              <w:rPr>
                <w:b/>
                <w:bCs/>
                <w:color w:val="auto"/>
              </w:rPr>
            </w:pPr>
            <w:r>
              <w:rPr>
                <w:rFonts w:hint="eastAsia"/>
                <w:b/>
                <w:bCs/>
                <w:color w:val="auto"/>
                <w:lang w:val="en-US" w:eastAsia="zh-CN"/>
              </w:rPr>
              <w:t xml:space="preserve">2.3 </w:t>
            </w:r>
            <w:r>
              <w:rPr>
                <w:rFonts w:hint="eastAsia"/>
                <w:b/>
                <w:bCs/>
                <w:color w:val="auto"/>
              </w:rPr>
              <w:t>废气治理措施的可行性分析</w:t>
            </w:r>
          </w:p>
          <w:p>
            <w:pPr>
              <w:pStyle w:val="110"/>
              <w:ind w:firstLine="480"/>
              <w:rPr>
                <w:rFonts w:hint="eastAsia"/>
                <w:color w:val="auto"/>
              </w:rPr>
            </w:pPr>
            <w:r>
              <w:rPr>
                <w:rFonts w:hint="eastAsia"/>
                <w:color w:val="auto"/>
              </w:rPr>
              <w:t>综上，医院内的废气经</w:t>
            </w:r>
            <w:r>
              <w:rPr>
                <w:rFonts w:hint="eastAsia"/>
                <w:color w:val="auto"/>
                <w:lang w:eastAsia="zh-CN"/>
              </w:rPr>
              <w:t>活性炭吸附、</w:t>
            </w:r>
            <w:r>
              <w:rPr>
                <w:rFonts w:hint="eastAsia"/>
                <w:color w:val="auto"/>
              </w:rPr>
              <w:t>紫外线及消毒除臭后，少量的无组织废气经自然通风后能得到较好的扩散，</w:t>
            </w:r>
            <w:r>
              <w:rPr>
                <w:rFonts w:hint="eastAsia"/>
                <w:color w:val="auto"/>
                <w:lang w:eastAsia="zh-CN"/>
              </w:rPr>
              <w:t>根据调查，项目紧邻</w:t>
            </w:r>
            <w:r>
              <w:rPr>
                <w:rFonts w:hint="eastAsia"/>
                <w:color w:val="auto"/>
                <w:lang w:val="en-US" w:eastAsia="zh-CN"/>
              </w:rPr>
              <w:t>邦泰国际社区，500m范围内还分布有</w:t>
            </w:r>
            <w:r>
              <w:rPr>
                <w:rFonts w:hint="eastAsia"/>
                <w:color w:val="auto"/>
                <w:lang w:eastAsia="zh-CN"/>
              </w:rPr>
              <w:t>金苹果幼儿园</w:t>
            </w:r>
            <w:r>
              <w:rPr>
                <w:rFonts w:hint="eastAsia"/>
                <w:color w:val="auto"/>
                <w:lang w:val="en-US" w:eastAsia="zh-CN"/>
              </w:rPr>
              <w:t>、乐山市嘉州学校、时代青江2期、时代青江一期、邦泰中心、梧桐公馆、世豪广场、阳光青江壹号、乐山市妇幼保健院，项目在严格采取以上措施后，运营期产生的废气对环境的影响较小，</w:t>
            </w:r>
            <w:r>
              <w:rPr>
                <w:rFonts w:hint="eastAsia"/>
                <w:color w:val="auto"/>
              </w:rPr>
              <w:t>采取的各项污染治理措施可行。</w:t>
            </w:r>
          </w:p>
          <w:p>
            <w:pPr>
              <w:pStyle w:val="6"/>
              <w:numPr>
                <w:ilvl w:val="0"/>
                <w:numId w:val="0"/>
              </w:numPr>
              <w:bidi w:val="0"/>
              <w:ind w:leftChars="200"/>
              <w:rPr>
                <w:rFonts w:hint="eastAsia"/>
                <w:color w:val="auto"/>
                <w:lang w:eastAsia="zh-CN"/>
              </w:rPr>
            </w:pPr>
            <w:r>
              <w:rPr>
                <w:rFonts w:hint="eastAsia"/>
                <w:color w:val="auto"/>
                <w:lang w:val="en-US" w:eastAsia="zh-CN"/>
              </w:rPr>
              <w:t xml:space="preserve">2.4 </w:t>
            </w:r>
            <w:r>
              <w:rPr>
                <w:rFonts w:hint="eastAsia"/>
                <w:color w:val="auto"/>
              </w:rPr>
              <w:t>监测</w:t>
            </w:r>
            <w:r>
              <w:rPr>
                <w:rFonts w:hint="eastAsia"/>
                <w:color w:val="auto"/>
                <w:lang w:eastAsia="zh-CN"/>
              </w:rPr>
              <w:t>计划</w:t>
            </w:r>
          </w:p>
          <w:p>
            <w:pPr>
              <w:pStyle w:val="110"/>
              <w:bidi w:val="0"/>
              <w:rPr>
                <w:rFonts w:hint="eastAsia"/>
                <w:color w:val="auto"/>
              </w:rPr>
            </w:pPr>
            <w:r>
              <w:rPr>
                <w:rFonts w:hint="eastAsia"/>
                <w:color w:val="auto"/>
              </w:rPr>
              <w:t>参考《排污单位自行监测技术指南 总则》（HJ819-2017）、《排污许可证申请与核发技术规范 总则（HJ942-2018）》，本项目运营期噪声监测计划见下表。</w:t>
            </w:r>
          </w:p>
          <w:p>
            <w:pPr>
              <w:pStyle w:val="123"/>
              <w:bidi w:val="0"/>
              <w:rPr>
                <w:rFonts w:hint="eastAsia"/>
                <w:color w:val="auto"/>
              </w:rPr>
            </w:pPr>
            <w:r>
              <w:rPr>
                <w:rFonts w:hint="eastAsia"/>
                <w:color w:val="auto"/>
              </w:rPr>
              <w:t>表4-2 本项目</w:t>
            </w:r>
            <w:r>
              <w:rPr>
                <w:rFonts w:hint="eastAsia"/>
                <w:color w:val="auto"/>
                <w:lang w:eastAsia="zh-CN"/>
              </w:rPr>
              <w:t>废气污染物</w:t>
            </w:r>
            <w:r>
              <w:rPr>
                <w:rFonts w:hint="eastAsia"/>
                <w:color w:val="auto"/>
              </w:rPr>
              <w:t>监测计划一览表</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3252"/>
              <w:gridCol w:w="2478"/>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pct"/>
                  <w:noWrap w:val="0"/>
                  <w:vAlign w:val="center"/>
                </w:tcPr>
                <w:p>
                  <w:pPr>
                    <w:pStyle w:val="111"/>
                    <w:bidi w:val="0"/>
                    <w:rPr>
                      <w:rFonts w:hint="eastAsia" w:eastAsia="宋体"/>
                      <w:b/>
                      <w:bCs/>
                      <w:color w:val="auto"/>
                      <w:lang w:eastAsia="zh-CN"/>
                    </w:rPr>
                  </w:pPr>
                  <w:r>
                    <w:rPr>
                      <w:rFonts w:hint="eastAsia"/>
                      <w:b/>
                      <w:bCs/>
                      <w:color w:val="auto"/>
                      <w:lang w:eastAsia="zh-CN"/>
                    </w:rPr>
                    <w:t>监测项目</w:t>
                  </w:r>
                </w:p>
              </w:tc>
              <w:tc>
                <w:tcPr>
                  <w:tcW w:w="1914" w:type="pct"/>
                  <w:noWrap w:val="0"/>
                  <w:vAlign w:val="center"/>
                </w:tcPr>
                <w:p>
                  <w:pPr>
                    <w:pStyle w:val="111"/>
                    <w:bidi w:val="0"/>
                    <w:rPr>
                      <w:rFonts w:hint="eastAsia"/>
                      <w:b/>
                      <w:bCs/>
                      <w:color w:val="auto"/>
                    </w:rPr>
                  </w:pPr>
                  <w:r>
                    <w:rPr>
                      <w:rFonts w:hint="eastAsia"/>
                      <w:b/>
                      <w:bCs/>
                      <w:color w:val="auto"/>
                    </w:rPr>
                    <w:t>监测点位</w:t>
                  </w:r>
                </w:p>
              </w:tc>
              <w:tc>
                <w:tcPr>
                  <w:tcW w:w="1462" w:type="pct"/>
                  <w:noWrap w:val="0"/>
                  <w:vAlign w:val="center"/>
                </w:tcPr>
                <w:p>
                  <w:pPr>
                    <w:pStyle w:val="111"/>
                    <w:bidi w:val="0"/>
                    <w:rPr>
                      <w:rFonts w:hint="eastAsia" w:eastAsia="宋体"/>
                      <w:b/>
                      <w:bCs/>
                      <w:color w:val="auto"/>
                      <w:lang w:eastAsia="zh-CN"/>
                    </w:rPr>
                  </w:pPr>
                  <w:r>
                    <w:rPr>
                      <w:rFonts w:hint="eastAsia"/>
                      <w:b/>
                      <w:bCs/>
                      <w:color w:val="auto"/>
                      <w:lang w:eastAsia="zh-CN"/>
                    </w:rPr>
                    <w:t>监测因子</w:t>
                  </w:r>
                </w:p>
              </w:tc>
              <w:tc>
                <w:tcPr>
                  <w:tcW w:w="835" w:type="pct"/>
                  <w:noWrap w:val="0"/>
                  <w:vAlign w:val="center"/>
                </w:tcPr>
                <w:p>
                  <w:pPr>
                    <w:pStyle w:val="111"/>
                    <w:bidi w:val="0"/>
                    <w:rPr>
                      <w:rFonts w:hint="eastAsia" w:eastAsia="宋体"/>
                      <w:b/>
                      <w:bCs/>
                      <w:color w:val="auto"/>
                      <w:lang w:eastAsia="zh-CN"/>
                    </w:rPr>
                  </w:pPr>
                  <w:r>
                    <w:rPr>
                      <w:rFonts w:hint="eastAsia"/>
                      <w:b/>
                      <w:bCs/>
                      <w:color w:val="auto"/>
                    </w:rPr>
                    <w:t>监测频</w:t>
                  </w:r>
                  <w:r>
                    <w:rPr>
                      <w:rFonts w:hint="eastAsia"/>
                      <w:b/>
                      <w:bCs/>
                      <w:color w:val="auto"/>
                      <w:lang w:eastAsia="zh-C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pct"/>
                  <w:noWrap w:val="0"/>
                  <w:vAlign w:val="center"/>
                </w:tcPr>
                <w:p>
                  <w:pPr>
                    <w:pStyle w:val="111"/>
                    <w:bidi w:val="0"/>
                    <w:rPr>
                      <w:rFonts w:hint="eastAsia" w:eastAsia="宋体"/>
                      <w:color w:val="auto"/>
                      <w:lang w:eastAsia="zh-CN"/>
                    </w:rPr>
                  </w:pPr>
                  <w:r>
                    <w:rPr>
                      <w:rFonts w:hint="eastAsia"/>
                      <w:color w:val="auto"/>
                      <w:lang w:eastAsia="zh-CN"/>
                    </w:rPr>
                    <w:t>无组织废气</w:t>
                  </w:r>
                </w:p>
              </w:tc>
              <w:tc>
                <w:tcPr>
                  <w:tcW w:w="1914" w:type="pct"/>
                  <w:noWrap w:val="0"/>
                  <w:vAlign w:val="center"/>
                </w:tcPr>
                <w:p>
                  <w:pPr>
                    <w:pStyle w:val="111"/>
                    <w:bidi w:val="0"/>
                    <w:rPr>
                      <w:rFonts w:hint="default"/>
                      <w:color w:val="auto"/>
                      <w:lang w:val="en-US"/>
                    </w:rPr>
                  </w:pPr>
                  <w:r>
                    <w:rPr>
                      <w:rFonts w:hint="eastAsia"/>
                      <w:color w:val="auto"/>
                      <w:lang w:val="en-US" w:eastAsia="zh-CN"/>
                    </w:rPr>
                    <w:t>1#项目西南侧厂界、2#项目东北侧厂界、3#项目南侧嘉州学校围墙处</w:t>
                  </w:r>
                </w:p>
              </w:tc>
              <w:tc>
                <w:tcPr>
                  <w:tcW w:w="1462" w:type="pct"/>
                  <w:noWrap w:val="0"/>
                  <w:vAlign w:val="center"/>
                </w:tcPr>
                <w:p>
                  <w:pPr>
                    <w:pStyle w:val="111"/>
                    <w:bidi w:val="0"/>
                    <w:rPr>
                      <w:rFonts w:hint="eastAsia"/>
                      <w:color w:val="auto"/>
                      <w:lang w:eastAsia="zh-CN"/>
                    </w:rPr>
                  </w:pPr>
                  <w:r>
                    <w:rPr>
                      <w:rFonts w:hint="eastAsia"/>
                      <w:color w:val="auto"/>
                      <w:lang w:eastAsia="zh-CN"/>
                    </w:rPr>
                    <w:t>氨、硫化氢、臭气浓度</w:t>
                  </w:r>
                </w:p>
              </w:tc>
              <w:tc>
                <w:tcPr>
                  <w:tcW w:w="835" w:type="pct"/>
                  <w:noWrap w:val="0"/>
                  <w:vAlign w:val="center"/>
                </w:tcPr>
                <w:p>
                  <w:pPr>
                    <w:pStyle w:val="111"/>
                    <w:bidi w:val="0"/>
                    <w:rPr>
                      <w:rFonts w:hint="eastAsia" w:eastAsia="宋体"/>
                      <w:color w:val="auto"/>
                      <w:lang w:eastAsia="zh-CN"/>
                    </w:rPr>
                  </w:pPr>
                  <w:r>
                    <w:rPr>
                      <w:rFonts w:hint="eastAsia"/>
                      <w:color w:val="auto"/>
                      <w:lang w:val="en-US" w:eastAsia="zh-CN"/>
                    </w:rPr>
                    <w:t>次/</w:t>
                  </w:r>
                  <w:r>
                    <w:rPr>
                      <w:rFonts w:hint="eastAsia"/>
                      <w:color w:val="auto"/>
                      <w:lang w:eastAsia="zh-CN"/>
                    </w:rPr>
                    <w:t>年</w:t>
                  </w:r>
                </w:p>
              </w:tc>
            </w:tr>
          </w:tbl>
          <w:p>
            <w:pPr>
              <w:pStyle w:val="5"/>
              <w:numPr>
                <w:ilvl w:val="0"/>
                <w:numId w:val="0"/>
              </w:numPr>
              <w:spacing w:after="120"/>
              <w:rPr>
                <w:color w:val="auto"/>
              </w:rPr>
            </w:pPr>
            <w:r>
              <w:rPr>
                <w:rFonts w:hint="eastAsia"/>
                <w:color w:val="auto"/>
                <w:lang w:val="en-US" w:eastAsia="zh-CN"/>
              </w:rPr>
              <w:t>3、</w:t>
            </w:r>
            <w:r>
              <w:rPr>
                <w:color w:val="auto"/>
              </w:rPr>
              <w:t>运营期噪声环境影响分析</w:t>
            </w:r>
          </w:p>
          <w:p>
            <w:pPr>
              <w:pStyle w:val="6"/>
              <w:bidi w:val="0"/>
              <w:rPr>
                <w:rFonts w:hint="eastAsia"/>
              </w:rPr>
            </w:pPr>
            <w:r>
              <w:rPr>
                <w:rFonts w:hint="eastAsia"/>
                <w:lang w:val="en-US" w:eastAsia="zh-CN"/>
              </w:rPr>
              <w:t>3.1</w:t>
            </w:r>
            <w:r>
              <w:rPr>
                <w:rFonts w:hint="eastAsia"/>
              </w:rPr>
              <w:t>噪声</w:t>
            </w:r>
            <w:r>
              <w:rPr>
                <w:rFonts w:hint="eastAsia"/>
                <w:lang w:eastAsia="zh-CN"/>
              </w:rPr>
              <w:t>源强</w:t>
            </w:r>
          </w:p>
          <w:p>
            <w:pPr>
              <w:pStyle w:val="110"/>
              <w:bidi w:val="0"/>
              <w:rPr>
                <w:rFonts w:hint="eastAsia"/>
                <w:color w:val="auto"/>
              </w:rPr>
            </w:pPr>
            <w:r>
              <w:rPr>
                <w:rFonts w:hint="eastAsia"/>
                <w:color w:val="auto"/>
                <w:lang w:eastAsia="zh-CN"/>
              </w:rPr>
              <w:t>本项目噪声主要来源于空调外机噪声、新风系统风机噪声和宠物叫声。</w:t>
            </w:r>
            <w:r>
              <w:rPr>
                <w:rFonts w:hint="eastAsia"/>
                <w:color w:val="auto"/>
              </w:rPr>
              <w:t>宠物叫声为日常偶发噪声，源强一般为</w:t>
            </w:r>
            <w:r>
              <w:rPr>
                <w:rFonts w:hint="eastAsia"/>
                <w:color w:val="auto"/>
                <w:lang w:val="en-US" w:eastAsia="zh-CN"/>
              </w:rPr>
              <w:t>65~</w:t>
            </w:r>
            <w:r>
              <w:rPr>
                <w:rFonts w:hint="eastAsia"/>
                <w:color w:val="auto"/>
              </w:rPr>
              <w:t>70dB（A），主要集中在诊室、住院室内</w:t>
            </w:r>
            <w:r>
              <w:rPr>
                <w:rFonts w:hint="eastAsia"/>
                <w:color w:val="auto"/>
                <w:lang w:eastAsia="zh-CN"/>
              </w:rPr>
              <w:t>，医院采用砖混结构，具有较好的隔声效果，隔声量可降低</w:t>
            </w:r>
            <w:r>
              <w:rPr>
                <w:rFonts w:hint="eastAsia"/>
                <w:color w:val="auto"/>
                <w:lang w:val="en-US" w:eastAsia="zh-CN"/>
              </w:rPr>
              <w:t>15dB（A）左右，</w:t>
            </w:r>
            <w:r>
              <w:rPr>
                <w:rFonts w:hint="eastAsia"/>
                <w:color w:val="auto"/>
              </w:rPr>
              <w:t>项目噪声产生及防治措施见下表。</w:t>
            </w:r>
          </w:p>
          <w:p>
            <w:pPr>
              <w:pStyle w:val="123"/>
              <w:bidi w:val="0"/>
              <w:rPr>
                <w:rFonts w:hint="default"/>
                <w:color w:val="auto"/>
                <w:lang w:val="en-US" w:eastAsia="zh-CN"/>
              </w:rPr>
            </w:pPr>
            <w:r>
              <w:rPr>
                <w:rFonts w:hint="eastAsia"/>
                <w:color w:val="auto"/>
                <w:lang w:eastAsia="zh-CN"/>
              </w:rPr>
              <w:t>表</w:t>
            </w:r>
            <w:r>
              <w:rPr>
                <w:rFonts w:hint="eastAsia"/>
                <w:color w:val="auto"/>
                <w:lang w:val="en-US" w:eastAsia="zh-CN"/>
              </w:rPr>
              <w:t>4-3 主要设备噪声源强  单位dB（A）</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1196"/>
              <w:gridCol w:w="1196"/>
              <w:gridCol w:w="1196"/>
              <w:gridCol w:w="1196"/>
              <w:gridCol w:w="1392"/>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dxa"/>
                  <w:noWrap w:val="0"/>
                  <w:vAlign w:val="center"/>
                </w:tcPr>
                <w:p>
                  <w:pPr>
                    <w:pStyle w:val="111"/>
                    <w:bidi w:val="0"/>
                    <w:jc w:val="center"/>
                    <w:rPr>
                      <w:rFonts w:hint="eastAsia"/>
                      <w:vertAlign w:val="baseline"/>
                      <w:lang w:val="en-US" w:eastAsia="zh-CN"/>
                    </w:rPr>
                  </w:pPr>
                  <w:r>
                    <w:rPr>
                      <w:rFonts w:hint="eastAsia"/>
                      <w:vertAlign w:val="baseline"/>
                      <w:lang w:val="en-US" w:eastAsia="zh-CN"/>
                    </w:rPr>
                    <w:t>序号</w:t>
                  </w:r>
                </w:p>
              </w:tc>
              <w:tc>
                <w:tcPr>
                  <w:tcW w:w="1226" w:type="dxa"/>
                  <w:noWrap w:val="0"/>
                  <w:vAlign w:val="center"/>
                </w:tcPr>
                <w:p>
                  <w:pPr>
                    <w:pStyle w:val="111"/>
                    <w:bidi w:val="0"/>
                    <w:jc w:val="center"/>
                    <w:rPr>
                      <w:rFonts w:hint="eastAsia"/>
                      <w:vertAlign w:val="baseline"/>
                      <w:lang w:val="en-US" w:eastAsia="zh-CN"/>
                    </w:rPr>
                  </w:pPr>
                  <w:r>
                    <w:rPr>
                      <w:rFonts w:hint="eastAsia"/>
                      <w:vertAlign w:val="baseline"/>
                      <w:lang w:val="en-US" w:eastAsia="zh-CN"/>
                    </w:rPr>
                    <w:t>设备名称</w:t>
                  </w:r>
                </w:p>
              </w:tc>
              <w:tc>
                <w:tcPr>
                  <w:tcW w:w="1027" w:type="dxa"/>
                  <w:noWrap w:val="0"/>
                  <w:vAlign w:val="center"/>
                </w:tcPr>
                <w:p>
                  <w:pPr>
                    <w:pStyle w:val="111"/>
                    <w:bidi w:val="0"/>
                    <w:jc w:val="center"/>
                    <w:rPr>
                      <w:rFonts w:hint="eastAsia"/>
                      <w:vertAlign w:val="baseline"/>
                      <w:lang w:val="en-US" w:eastAsia="zh-CN"/>
                    </w:rPr>
                  </w:pPr>
                  <w:r>
                    <w:rPr>
                      <w:rFonts w:hint="eastAsia"/>
                      <w:vertAlign w:val="baseline"/>
                      <w:lang w:val="en-US" w:eastAsia="zh-CN"/>
                    </w:rPr>
                    <w:t>声源地点</w:t>
                  </w:r>
                </w:p>
              </w:tc>
              <w:tc>
                <w:tcPr>
                  <w:tcW w:w="840" w:type="dxa"/>
                  <w:noWrap w:val="0"/>
                  <w:vAlign w:val="center"/>
                </w:tcPr>
                <w:p>
                  <w:pPr>
                    <w:pStyle w:val="111"/>
                    <w:bidi w:val="0"/>
                    <w:jc w:val="center"/>
                    <w:rPr>
                      <w:rFonts w:hint="eastAsia"/>
                      <w:vertAlign w:val="baseline"/>
                      <w:lang w:val="en-US" w:eastAsia="zh-CN"/>
                    </w:rPr>
                  </w:pPr>
                  <w:r>
                    <w:rPr>
                      <w:rFonts w:hint="eastAsia"/>
                      <w:vertAlign w:val="baseline"/>
                      <w:lang w:val="en-US" w:eastAsia="zh-CN"/>
                    </w:rPr>
                    <w:t>数量</w:t>
                  </w:r>
                </w:p>
              </w:tc>
              <w:tc>
                <w:tcPr>
                  <w:tcW w:w="934" w:type="dxa"/>
                  <w:noWrap w:val="0"/>
                  <w:vAlign w:val="center"/>
                </w:tcPr>
                <w:p>
                  <w:pPr>
                    <w:pStyle w:val="111"/>
                    <w:bidi w:val="0"/>
                    <w:jc w:val="center"/>
                    <w:rPr>
                      <w:rFonts w:hint="eastAsia"/>
                      <w:vertAlign w:val="baseline"/>
                      <w:lang w:val="en-US" w:eastAsia="zh-CN"/>
                    </w:rPr>
                  </w:pPr>
                  <w:r>
                    <w:rPr>
                      <w:rFonts w:hint="eastAsia"/>
                      <w:vertAlign w:val="baseline"/>
                      <w:lang w:val="en-US" w:eastAsia="zh-CN"/>
                    </w:rPr>
                    <w:t>源强</w:t>
                  </w:r>
                </w:p>
              </w:tc>
              <w:tc>
                <w:tcPr>
                  <w:tcW w:w="2458" w:type="dxa"/>
                  <w:noWrap w:val="0"/>
                  <w:vAlign w:val="center"/>
                </w:tcPr>
                <w:p>
                  <w:pPr>
                    <w:pStyle w:val="111"/>
                    <w:bidi w:val="0"/>
                    <w:jc w:val="center"/>
                    <w:rPr>
                      <w:rFonts w:hint="eastAsia"/>
                      <w:vertAlign w:val="baseline"/>
                      <w:lang w:val="en-US" w:eastAsia="zh-CN"/>
                    </w:rPr>
                  </w:pPr>
                  <w:r>
                    <w:rPr>
                      <w:rFonts w:hint="eastAsia"/>
                      <w:vertAlign w:val="baseline"/>
                      <w:lang w:val="en-US" w:eastAsia="zh-CN"/>
                    </w:rPr>
                    <w:t>治理措施</w:t>
                  </w:r>
                </w:p>
              </w:tc>
              <w:tc>
                <w:tcPr>
                  <w:tcW w:w="1222" w:type="dxa"/>
                  <w:noWrap w:val="0"/>
                  <w:vAlign w:val="center"/>
                </w:tcPr>
                <w:p>
                  <w:pPr>
                    <w:pStyle w:val="111"/>
                    <w:bidi w:val="0"/>
                    <w:jc w:val="center"/>
                    <w:rPr>
                      <w:rFonts w:hint="eastAsia"/>
                      <w:vertAlign w:val="baseline"/>
                      <w:lang w:val="en-US" w:eastAsia="zh-CN"/>
                    </w:rPr>
                  </w:pPr>
                  <w:r>
                    <w:rPr>
                      <w:rFonts w:hint="eastAsia"/>
                      <w:vertAlign w:val="baseline"/>
                      <w:lang w:val="en-US" w:eastAsia="zh-CN"/>
                    </w:rPr>
                    <w:t>治理后的噪声级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dxa"/>
                  <w:noWrap w:val="0"/>
                  <w:vAlign w:val="center"/>
                </w:tcPr>
                <w:p>
                  <w:pPr>
                    <w:pStyle w:val="111"/>
                    <w:bidi w:val="0"/>
                    <w:jc w:val="center"/>
                    <w:rPr>
                      <w:rFonts w:hint="default"/>
                      <w:vertAlign w:val="baseline"/>
                      <w:lang w:val="en-US" w:eastAsia="zh-CN"/>
                    </w:rPr>
                  </w:pPr>
                  <w:r>
                    <w:rPr>
                      <w:rFonts w:hint="eastAsia"/>
                      <w:vertAlign w:val="baseline"/>
                      <w:lang w:val="en-US" w:eastAsia="zh-CN"/>
                    </w:rPr>
                    <w:t>1</w:t>
                  </w:r>
                </w:p>
              </w:tc>
              <w:tc>
                <w:tcPr>
                  <w:tcW w:w="1226" w:type="dxa"/>
                  <w:noWrap w:val="0"/>
                  <w:vAlign w:val="center"/>
                </w:tcPr>
                <w:p>
                  <w:pPr>
                    <w:pStyle w:val="111"/>
                    <w:bidi w:val="0"/>
                    <w:jc w:val="center"/>
                    <w:rPr>
                      <w:rFonts w:hint="eastAsia"/>
                      <w:vertAlign w:val="baseline"/>
                      <w:lang w:val="en-US" w:eastAsia="zh-CN"/>
                    </w:rPr>
                  </w:pPr>
                  <w:r>
                    <w:rPr>
                      <w:rFonts w:hint="eastAsia"/>
                      <w:vertAlign w:val="baseline"/>
                      <w:lang w:val="en-US" w:eastAsia="zh-CN"/>
                    </w:rPr>
                    <w:t>空调外机</w:t>
                  </w:r>
                </w:p>
              </w:tc>
              <w:tc>
                <w:tcPr>
                  <w:tcW w:w="1027" w:type="dxa"/>
                  <w:noWrap w:val="0"/>
                  <w:vAlign w:val="center"/>
                </w:tcPr>
                <w:p>
                  <w:pPr>
                    <w:pStyle w:val="111"/>
                    <w:bidi w:val="0"/>
                    <w:jc w:val="center"/>
                    <w:rPr>
                      <w:rFonts w:hint="eastAsia"/>
                      <w:vertAlign w:val="baseline"/>
                      <w:lang w:val="en-US" w:eastAsia="zh-CN"/>
                    </w:rPr>
                  </w:pPr>
                  <w:r>
                    <w:rPr>
                      <w:rFonts w:hint="eastAsia"/>
                      <w:vertAlign w:val="baseline"/>
                      <w:lang w:val="en-US" w:eastAsia="zh-CN"/>
                    </w:rPr>
                    <w:t>医院外墙</w:t>
                  </w:r>
                </w:p>
              </w:tc>
              <w:tc>
                <w:tcPr>
                  <w:tcW w:w="840" w:type="dxa"/>
                  <w:noWrap w:val="0"/>
                  <w:vAlign w:val="center"/>
                </w:tcPr>
                <w:p>
                  <w:pPr>
                    <w:pStyle w:val="111"/>
                    <w:bidi w:val="0"/>
                    <w:jc w:val="center"/>
                    <w:rPr>
                      <w:rFonts w:hint="default"/>
                      <w:vertAlign w:val="baseline"/>
                      <w:lang w:val="en-US" w:eastAsia="zh-CN"/>
                    </w:rPr>
                  </w:pPr>
                  <w:r>
                    <w:rPr>
                      <w:rFonts w:hint="eastAsia"/>
                      <w:vertAlign w:val="baseline"/>
                      <w:lang w:val="en-US" w:eastAsia="zh-CN"/>
                    </w:rPr>
                    <w:t>10</w:t>
                  </w:r>
                </w:p>
              </w:tc>
              <w:tc>
                <w:tcPr>
                  <w:tcW w:w="934" w:type="dxa"/>
                  <w:noWrap w:val="0"/>
                  <w:vAlign w:val="center"/>
                </w:tcPr>
                <w:p>
                  <w:pPr>
                    <w:pStyle w:val="111"/>
                    <w:bidi w:val="0"/>
                    <w:jc w:val="center"/>
                    <w:rPr>
                      <w:rFonts w:hint="default"/>
                      <w:vertAlign w:val="baseline"/>
                      <w:lang w:val="en-US" w:eastAsia="zh-CN"/>
                    </w:rPr>
                  </w:pPr>
                  <w:r>
                    <w:rPr>
                      <w:rFonts w:hint="eastAsia"/>
                      <w:vertAlign w:val="baseline"/>
                      <w:lang w:val="en-US" w:eastAsia="zh-CN"/>
                    </w:rPr>
                    <w:t>55~65</w:t>
                  </w:r>
                </w:p>
              </w:tc>
              <w:tc>
                <w:tcPr>
                  <w:tcW w:w="2458" w:type="dxa"/>
                  <w:vMerge w:val="restart"/>
                  <w:noWrap w:val="0"/>
                  <w:vAlign w:val="center"/>
                </w:tcPr>
                <w:p>
                  <w:pPr>
                    <w:pStyle w:val="111"/>
                    <w:bidi w:val="0"/>
                  </w:pPr>
                  <w:r>
                    <w:rPr>
                      <w:rFonts w:hint="eastAsia"/>
                      <w:lang w:val="en-US" w:eastAsia="zh-CN"/>
                    </w:rPr>
                    <w:t xml:space="preserve">①选用低噪声设备； </w:t>
                  </w:r>
                </w:p>
                <w:p>
                  <w:pPr>
                    <w:pStyle w:val="111"/>
                    <w:bidi w:val="0"/>
                  </w:pPr>
                  <w:r>
                    <w:rPr>
                      <w:rFonts w:hint="eastAsia"/>
                      <w:lang w:val="en-US" w:eastAsia="zh-CN"/>
                    </w:rPr>
                    <w:t xml:space="preserve">②设备安装时采取减震 </w:t>
                  </w:r>
                </w:p>
                <w:p>
                  <w:pPr>
                    <w:pStyle w:val="111"/>
                    <w:bidi w:val="0"/>
                  </w:pPr>
                  <w:r>
                    <w:rPr>
                      <w:rFonts w:hint="eastAsia"/>
                      <w:lang w:val="en-US" w:eastAsia="zh-CN"/>
                    </w:rPr>
                    <w:t xml:space="preserve">措施； </w:t>
                  </w:r>
                </w:p>
                <w:p>
                  <w:pPr>
                    <w:pStyle w:val="111"/>
                    <w:bidi w:val="0"/>
                  </w:pPr>
                  <w:r>
                    <w:rPr>
                      <w:rFonts w:hint="eastAsia"/>
                      <w:lang w:val="en-US" w:eastAsia="zh-CN"/>
                    </w:rPr>
                    <w:t xml:space="preserve">③医院墙体隔声； </w:t>
                  </w:r>
                </w:p>
                <w:p>
                  <w:pPr>
                    <w:pStyle w:val="111"/>
                    <w:bidi w:val="0"/>
                    <w:rPr>
                      <w:rFonts w:hint="eastAsia"/>
                      <w:lang w:val="en-US" w:eastAsia="zh-CN"/>
                    </w:rPr>
                  </w:pPr>
                  <w:r>
                    <w:rPr>
                      <w:rFonts w:hint="eastAsia"/>
                      <w:lang w:val="en-US" w:eastAsia="zh-CN"/>
                    </w:rPr>
                    <w:t>④采用静音风机</w:t>
                  </w:r>
                </w:p>
              </w:tc>
              <w:tc>
                <w:tcPr>
                  <w:tcW w:w="1222" w:type="dxa"/>
                  <w:noWrap w:val="0"/>
                  <w:vAlign w:val="center"/>
                </w:tcPr>
                <w:p>
                  <w:pPr>
                    <w:pStyle w:val="111"/>
                    <w:bidi w:val="0"/>
                    <w:rPr>
                      <w:rFonts w:hint="default"/>
                      <w:lang w:val="en-US" w:eastAsia="zh-CN"/>
                    </w:rPr>
                  </w:pPr>
                  <w:r>
                    <w:rPr>
                      <w:rFonts w:hint="eastAsia"/>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dxa"/>
                  <w:noWrap w:val="0"/>
                  <w:vAlign w:val="center"/>
                </w:tcPr>
                <w:p>
                  <w:pPr>
                    <w:pStyle w:val="111"/>
                    <w:bidi w:val="0"/>
                    <w:jc w:val="center"/>
                    <w:rPr>
                      <w:rFonts w:hint="default"/>
                      <w:vertAlign w:val="baseline"/>
                      <w:lang w:val="en-US" w:eastAsia="zh-CN"/>
                    </w:rPr>
                  </w:pPr>
                  <w:r>
                    <w:rPr>
                      <w:rFonts w:hint="eastAsia"/>
                      <w:vertAlign w:val="baseline"/>
                      <w:lang w:val="en-US" w:eastAsia="zh-CN"/>
                    </w:rPr>
                    <w:t>2</w:t>
                  </w:r>
                </w:p>
              </w:tc>
              <w:tc>
                <w:tcPr>
                  <w:tcW w:w="1226" w:type="dxa"/>
                  <w:noWrap w:val="0"/>
                  <w:vAlign w:val="center"/>
                </w:tcPr>
                <w:p>
                  <w:pPr>
                    <w:pStyle w:val="111"/>
                    <w:bidi w:val="0"/>
                    <w:jc w:val="center"/>
                    <w:rPr>
                      <w:rFonts w:hint="eastAsia"/>
                      <w:vertAlign w:val="baseline"/>
                      <w:lang w:val="en-US" w:eastAsia="zh-CN"/>
                    </w:rPr>
                  </w:pPr>
                  <w:r>
                    <w:rPr>
                      <w:rFonts w:hint="eastAsia"/>
                      <w:vertAlign w:val="baseline"/>
                      <w:lang w:val="en-US" w:eastAsia="zh-CN"/>
                    </w:rPr>
                    <w:t>新风系统风机</w:t>
                  </w:r>
                </w:p>
              </w:tc>
              <w:tc>
                <w:tcPr>
                  <w:tcW w:w="1027" w:type="dxa"/>
                  <w:noWrap w:val="0"/>
                  <w:vAlign w:val="center"/>
                </w:tcPr>
                <w:p>
                  <w:pPr>
                    <w:pStyle w:val="111"/>
                    <w:bidi w:val="0"/>
                    <w:jc w:val="center"/>
                    <w:rPr>
                      <w:rFonts w:hint="eastAsia"/>
                      <w:vertAlign w:val="baseline"/>
                      <w:lang w:val="en-US" w:eastAsia="zh-CN"/>
                    </w:rPr>
                  </w:pPr>
                  <w:r>
                    <w:rPr>
                      <w:rFonts w:hint="eastAsia"/>
                      <w:vertAlign w:val="baseline"/>
                      <w:lang w:val="en-US" w:eastAsia="zh-CN"/>
                    </w:rPr>
                    <w:t>医院内</w:t>
                  </w:r>
                </w:p>
              </w:tc>
              <w:tc>
                <w:tcPr>
                  <w:tcW w:w="840" w:type="dxa"/>
                  <w:noWrap w:val="0"/>
                  <w:vAlign w:val="center"/>
                </w:tcPr>
                <w:p>
                  <w:pPr>
                    <w:pStyle w:val="111"/>
                    <w:bidi w:val="0"/>
                    <w:jc w:val="center"/>
                    <w:rPr>
                      <w:rFonts w:hint="default"/>
                      <w:vertAlign w:val="baseline"/>
                      <w:lang w:val="en-US" w:eastAsia="zh-CN"/>
                    </w:rPr>
                  </w:pPr>
                  <w:r>
                    <w:rPr>
                      <w:rFonts w:hint="eastAsia"/>
                      <w:vertAlign w:val="baseline"/>
                      <w:lang w:val="en-US" w:eastAsia="zh-CN"/>
                    </w:rPr>
                    <w:t>2</w:t>
                  </w:r>
                </w:p>
              </w:tc>
              <w:tc>
                <w:tcPr>
                  <w:tcW w:w="934" w:type="dxa"/>
                  <w:noWrap w:val="0"/>
                  <w:vAlign w:val="center"/>
                </w:tcPr>
                <w:p>
                  <w:pPr>
                    <w:pStyle w:val="111"/>
                    <w:bidi w:val="0"/>
                    <w:jc w:val="center"/>
                    <w:rPr>
                      <w:rFonts w:hint="default"/>
                      <w:vertAlign w:val="baseline"/>
                      <w:lang w:val="en-US" w:eastAsia="zh-CN"/>
                    </w:rPr>
                  </w:pPr>
                  <w:r>
                    <w:rPr>
                      <w:rFonts w:hint="eastAsia"/>
                      <w:vertAlign w:val="baseline"/>
                      <w:lang w:val="en-US" w:eastAsia="zh-CN"/>
                    </w:rPr>
                    <w:t>60~65</w:t>
                  </w:r>
                </w:p>
              </w:tc>
              <w:tc>
                <w:tcPr>
                  <w:tcW w:w="2458" w:type="dxa"/>
                  <w:vMerge w:val="continue"/>
                  <w:noWrap w:val="0"/>
                  <w:vAlign w:val="center"/>
                </w:tcPr>
                <w:p>
                  <w:pPr>
                    <w:pStyle w:val="111"/>
                    <w:bidi w:val="0"/>
                    <w:jc w:val="center"/>
                    <w:rPr>
                      <w:rFonts w:hint="eastAsia"/>
                      <w:vertAlign w:val="baseline"/>
                      <w:lang w:val="en-US" w:eastAsia="zh-CN"/>
                    </w:rPr>
                  </w:pPr>
                </w:p>
              </w:tc>
              <w:tc>
                <w:tcPr>
                  <w:tcW w:w="1222" w:type="dxa"/>
                  <w:noWrap w:val="0"/>
                  <w:vAlign w:val="center"/>
                </w:tcPr>
                <w:p>
                  <w:pPr>
                    <w:pStyle w:val="111"/>
                    <w:bidi w:val="0"/>
                    <w:jc w:val="center"/>
                    <w:rPr>
                      <w:rFonts w:hint="default"/>
                      <w:vertAlign w:val="baseline"/>
                      <w:lang w:val="en-US" w:eastAsia="zh-CN"/>
                    </w:rPr>
                  </w:pPr>
                  <w:r>
                    <w:rPr>
                      <w:rFonts w:hint="eastAsia"/>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dxa"/>
                  <w:noWrap w:val="0"/>
                  <w:vAlign w:val="center"/>
                </w:tcPr>
                <w:p>
                  <w:pPr>
                    <w:pStyle w:val="111"/>
                    <w:bidi w:val="0"/>
                    <w:jc w:val="center"/>
                    <w:rPr>
                      <w:rFonts w:hint="default"/>
                      <w:vertAlign w:val="baseline"/>
                      <w:lang w:val="en-US" w:eastAsia="zh-CN"/>
                    </w:rPr>
                  </w:pPr>
                  <w:r>
                    <w:rPr>
                      <w:rFonts w:hint="eastAsia"/>
                      <w:vertAlign w:val="baseline"/>
                      <w:lang w:val="en-US" w:eastAsia="zh-CN"/>
                    </w:rPr>
                    <w:t>3</w:t>
                  </w:r>
                </w:p>
              </w:tc>
              <w:tc>
                <w:tcPr>
                  <w:tcW w:w="1226" w:type="dxa"/>
                  <w:noWrap w:val="0"/>
                  <w:vAlign w:val="center"/>
                </w:tcPr>
                <w:p>
                  <w:pPr>
                    <w:pStyle w:val="111"/>
                    <w:bidi w:val="0"/>
                    <w:jc w:val="center"/>
                    <w:rPr>
                      <w:rFonts w:hint="eastAsia"/>
                      <w:vertAlign w:val="baseline"/>
                      <w:lang w:val="en-US" w:eastAsia="zh-CN"/>
                    </w:rPr>
                  </w:pPr>
                  <w:r>
                    <w:rPr>
                      <w:rFonts w:hint="eastAsia"/>
                      <w:vertAlign w:val="baseline"/>
                      <w:lang w:val="en-US" w:eastAsia="zh-CN"/>
                    </w:rPr>
                    <w:t>宠物叫声</w:t>
                  </w:r>
                </w:p>
              </w:tc>
              <w:tc>
                <w:tcPr>
                  <w:tcW w:w="1027" w:type="dxa"/>
                  <w:noWrap w:val="0"/>
                  <w:vAlign w:val="center"/>
                </w:tcPr>
                <w:p>
                  <w:pPr>
                    <w:pStyle w:val="111"/>
                    <w:bidi w:val="0"/>
                    <w:jc w:val="center"/>
                    <w:rPr>
                      <w:rFonts w:hint="eastAsia"/>
                      <w:vertAlign w:val="baseline"/>
                      <w:lang w:val="en-US" w:eastAsia="zh-CN"/>
                    </w:rPr>
                  </w:pPr>
                  <w:r>
                    <w:rPr>
                      <w:rFonts w:hint="eastAsia"/>
                      <w:vertAlign w:val="baseline"/>
                      <w:lang w:val="en-US" w:eastAsia="zh-CN"/>
                    </w:rPr>
                    <w:t>医院内</w:t>
                  </w:r>
                </w:p>
              </w:tc>
              <w:tc>
                <w:tcPr>
                  <w:tcW w:w="840" w:type="dxa"/>
                  <w:noWrap w:val="0"/>
                  <w:vAlign w:val="center"/>
                </w:tcPr>
                <w:p>
                  <w:pPr>
                    <w:pStyle w:val="111"/>
                    <w:bidi w:val="0"/>
                    <w:jc w:val="center"/>
                    <w:rPr>
                      <w:rFonts w:hint="default"/>
                      <w:vertAlign w:val="baseline"/>
                      <w:lang w:val="en-US" w:eastAsia="zh-CN"/>
                    </w:rPr>
                  </w:pPr>
                  <w:r>
                    <w:rPr>
                      <w:rFonts w:hint="eastAsia"/>
                      <w:vertAlign w:val="baseline"/>
                      <w:lang w:val="en-US" w:eastAsia="zh-CN"/>
                    </w:rPr>
                    <w:t>/</w:t>
                  </w:r>
                </w:p>
              </w:tc>
              <w:tc>
                <w:tcPr>
                  <w:tcW w:w="934" w:type="dxa"/>
                  <w:noWrap w:val="0"/>
                  <w:vAlign w:val="center"/>
                </w:tcPr>
                <w:p>
                  <w:pPr>
                    <w:pStyle w:val="111"/>
                    <w:bidi w:val="0"/>
                    <w:jc w:val="center"/>
                    <w:rPr>
                      <w:rFonts w:hint="default"/>
                      <w:vertAlign w:val="baseline"/>
                      <w:lang w:val="en-US" w:eastAsia="zh-CN"/>
                    </w:rPr>
                  </w:pPr>
                  <w:r>
                    <w:rPr>
                      <w:rFonts w:hint="eastAsia"/>
                      <w:vertAlign w:val="baseline"/>
                      <w:lang w:val="en-US" w:eastAsia="zh-CN"/>
                    </w:rPr>
                    <w:t>60~70</w:t>
                  </w:r>
                </w:p>
              </w:tc>
              <w:tc>
                <w:tcPr>
                  <w:tcW w:w="2458" w:type="dxa"/>
                  <w:noWrap w:val="0"/>
                  <w:vAlign w:val="center"/>
                </w:tcPr>
                <w:p>
                  <w:pPr>
                    <w:pStyle w:val="111"/>
                    <w:bidi w:val="0"/>
                    <w:jc w:val="center"/>
                    <w:rPr>
                      <w:rFonts w:hint="eastAsia"/>
                      <w:vertAlign w:val="baseline"/>
                      <w:lang w:val="en-US" w:eastAsia="zh-CN"/>
                    </w:rPr>
                  </w:pPr>
                  <w:r>
                    <w:rPr>
                      <w:rFonts w:hint="eastAsia"/>
                      <w:vertAlign w:val="baseline"/>
                      <w:lang w:val="en-US" w:eastAsia="zh-CN"/>
                    </w:rPr>
                    <w:t>宠物佩戴口罩或嘴套</w:t>
                  </w:r>
                </w:p>
              </w:tc>
              <w:tc>
                <w:tcPr>
                  <w:tcW w:w="1222" w:type="dxa"/>
                  <w:noWrap w:val="0"/>
                  <w:vAlign w:val="center"/>
                </w:tcPr>
                <w:p>
                  <w:pPr>
                    <w:pStyle w:val="111"/>
                    <w:bidi w:val="0"/>
                    <w:jc w:val="center"/>
                    <w:rPr>
                      <w:rFonts w:hint="default"/>
                      <w:vertAlign w:val="baseline"/>
                      <w:lang w:val="en-US" w:eastAsia="zh-CN"/>
                    </w:rPr>
                  </w:pPr>
                  <w:r>
                    <w:rPr>
                      <w:rFonts w:hint="eastAsia"/>
                      <w:vertAlign w:val="baseline"/>
                      <w:lang w:val="en-US" w:eastAsia="zh-CN"/>
                    </w:rPr>
                    <w:t>60</w:t>
                  </w:r>
                </w:p>
              </w:tc>
            </w:tr>
          </w:tbl>
          <w:p>
            <w:pPr>
              <w:pStyle w:val="6"/>
              <w:bidi w:val="0"/>
              <w:rPr>
                <w:rFonts w:hint="eastAsia"/>
                <w:color w:val="auto"/>
              </w:rPr>
            </w:pPr>
            <w:r>
              <w:rPr>
                <w:rFonts w:hint="eastAsia"/>
                <w:color w:val="auto"/>
                <w:lang w:val="en-US" w:eastAsia="zh-CN"/>
              </w:rPr>
              <w:t>3.2</w:t>
            </w:r>
            <w:r>
              <w:rPr>
                <w:rFonts w:hint="eastAsia"/>
                <w:color w:val="auto"/>
              </w:rPr>
              <w:t>治理措施</w:t>
            </w:r>
          </w:p>
          <w:p>
            <w:pPr>
              <w:pStyle w:val="110"/>
              <w:ind w:firstLine="480"/>
              <w:rPr>
                <w:rFonts w:hint="eastAsia"/>
                <w:color w:val="auto"/>
              </w:rPr>
            </w:pPr>
            <w:r>
              <w:rPr>
                <w:rFonts w:hint="eastAsia"/>
                <w:color w:val="auto"/>
              </w:rPr>
              <w:t xml:space="preserve">①空调外机噪声 </w:t>
            </w:r>
          </w:p>
          <w:p>
            <w:pPr>
              <w:pStyle w:val="110"/>
              <w:ind w:firstLine="480"/>
              <w:rPr>
                <w:rFonts w:hint="eastAsia"/>
                <w:color w:val="auto"/>
              </w:rPr>
            </w:pPr>
            <w:r>
              <w:rPr>
                <w:rFonts w:hint="eastAsia"/>
                <w:color w:val="auto"/>
              </w:rPr>
              <w:t>本项目使用分体式家用空调，空调外机位于项目</w:t>
            </w:r>
            <w:r>
              <w:rPr>
                <w:rFonts w:hint="eastAsia"/>
                <w:color w:val="auto"/>
                <w:lang w:eastAsia="zh-CN"/>
              </w:rPr>
              <w:t>外墙的机位</w:t>
            </w:r>
            <w:r>
              <w:rPr>
                <w:rFonts w:hint="eastAsia"/>
                <w:color w:val="auto"/>
              </w:rPr>
              <w:t>，</w:t>
            </w:r>
            <w:r>
              <w:rPr>
                <w:rFonts w:hint="eastAsia"/>
                <w:color w:val="auto"/>
                <w:lang w:eastAsia="zh-CN"/>
              </w:rPr>
              <w:t>空调外机采用了基座进行安装，外机朝向凤洲路临街，且仅在白天开放，故不影响周边居民正常休息时间，对周边声环境影响较小</w:t>
            </w:r>
            <w:r>
              <w:rPr>
                <w:rFonts w:hint="eastAsia"/>
                <w:color w:val="auto"/>
              </w:rPr>
              <w:t xml:space="preserve">。 </w:t>
            </w:r>
          </w:p>
          <w:p>
            <w:pPr>
              <w:pStyle w:val="110"/>
              <w:ind w:firstLine="480"/>
              <w:rPr>
                <w:rFonts w:hint="eastAsia"/>
                <w:color w:val="auto"/>
              </w:rPr>
            </w:pPr>
            <w:r>
              <w:rPr>
                <w:rFonts w:hint="eastAsia"/>
                <w:color w:val="auto"/>
              </w:rPr>
              <w:t>②宠物叫声</w:t>
            </w:r>
          </w:p>
          <w:p>
            <w:pPr>
              <w:pStyle w:val="110"/>
              <w:ind w:firstLine="480"/>
              <w:rPr>
                <w:rFonts w:hint="eastAsia"/>
                <w:color w:val="auto"/>
              </w:rPr>
            </w:pPr>
            <w:r>
              <w:rPr>
                <w:rFonts w:hint="eastAsia"/>
                <w:color w:val="auto"/>
              </w:rPr>
              <w:t>入院宠物会有日常偶发噪声，主要集中在治疗室、住院室内，项目治疗室墙体厚度约10cm，具有一定的隔音效果，为了防止宠物的叫声对周围环境敏感点造成影响，本项目针对此类噪声具体降噪措施如下：</w:t>
            </w:r>
          </w:p>
          <w:p>
            <w:pPr>
              <w:pStyle w:val="110"/>
              <w:ind w:firstLine="480"/>
              <w:rPr>
                <w:rFonts w:hint="eastAsia"/>
                <w:color w:val="auto"/>
              </w:rPr>
            </w:pPr>
            <w:r>
              <w:rPr>
                <w:rFonts w:hint="eastAsia"/>
                <w:color w:val="auto"/>
              </w:rPr>
              <w:t>①内部采用隔墙，砌到天花板的顶部；</w:t>
            </w:r>
          </w:p>
          <w:p>
            <w:pPr>
              <w:pStyle w:val="110"/>
              <w:ind w:firstLine="480"/>
              <w:rPr>
                <w:rFonts w:hint="eastAsia"/>
                <w:color w:val="auto"/>
              </w:rPr>
            </w:pPr>
            <w:r>
              <w:rPr>
                <w:rFonts w:hint="eastAsia"/>
                <w:color w:val="auto"/>
              </w:rPr>
              <w:t>②采用硬质地板的设计；</w:t>
            </w:r>
          </w:p>
          <w:p>
            <w:pPr>
              <w:pStyle w:val="110"/>
              <w:bidi w:val="0"/>
              <w:rPr>
                <w:rFonts w:hint="eastAsia"/>
                <w:color w:val="auto"/>
              </w:rPr>
            </w:pPr>
            <w:r>
              <w:rPr>
                <w:rFonts w:hint="eastAsia"/>
                <w:color w:val="auto"/>
              </w:rPr>
              <w:t>③住院室、诊室等区域的门窗</w:t>
            </w:r>
            <w:r>
              <w:rPr>
                <w:rFonts w:hint="eastAsia"/>
                <w:color w:val="auto"/>
                <w:lang w:eastAsia="zh-CN"/>
              </w:rPr>
              <w:t>做好</w:t>
            </w:r>
            <w:r>
              <w:rPr>
                <w:rFonts w:hint="eastAsia"/>
                <w:color w:val="auto"/>
              </w:rPr>
              <w:t>隔声处理，使用橡胶密封条或考虑使用双重玻璃、隔声窗；</w:t>
            </w:r>
          </w:p>
          <w:p>
            <w:pPr>
              <w:pStyle w:val="110"/>
              <w:bidi w:val="0"/>
              <w:rPr>
                <w:rFonts w:hint="eastAsia"/>
                <w:color w:val="auto"/>
              </w:rPr>
            </w:pPr>
            <w:r>
              <w:rPr>
                <w:rFonts w:hint="eastAsia"/>
                <w:color w:val="auto"/>
              </w:rPr>
              <w:t>④对入院宠物佩戴口罩或嘴套，且避免宠物处于饥饿状态，并加强管理，宠物医院营业时间为 08:30-18:00，其余时间</w:t>
            </w:r>
            <w:r>
              <w:rPr>
                <w:rFonts w:hint="eastAsia"/>
                <w:color w:val="auto"/>
                <w:lang w:eastAsia="zh-CN"/>
              </w:rPr>
              <w:t>为</w:t>
            </w:r>
            <w:r>
              <w:rPr>
                <w:rFonts w:hint="eastAsia"/>
                <w:color w:val="auto"/>
              </w:rPr>
              <w:t>禁止营业</w:t>
            </w:r>
            <w:r>
              <w:rPr>
                <w:rFonts w:hint="eastAsia"/>
                <w:color w:val="auto"/>
                <w:lang w:eastAsia="zh-CN"/>
              </w:rPr>
              <w:t>状态</w:t>
            </w:r>
            <w:r>
              <w:rPr>
                <w:rFonts w:hint="eastAsia"/>
                <w:color w:val="auto"/>
              </w:rPr>
              <w:t>。</w:t>
            </w:r>
          </w:p>
          <w:p>
            <w:pPr>
              <w:pStyle w:val="6"/>
              <w:numPr>
                <w:ilvl w:val="0"/>
                <w:numId w:val="0"/>
              </w:numPr>
              <w:ind w:leftChars="200"/>
              <w:rPr>
                <w:rFonts w:hint="eastAsia"/>
                <w:color w:val="auto"/>
                <w:lang w:val="en-US" w:eastAsia="zh-CN"/>
              </w:rPr>
            </w:pPr>
            <w:r>
              <w:rPr>
                <w:rFonts w:hint="eastAsia"/>
                <w:color w:val="auto"/>
                <w:lang w:val="en-US" w:eastAsia="zh-CN"/>
              </w:rPr>
              <w:t>3.3 噪声环境影响分析</w:t>
            </w:r>
          </w:p>
          <w:p>
            <w:pPr>
              <w:pStyle w:val="110"/>
              <w:bidi w:val="0"/>
              <w:rPr>
                <w:rFonts w:hint="eastAsia"/>
                <w:color w:val="auto"/>
                <w:lang w:val="en-US" w:eastAsia="zh-CN"/>
              </w:rPr>
            </w:pPr>
            <w:r>
              <w:rPr>
                <w:rFonts w:hint="eastAsia"/>
                <w:color w:val="auto"/>
                <w:lang w:val="en-US" w:eastAsia="zh-CN"/>
              </w:rPr>
              <w:t>（1）噪声源距厂界敏感点距离：</w:t>
            </w:r>
          </w:p>
          <w:p>
            <w:pPr>
              <w:pStyle w:val="123"/>
              <w:bidi w:val="0"/>
              <w:rPr>
                <w:rFonts w:hint="eastAsia"/>
                <w:color w:val="auto"/>
                <w:lang w:val="en-US" w:eastAsia="zh-CN"/>
              </w:rPr>
            </w:pPr>
            <w:r>
              <w:rPr>
                <w:rFonts w:hint="eastAsia"/>
                <w:color w:val="auto"/>
                <w:lang w:val="en-US" w:eastAsia="zh-CN"/>
              </w:rPr>
              <w:t>表4-4 噪声源距厂界及敏感点距离 单位：m</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1135"/>
              <w:gridCol w:w="855"/>
              <w:gridCol w:w="1050"/>
              <w:gridCol w:w="1005"/>
              <w:gridCol w:w="1020"/>
              <w:gridCol w:w="915"/>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162" w:type="dxa"/>
                  <w:vMerge w:val="restart"/>
                  <w:noWrap w:val="0"/>
                  <w:vAlign w:val="center"/>
                </w:tcPr>
                <w:p>
                  <w:pPr>
                    <w:pStyle w:val="176"/>
                    <w:bidi w:val="0"/>
                    <w:rPr>
                      <w:rFonts w:hint="default"/>
                      <w:b w:val="0"/>
                      <w:bCs w:val="0"/>
                      <w:color w:val="auto"/>
                      <w:lang w:val="en-US" w:eastAsia="zh-CN"/>
                    </w:rPr>
                  </w:pPr>
                  <w:r>
                    <w:rPr>
                      <w:rFonts w:hint="eastAsia"/>
                      <w:b w:val="0"/>
                      <w:bCs w:val="0"/>
                      <w:color w:val="auto"/>
                      <w:lang w:val="en-US" w:eastAsia="zh-CN"/>
                    </w:rPr>
                    <w:t>噪声源</w:t>
                  </w:r>
                </w:p>
              </w:tc>
              <w:tc>
                <w:tcPr>
                  <w:tcW w:w="1135" w:type="dxa"/>
                  <w:vMerge w:val="restart"/>
                  <w:noWrap w:val="0"/>
                  <w:vAlign w:val="center"/>
                </w:tcPr>
                <w:p>
                  <w:pPr>
                    <w:pStyle w:val="176"/>
                    <w:bidi w:val="0"/>
                    <w:rPr>
                      <w:rFonts w:hint="default"/>
                      <w:b w:val="0"/>
                      <w:bCs w:val="0"/>
                      <w:color w:val="auto"/>
                      <w:lang w:val="en-US" w:eastAsia="zh-CN"/>
                    </w:rPr>
                  </w:pPr>
                  <w:r>
                    <w:rPr>
                      <w:rFonts w:hint="eastAsia"/>
                      <w:b w:val="0"/>
                      <w:bCs w:val="0"/>
                      <w:color w:val="auto"/>
                      <w:lang w:val="en-US" w:eastAsia="zh-CN"/>
                    </w:rPr>
                    <w:t>噪声源强dB(A）</w:t>
                  </w:r>
                </w:p>
              </w:tc>
              <w:tc>
                <w:tcPr>
                  <w:tcW w:w="5890" w:type="dxa"/>
                  <w:gridSpan w:val="6"/>
                  <w:noWrap w:val="0"/>
                  <w:vAlign w:val="center"/>
                </w:tcPr>
                <w:p>
                  <w:pPr>
                    <w:pStyle w:val="176"/>
                    <w:bidi w:val="0"/>
                    <w:rPr>
                      <w:rFonts w:hint="default"/>
                      <w:b w:val="0"/>
                      <w:bCs w:val="0"/>
                      <w:color w:val="auto"/>
                      <w:lang w:val="en-US" w:eastAsia="zh-CN"/>
                    </w:rPr>
                  </w:pPr>
                  <w:r>
                    <w:rPr>
                      <w:rFonts w:hint="eastAsia"/>
                      <w:b w:val="0"/>
                      <w:bCs w:val="0"/>
                      <w:color w:val="auto"/>
                      <w:lang w:val="en-US" w:eastAsia="zh-CN"/>
                    </w:rPr>
                    <w:t>距离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162" w:type="dxa"/>
                  <w:vMerge w:val="continue"/>
                  <w:noWrap w:val="0"/>
                  <w:vAlign w:val="center"/>
                </w:tcPr>
                <w:p>
                  <w:pPr>
                    <w:pStyle w:val="176"/>
                    <w:bidi w:val="0"/>
                    <w:rPr>
                      <w:rFonts w:hint="eastAsia"/>
                      <w:b w:val="0"/>
                      <w:bCs w:val="0"/>
                      <w:color w:val="auto"/>
                      <w:lang w:val="en-US" w:eastAsia="zh-CN"/>
                    </w:rPr>
                  </w:pPr>
                </w:p>
              </w:tc>
              <w:tc>
                <w:tcPr>
                  <w:tcW w:w="1135" w:type="dxa"/>
                  <w:vMerge w:val="continue"/>
                  <w:noWrap w:val="0"/>
                  <w:vAlign w:val="center"/>
                </w:tcPr>
                <w:p>
                  <w:pPr>
                    <w:pStyle w:val="176"/>
                    <w:bidi w:val="0"/>
                    <w:rPr>
                      <w:rFonts w:hint="eastAsia"/>
                      <w:b w:val="0"/>
                      <w:bCs w:val="0"/>
                      <w:color w:val="auto"/>
                      <w:lang w:val="en-US" w:eastAsia="zh-CN"/>
                    </w:rPr>
                  </w:pPr>
                </w:p>
              </w:tc>
              <w:tc>
                <w:tcPr>
                  <w:tcW w:w="855" w:type="dxa"/>
                  <w:noWrap w:val="0"/>
                  <w:vAlign w:val="center"/>
                </w:tcPr>
                <w:p>
                  <w:pPr>
                    <w:pStyle w:val="176"/>
                    <w:bidi w:val="0"/>
                    <w:rPr>
                      <w:rFonts w:hint="eastAsia"/>
                      <w:b w:val="0"/>
                      <w:bCs w:val="0"/>
                      <w:color w:val="auto"/>
                      <w:lang w:val="en-US" w:eastAsia="zh-CN"/>
                    </w:rPr>
                  </w:pPr>
                  <w:r>
                    <w:rPr>
                      <w:rFonts w:hint="eastAsia"/>
                      <w:b w:val="0"/>
                      <w:bCs w:val="0"/>
                      <w:color w:val="auto"/>
                      <w:lang w:val="en-US" w:eastAsia="zh-CN"/>
                    </w:rPr>
                    <w:t>东厂界</w:t>
                  </w:r>
                </w:p>
              </w:tc>
              <w:tc>
                <w:tcPr>
                  <w:tcW w:w="1050" w:type="dxa"/>
                  <w:noWrap w:val="0"/>
                  <w:vAlign w:val="center"/>
                </w:tcPr>
                <w:p>
                  <w:pPr>
                    <w:pStyle w:val="176"/>
                    <w:bidi w:val="0"/>
                    <w:rPr>
                      <w:rFonts w:hint="eastAsia"/>
                      <w:b w:val="0"/>
                      <w:bCs w:val="0"/>
                      <w:color w:val="auto"/>
                      <w:lang w:val="en-US" w:eastAsia="zh-CN"/>
                    </w:rPr>
                  </w:pPr>
                  <w:r>
                    <w:rPr>
                      <w:rFonts w:hint="eastAsia"/>
                      <w:b w:val="0"/>
                      <w:bCs w:val="0"/>
                      <w:color w:val="auto"/>
                      <w:lang w:val="en-US" w:eastAsia="zh-CN"/>
                    </w:rPr>
                    <w:t>南厂界</w:t>
                  </w:r>
                </w:p>
              </w:tc>
              <w:tc>
                <w:tcPr>
                  <w:tcW w:w="1005" w:type="dxa"/>
                  <w:noWrap w:val="0"/>
                  <w:vAlign w:val="center"/>
                </w:tcPr>
                <w:p>
                  <w:pPr>
                    <w:pStyle w:val="176"/>
                    <w:bidi w:val="0"/>
                    <w:rPr>
                      <w:rFonts w:hint="eastAsia"/>
                      <w:b w:val="0"/>
                      <w:bCs w:val="0"/>
                      <w:color w:val="auto"/>
                      <w:lang w:val="en-US" w:eastAsia="zh-CN"/>
                    </w:rPr>
                  </w:pPr>
                  <w:r>
                    <w:rPr>
                      <w:rFonts w:hint="eastAsia"/>
                      <w:b w:val="0"/>
                      <w:bCs w:val="0"/>
                      <w:color w:val="auto"/>
                      <w:lang w:val="en-US" w:eastAsia="zh-CN"/>
                    </w:rPr>
                    <w:t>西厂界</w:t>
                  </w:r>
                </w:p>
              </w:tc>
              <w:tc>
                <w:tcPr>
                  <w:tcW w:w="1020" w:type="dxa"/>
                  <w:noWrap w:val="0"/>
                  <w:vAlign w:val="center"/>
                </w:tcPr>
                <w:p>
                  <w:pPr>
                    <w:pStyle w:val="176"/>
                    <w:bidi w:val="0"/>
                    <w:rPr>
                      <w:rFonts w:hint="eastAsia"/>
                      <w:b w:val="0"/>
                      <w:bCs w:val="0"/>
                      <w:color w:val="auto"/>
                      <w:lang w:val="en-US" w:eastAsia="zh-CN"/>
                    </w:rPr>
                  </w:pPr>
                  <w:r>
                    <w:rPr>
                      <w:rFonts w:hint="eastAsia"/>
                      <w:b w:val="0"/>
                      <w:bCs w:val="0"/>
                      <w:color w:val="auto"/>
                      <w:lang w:val="en-US" w:eastAsia="zh-CN"/>
                    </w:rPr>
                    <w:t>北厂界</w:t>
                  </w:r>
                </w:p>
              </w:tc>
              <w:tc>
                <w:tcPr>
                  <w:tcW w:w="915" w:type="dxa"/>
                  <w:noWrap w:val="0"/>
                  <w:vAlign w:val="center"/>
                </w:tcPr>
                <w:p>
                  <w:pPr>
                    <w:pStyle w:val="176"/>
                    <w:bidi w:val="0"/>
                    <w:rPr>
                      <w:rFonts w:hint="eastAsia"/>
                      <w:b w:val="0"/>
                      <w:bCs w:val="0"/>
                      <w:color w:val="auto"/>
                      <w:lang w:val="en-US" w:eastAsia="zh-CN"/>
                    </w:rPr>
                  </w:pPr>
                  <w:r>
                    <w:rPr>
                      <w:rFonts w:hint="eastAsia"/>
                      <w:b w:val="0"/>
                      <w:bCs w:val="0"/>
                      <w:color w:val="auto"/>
                      <w:lang w:val="en-US" w:eastAsia="zh-CN"/>
                    </w:rPr>
                    <w:t>17栋住户住户（N1）</w:t>
                  </w:r>
                </w:p>
              </w:tc>
              <w:tc>
                <w:tcPr>
                  <w:tcW w:w="1045" w:type="dxa"/>
                  <w:noWrap w:val="0"/>
                  <w:vAlign w:val="center"/>
                </w:tcPr>
                <w:p>
                  <w:pPr>
                    <w:pStyle w:val="176"/>
                    <w:bidi w:val="0"/>
                    <w:rPr>
                      <w:rFonts w:hint="eastAsia"/>
                      <w:b w:val="0"/>
                      <w:bCs w:val="0"/>
                      <w:color w:val="auto"/>
                      <w:lang w:val="en-US" w:eastAsia="zh-CN"/>
                    </w:rPr>
                  </w:pPr>
                  <w:r>
                    <w:rPr>
                      <w:rFonts w:hint="eastAsia"/>
                      <w:b w:val="0"/>
                      <w:bCs w:val="0"/>
                      <w:color w:val="auto"/>
                      <w:lang w:val="en-US" w:eastAsia="zh-CN"/>
                    </w:rPr>
                    <w:t>乐山市嘉州学校（N2）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noWrap w:val="0"/>
                  <w:vAlign w:val="center"/>
                </w:tcPr>
                <w:p>
                  <w:pPr>
                    <w:pStyle w:val="111"/>
                    <w:bidi w:val="0"/>
                    <w:ind w:firstLine="0" w:firstLineChars="0"/>
                    <w:jc w:val="center"/>
                    <w:rPr>
                      <w:rFonts w:hint="default"/>
                      <w:color w:val="auto"/>
                      <w:lang w:val="en-US" w:eastAsia="zh-CN"/>
                    </w:rPr>
                  </w:pPr>
                  <w:r>
                    <w:rPr>
                      <w:rFonts w:hint="eastAsia"/>
                      <w:vertAlign w:val="baseline"/>
                      <w:lang w:val="en-US" w:eastAsia="zh-CN"/>
                    </w:rPr>
                    <w:t>空调外机</w:t>
                  </w:r>
                </w:p>
              </w:tc>
              <w:tc>
                <w:tcPr>
                  <w:tcW w:w="1135" w:type="dxa"/>
                  <w:noWrap w:val="0"/>
                  <w:vAlign w:val="center"/>
                </w:tcPr>
                <w:p>
                  <w:pPr>
                    <w:pStyle w:val="111"/>
                    <w:bidi w:val="0"/>
                    <w:ind w:firstLine="0" w:firstLineChars="0"/>
                    <w:rPr>
                      <w:rFonts w:hint="default"/>
                      <w:color w:val="auto"/>
                      <w:lang w:val="en-US" w:eastAsia="zh-CN"/>
                    </w:rPr>
                  </w:pPr>
                  <w:r>
                    <w:rPr>
                      <w:rFonts w:hint="eastAsia"/>
                      <w:lang w:val="en-US" w:eastAsia="zh-CN"/>
                    </w:rPr>
                    <w:t>45</w:t>
                  </w:r>
                </w:p>
              </w:tc>
              <w:tc>
                <w:tcPr>
                  <w:tcW w:w="855" w:type="dxa"/>
                  <w:noWrap w:val="0"/>
                  <w:vAlign w:val="center"/>
                </w:tcPr>
                <w:p>
                  <w:pPr>
                    <w:pStyle w:val="176"/>
                    <w:bidi w:val="0"/>
                    <w:rPr>
                      <w:rFonts w:hint="default"/>
                      <w:color w:val="auto"/>
                      <w:lang w:val="en-US" w:eastAsia="zh-CN"/>
                    </w:rPr>
                  </w:pPr>
                  <w:r>
                    <w:rPr>
                      <w:rFonts w:hint="eastAsia"/>
                      <w:color w:val="auto"/>
                      <w:lang w:val="en-US" w:eastAsia="zh-CN"/>
                    </w:rPr>
                    <w:t>1</w:t>
                  </w:r>
                </w:p>
              </w:tc>
              <w:tc>
                <w:tcPr>
                  <w:tcW w:w="1050" w:type="dxa"/>
                  <w:noWrap w:val="0"/>
                  <w:vAlign w:val="center"/>
                </w:tcPr>
                <w:p>
                  <w:pPr>
                    <w:pStyle w:val="176"/>
                    <w:bidi w:val="0"/>
                    <w:rPr>
                      <w:rFonts w:hint="default"/>
                      <w:color w:val="auto"/>
                      <w:lang w:val="en-US" w:eastAsia="zh-CN"/>
                    </w:rPr>
                  </w:pPr>
                  <w:r>
                    <w:rPr>
                      <w:rFonts w:hint="eastAsia"/>
                      <w:color w:val="auto"/>
                      <w:lang w:val="en-US" w:eastAsia="zh-CN"/>
                    </w:rPr>
                    <w:t>1</w:t>
                  </w:r>
                </w:p>
              </w:tc>
              <w:tc>
                <w:tcPr>
                  <w:tcW w:w="1005" w:type="dxa"/>
                  <w:noWrap w:val="0"/>
                  <w:vAlign w:val="center"/>
                </w:tcPr>
                <w:p>
                  <w:pPr>
                    <w:pStyle w:val="176"/>
                    <w:bidi w:val="0"/>
                    <w:rPr>
                      <w:rFonts w:hint="default"/>
                      <w:color w:val="auto"/>
                      <w:lang w:val="en-US" w:eastAsia="zh-CN"/>
                    </w:rPr>
                  </w:pPr>
                  <w:r>
                    <w:rPr>
                      <w:rFonts w:hint="eastAsia"/>
                      <w:color w:val="auto"/>
                      <w:lang w:val="en-US" w:eastAsia="zh-CN"/>
                    </w:rPr>
                    <w:t>3</w:t>
                  </w:r>
                </w:p>
              </w:tc>
              <w:tc>
                <w:tcPr>
                  <w:tcW w:w="1020" w:type="dxa"/>
                  <w:noWrap w:val="0"/>
                  <w:vAlign w:val="center"/>
                </w:tcPr>
                <w:p>
                  <w:pPr>
                    <w:pStyle w:val="176"/>
                    <w:bidi w:val="0"/>
                    <w:rPr>
                      <w:rFonts w:hint="default"/>
                      <w:color w:val="auto"/>
                      <w:lang w:val="en-US" w:eastAsia="zh-CN"/>
                    </w:rPr>
                  </w:pPr>
                  <w:r>
                    <w:rPr>
                      <w:rFonts w:hint="eastAsia"/>
                      <w:color w:val="auto"/>
                      <w:lang w:val="en-US" w:eastAsia="zh-CN"/>
                    </w:rPr>
                    <w:t>4</w:t>
                  </w:r>
                </w:p>
              </w:tc>
              <w:tc>
                <w:tcPr>
                  <w:tcW w:w="915" w:type="dxa"/>
                  <w:noWrap w:val="0"/>
                  <w:vAlign w:val="center"/>
                </w:tcPr>
                <w:p>
                  <w:pPr>
                    <w:pStyle w:val="176"/>
                    <w:bidi w:val="0"/>
                    <w:rPr>
                      <w:rFonts w:hint="default"/>
                      <w:color w:val="auto"/>
                      <w:lang w:val="en-US" w:eastAsia="zh-CN"/>
                    </w:rPr>
                  </w:pPr>
                  <w:r>
                    <w:rPr>
                      <w:rFonts w:hint="eastAsia"/>
                      <w:color w:val="auto"/>
                      <w:lang w:val="en-US" w:eastAsia="zh-CN"/>
                    </w:rPr>
                    <w:t>10</w:t>
                  </w:r>
                </w:p>
              </w:tc>
              <w:tc>
                <w:tcPr>
                  <w:tcW w:w="1045" w:type="dxa"/>
                  <w:noWrap w:val="0"/>
                  <w:vAlign w:val="center"/>
                </w:tcPr>
                <w:p>
                  <w:pPr>
                    <w:pStyle w:val="176"/>
                    <w:bidi w:val="0"/>
                    <w:rPr>
                      <w:rFonts w:hint="default"/>
                      <w:color w:val="auto"/>
                      <w:lang w:val="en-US" w:eastAsia="zh-CN"/>
                    </w:rPr>
                  </w:pPr>
                  <w:r>
                    <w:rPr>
                      <w:rFonts w:hint="eastAsia"/>
                      <w:color w:val="auto"/>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noWrap w:val="0"/>
                  <w:vAlign w:val="center"/>
                </w:tcPr>
                <w:p>
                  <w:pPr>
                    <w:pStyle w:val="111"/>
                    <w:bidi w:val="0"/>
                    <w:ind w:firstLine="0" w:firstLineChars="0"/>
                    <w:jc w:val="center"/>
                    <w:rPr>
                      <w:rFonts w:hint="eastAsia"/>
                      <w:color w:val="auto"/>
                      <w:lang w:val="en-US" w:eastAsia="zh-CN"/>
                    </w:rPr>
                  </w:pPr>
                  <w:r>
                    <w:rPr>
                      <w:rFonts w:hint="eastAsia"/>
                      <w:vertAlign w:val="baseline"/>
                      <w:lang w:val="en-US" w:eastAsia="zh-CN"/>
                    </w:rPr>
                    <w:t>新风系统风机</w:t>
                  </w:r>
                </w:p>
              </w:tc>
              <w:tc>
                <w:tcPr>
                  <w:tcW w:w="1135" w:type="dxa"/>
                  <w:noWrap w:val="0"/>
                  <w:vAlign w:val="center"/>
                </w:tcPr>
                <w:p>
                  <w:pPr>
                    <w:pStyle w:val="111"/>
                    <w:bidi w:val="0"/>
                    <w:ind w:firstLine="0" w:firstLineChars="0"/>
                    <w:jc w:val="center"/>
                    <w:rPr>
                      <w:rFonts w:hint="default"/>
                      <w:color w:val="auto"/>
                      <w:lang w:val="en-US" w:eastAsia="zh-CN"/>
                    </w:rPr>
                  </w:pPr>
                  <w:r>
                    <w:rPr>
                      <w:rFonts w:hint="eastAsia"/>
                      <w:vertAlign w:val="baseline"/>
                      <w:lang w:val="en-US" w:eastAsia="zh-CN"/>
                    </w:rPr>
                    <w:t>45</w:t>
                  </w:r>
                </w:p>
              </w:tc>
              <w:tc>
                <w:tcPr>
                  <w:tcW w:w="855" w:type="dxa"/>
                  <w:noWrap w:val="0"/>
                  <w:vAlign w:val="center"/>
                </w:tcPr>
                <w:p>
                  <w:pPr>
                    <w:pStyle w:val="176"/>
                    <w:bidi w:val="0"/>
                    <w:rPr>
                      <w:rFonts w:hint="default"/>
                      <w:color w:val="auto"/>
                      <w:lang w:val="en-US" w:eastAsia="zh-CN"/>
                    </w:rPr>
                  </w:pPr>
                  <w:r>
                    <w:rPr>
                      <w:rFonts w:hint="eastAsia"/>
                      <w:color w:val="auto"/>
                      <w:lang w:val="en-US" w:eastAsia="zh-CN"/>
                    </w:rPr>
                    <w:t>5</w:t>
                  </w:r>
                </w:p>
              </w:tc>
              <w:tc>
                <w:tcPr>
                  <w:tcW w:w="1050" w:type="dxa"/>
                  <w:noWrap w:val="0"/>
                  <w:vAlign w:val="center"/>
                </w:tcPr>
                <w:p>
                  <w:pPr>
                    <w:pStyle w:val="176"/>
                    <w:bidi w:val="0"/>
                    <w:rPr>
                      <w:rFonts w:hint="default"/>
                      <w:color w:val="auto"/>
                      <w:lang w:val="en-US" w:eastAsia="zh-CN"/>
                    </w:rPr>
                  </w:pPr>
                  <w:r>
                    <w:rPr>
                      <w:rFonts w:hint="eastAsia"/>
                      <w:color w:val="auto"/>
                      <w:lang w:val="en-US" w:eastAsia="zh-CN"/>
                    </w:rPr>
                    <w:t>6</w:t>
                  </w:r>
                </w:p>
              </w:tc>
              <w:tc>
                <w:tcPr>
                  <w:tcW w:w="1005" w:type="dxa"/>
                  <w:noWrap w:val="0"/>
                  <w:vAlign w:val="center"/>
                </w:tcPr>
                <w:p>
                  <w:pPr>
                    <w:pStyle w:val="176"/>
                    <w:bidi w:val="0"/>
                    <w:rPr>
                      <w:rFonts w:hint="default"/>
                      <w:color w:val="auto"/>
                      <w:lang w:val="en-US" w:eastAsia="zh-CN"/>
                    </w:rPr>
                  </w:pPr>
                  <w:r>
                    <w:rPr>
                      <w:rFonts w:hint="eastAsia"/>
                      <w:color w:val="auto"/>
                      <w:lang w:val="en-US" w:eastAsia="zh-CN"/>
                    </w:rPr>
                    <w:t>1</w:t>
                  </w:r>
                </w:p>
              </w:tc>
              <w:tc>
                <w:tcPr>
                  <w:tcW w:w="1020" w:type="dxa"/>
                  <w:noWrap w:val="0"/>
                  <w:vAlign w:val="center"/>
                </w:tcPr>
                <w:p>
                  <w:pPr>
                    <w:pStyle w:val="176"/>
                    <w:bidi w:val="0"/>
                    <w:rPr>
                      <w:rFonts w:hint="default"/>
                      <w:color w:val="auto"/>
                      <w:lang w:val="en-US" w:eastAsia="zh-CN"/>
                    </w:rPr>
                  </w:pPr>
                  <w:r>
                    <w:rPr>
                      <w:rFonts w:hint="eastAsia"/>
                      <w:color w:val="auto"/>
                      <w:lang w:val="en-US" w:eastAsia="zh-CN"/>
                    </w:rPr>
                    <w:t>1</w:t>
                  </w:r>
                </w:p>
              </w:tc>
              <w:tc>
                <w:tcPr>
                  <w:tcW w:w="915" w:type="dxa"/>
                  <w:noWrap w:val="0"/>
                  <w:vAlign w:val="center"/>
                </w:tcPr>
                <w:p>
                  <w:pPr>
                    <w:pStyle w:val="176"/>
                    <w:bidi w:val="0"/>
                    <w:rPr>
                      <w:rFonts w:hint="default"/>
                      <w:color w:val="auto"/>
                      <w:lang w:val="en-US" w:eastAsia="zh-CN"/>
                    </w:rPr>
                  </w:pPr>
                  <w:r>
                    <w:rPr>
                      <w:rFonts w:hint="eastAsia"/>
                      <w:color w:val="auto"/>
                      <w:lang w:val="en-US" w:eastAsia="zh-CN"/>
                    </w:rPr>
                    <w:t>10</w:t>
                  </w:r>
                </w:p>
              </w:tc>
              <w:tc>
                <w:tcPr>
                  <w:tcW w:w="1045" w:type="dxa"/>
                  <w:noWrap w:val="0"/>
                  <w:vAlign w:val="center"/>
                </w:tcPr>
                <w:p>
                  <w:pPr>
                    <w:pStyle w:val="176"/>
                    <w:bidi w:val="0"/>
                    <w:rPr>
                      <w:rFonts w:hint="default"/>
                      <w:color w:val="auto"/>
                      <w:lang w:val="en-US" w:eastAsia="zh-CN"/>
                    </w:rPr>
                  </w:pPr>
                  <w:r>
                    <w:rPr>
                      <w:rFonts w:hint="eastAsia"/>
                      <w:color w:val="auto"/>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noWrap w:val="0"/>
                  <w:vAlign w:val="center"/>
                </w:tcPr>
                <w:p>
                  <w:pPr>
                    <w:pStyle w:val="111"/>
                    <w:bidi w:val="0"/>
                    <w:ind w:firstLine="0" w:firstLineChars="0"/>
                    <w:jc w:val="center"/>
                    <w:rPr>
                      <w:rFonts w:hint="eastAsia"/>
                      <w:color w:val="auto"/>
                      <w:lang w:val="en-US" w:eastAsia="zh-CN"/>
                    </w:rPr>
                  </w:pPr>
                  <w:r>
                    <w:rPr>
                      <w:rFonts w:hint="eastAsia"/>
                      <w:vertAlign w:val="baseline"/>
                      <w:lang w:val="en-US" w:eastAsia="zh-CN"/>
                    </w:rPr>
                    <w:t>宠物叫声</w:t>
                  </w:r>
                </w:p>
              </w:tc>
              <w:tc>
                <w:tcPr>
                  <w:tcW w:w="1135" w:type="dxa"/>
                  <w:noWrap w:val="0"/>
                  <w:vAlign w:val="center"/>
                </w:tcPr>
                <w:p>
                  <w:pPr>
                    <w:pStyle w:val="111"/>
                    <w:bidi w:val="0"/>
                    <w:ind w:firstLine="0" w:firstLineChars="0"/>
                    <w:jc w:val="center"/>
                    <w:rPr>
                      <w:rFonts w:hint="eastAsia"/>
                      <w:color w:val="auto"/>
                      <w:lang w:val="en-US" w:eastAsia="zh-CN"/>
                    </w:rPr>
                  </w:pPr>
                  <w:r>
                    <w:rPr>
                      <w:rFonts w:hint="eastAsia"/>
                      <w:vertAlign w:val="baseline"/>
                      <w:lang w:val="en-US" w:eastAsia="zh-CN"/>
                    </w:rPr>
                    <w:t>60</w:t>
                  </w:r>
                </w:p>
              </w:tc>
              <w:tc>
                <w:tcPr>
                  <w:tcW w:w="855" w:type="dxa"/>
                  <w:noWrap w:val="0"/>
                  <w:vAlign w:val="center"/>
                </w:tcPr>
                <w:p>
                  <w:pPr>
                    <w:pStyle w:val="176"/>
                    <w:bidi w:val="0"/>
                    <w:rPr>
                      <w:rFonts w:hint="default"/>
                      <w:color w:val="auto"/>
                      <w:lang w:val="en-US" w:eastAsia="zh-CN"/>
                    </w:rPr>
                  </w:pPr>
                  <w:r>
                    <w:rPr>
                      <w:rFonts w:hint="eastAsia"/>
                      <w:color w:val="auto"/>
                      <w:lang w:val="en-US" w:eastAsia="zh-CN"/>
                    </w:rPr>
                    <w:t>1</w:t>
                  </w:r>
                </w:p>
              </w:tc>
              <w:tc>
                <w:tcPr>
                  <w:tcW w:w="1050" w:type="dxa"/>
                  <w:noWrap w:val="0"/>
                  <w:vAlign w:val="center"/>
                </w:tcPr>
                <w:p>
                  <w:pPr>
                    <w:pStyle w:val="176"/>
                    <w:bidi w:val="0"/>
                    <w:rPr>
                      <w:rFonts w:hint="default"/>
                      <w:color w:val="auto"/>
                      <w:lang w:val="en-US" w:eastAsia="zh-CN"/>
                    </w:rPr>
                  </w:pPr>
                  <w:r>
                    <w:rPr>
                      <w:rFonts w:hint="eastAsia"/>
                      <w:color w:val="auto"/>
                      <w:lang w:val="en-US" w:eastAsia="zh-CN"/>
                    </w:rPr>
                    <w:t>1</w:t>
                  </w:r>
                </w:p>
              </w:tc>
              <w:tc>
                <w:tcPr>
                  <w:tcW w:w="1005" w:type="dxa"/>
                  <w:noWrap w:val="0"/>
                  <w:vAlign w:val="center"/>
                </w:tcPr>
                <w:p>
                  <w:pPr>
                    <w:pStyle w:val="176"/>
                    <w:bidi w:val="0"/>
                    <w:rPr>
                      <w:rFonts w:hint="default"/>
                      <w:color w:val="auto"/>
                      <w:lang w:val="en-US" w:eastAsia="zh-CN"/>
                    </w:rPr>
                  </w:pPr>
                  <w:r>
                    <w:rPr>
                      <w:rFonts w:hint="eastAsia"/>
                      <w:color w:val="auto"/>
                      <w:lang w:val="en-US" w:eastAsia="zh-CN"/>
                    </w:rPr>
                    <w:t>1</w:t>
                  </w:r>
                </w:p>
              </w:tc>
              <w:tc>
                <w:tcPr>
                  <w:tcW w:w="1020" w:type="dxa"/>
                  <w:noWrap w:val="0"/>
                  <w:vAlign w:val="center"/>
                </w:tcPr>
                <w:p>
                  <w:pPr>
                    <w:pStyle w:val="176"/>
                    <w:bidi w:val="0"/>
                    <w:rPr>
                      <w:rFonts w:hint="default"/>
                      <w:color w:val="auto"/>
                      <w:lang w:val="en-US" w:eastAsia="zh-CN"/>
                    </w:rPr>
                  </w:pPr>
                  <w:r>
                    <w:rPr>
                      <w:rFonts w:hint="eastAsia"/>
                      <w:color w:val="auto"/>
                      <w:lang w:val="en-US" w:eastAsia="zh-CN"/>
                    </w:rPr>
                    <w:t>1</w:t>
                  </w:r>
                </w:p>
              </w:tc>
              <w:tc>
                <w:tcPr>
                  <w:tcW w:w="915" w:type="dxa"/>
                  <w:noWrap w:val="0"/>
                  <w:vAlign w:val="center"/>
                </w:tcPr>
                <w:p>
                  <w:pPr>
                    <w:pStyle w:val="176"/>
                    <w:bidi w:val="0"/>
                    <w:rPr>
                      <w:rFonts w:hint="default"/>
                      <w:color w:val="auto"/>
                      <w:lang w:val="en-US" w:eastAsia="zh-CN"/>
                    </w:rPr>
                  </w:pPr>
                  <w:r>
                    <w:rPr>
                      <w:rFonts w:hint="eastAsia"/>
                      <w:color w:val="auto"/>
                      <w:lang w:val="en-US" w:eastAsia="zh-CN"/>
                    </w:rPr>
                    <w:t>1</w:t>
                  </w:r>
                </w:p>
              </w:tc>
              <w:tc>
                <w:tcPr>
                  <w:tcW w:w="1045" w:type="dxa"/>
                  <w:noWrap w:val="0"/>
                  <w:vAlign w:val="center"/>
                </w:tcPr>
                <w:p>
                  <w:pPr>
                    <w:pStyle w:val="176"/>
                    <w:bidi w:val="0"/>
                    <w:rPr>
                      <w:rFonts w:hint="default"/>
                      <w:color w:val="auto"/>
                      <w:lang w:val="en-US" w:eastAsia="zh-CN"/>
                    </w:rPr>
                  </w:pPr>
                  <w:r>
                    <w:rPr>
                      <w:rFonts w:hint="eastAsia"/>
                      <w:color w:val="auto"/>
                      <w:lang w:val="en-US" w:eastAsia="zh-CN"/>
                    </w:rPr>
                    <w:t>40</w:t>
                  </w:r>
                </w:p>
              </w:tc>
            </w:tr>
          </w:tbl>
          <w:p>
            <w:pPr>
              <w:pStyle w:val="110"/>
              <w:numPr>
                <w:ilvl w:val="0"/>
                <w:numId w:val="0"/>
              </w:numPr>
              <w:bidi w:val="0"/>
              <w:ind w:leftChars="200"/>
              <w:rPr>
                <w:rFonts w:hint="eastAsia"/>
                <w:color w:val="auto"/>
                <w:lang w:val="en-US" w:eastAsia="zh-CN"/>
              </w:rPr>
            </w:pPr>
            <w:r>
              <w:rPr>
                <w:rFonts w:hint="eastAsia"/>
                <w:color w:val="auto"/>
                <w:lang w:val="en-US" w:eastAsia="zh-CN"/>
              </w:rPr>
              <w:t>（2）计算声源作用在预测点时产生的A声级</w:t>
            </w:r>
          </w:p>
          <w:p>
            <w:pPr>
              <w:pStyle w:val="110"/>
              <w:bidi w:val="0"/>
              <w:rPr>
                <w:rFonts w:hint="default"/>
                <w:color w:val="auto"/>
                <w:lang w:val="en-US" w:eastAsia="zh-CN"/>
              </w:rPr>
            </w:pPr>
            <w:r>
              <w:rPr>
                <w:rFonts w:hint="default"/>
                <w:color w:val="auto"/>
                <w:lang w:val="en-US" w:eastAsia="zh-CN"/>
              </w:rPr>
              <w:t>项目噪声随着距离的衰减可采用以下预测模式计算：</w:t>
            </w:r>
          </w:p>
          <w:p>
            <w:pPr>
              <w:pStyle w:val="110"/>
              <w:bidi w:val="0"/>
              <w:jc w:val="center"/>
              <w:rPr>
                <w:rFonts w:hint="default"/>
                <w:color w:val="auto"/>
                <w:sz w:val="32"/>
                <w:szCs w:val="32"/>
                <w:lang w:val="en-US" w:eastAsia="zh-CN"/>
              </w:rPr>
            </w:pPr>
            <w:r>
              <w:rPr>
                <w:rFonts w:hint="default"/>
                <w:color w:val="auto"/>
                <w:sz w:val="28"/>
                <w:szCs w:val="28"/>
                <w:lang w:val="en-US" w:eastAsia="zh-CN"/>
              </w:rPr>
              <w:t>L</w:t>
            </w:r>
            <w:r>
              <w:rPr>
                <w:rFonts w:hint="default"/>
                <w:color w:val="auto"/>
                <w:sz w:val="28"/>
                <w:szCs w:val="28"/>
                <w:vertAlign w:val="subscript"/>
                <w:lang w:val="en-US" w:eastAsia="zh-CN"/>
              </w:rPr>
              <w:t>1</w:t>
            </w:r>
            <w:r>
              <w:rPr>
                <w:rFonts w:hint="default"/>
                <w:color w:val="auto"/>
                <w:sz w:val="28"/>
                <w:szCs w:val="28"/>
                <w:lang w:val="en-US" w:eastAsia="zh-CN"/>
              </w:rPr>
              <w:t>＝L</w:t>
            </w:r>
            <w:r>
              <w:rPr>
                <w:rFonts w:hint="default"/>
                <w:color w:val="auto"/>
                <w:sz w:val="28"/>
                <w:szCs w:val="28"/>
                <w:vertAlign w:val="subscript"/>
                <w:lang w:val="en-US" w:eastAsia="zh-CN"/>
              </w:rPr>
              <w:t>0</w:t>
            </w:r>
            <w:r>
              <w:rPr>
                <w:rFonts w:hint="default"/>
                <w:color w:val="auto"/>
                <w:sz w:val="28"/>
                <w:szCs w:val="28"/>
                <w:lang w:val="en-US" w:eastAsia="zh-CN"/>
              </w:rPr>
              <w:t>－20lg</w:t>
            </w:r>
            <w:r>
              <w:rPr>
                <w:rFonts w:hint="eastAsia"/>
                <w:color w:val="auto"/>
                <w:sz w:val="28"/>
                <w:szCs w:val="28"/>
                <w:lang w:val="en-US" w:eastAsia="zh-CN"/>
              </w:rPr>
              <w:t>(</w:t>
            </w:r>
            <w:r>
              <w:rPr>
                <w:rFonts w:hint="default"/>
                <w:color w:val="auto"/>
                <w:sz w:val="28"/>
                <w:szCs w:val="28"/>
                <w:lang w:val="en-US" w:eastAsia="zh-CN"/>
              </w:rPr>
              <w:t>r</w:t>
            </w:r>
            <w:r>
              <w:rPr>
                <w:rFonts w:hint="default"/>
                <w:color w:val="auto"/>
                <w:sz w:val="28"/>
                <w:szCs w:val="28"/>
                <w:vertAlign w:val="subscript"/>
                <w:lang w:val="en-US" w:eastAsia="zh-CN"/>
              </w:rPr>
              <w:t>1</w:t>
            </w:r>
            <w:r>
              <w:rPr>
                <w:rFonts w:hint="eastAsia"/>
                <w:color w:val="auto"/>
                <w:sz w:val="28"/>
                <w:szCs w:val="28"/>
                <w:lang w:val="en-US" w:eastAsia="zh-CN"/>
              </w:rPr>
              <w:t>/</w:t>
            </w:r>
            <w:r>
              <w:rPr>
                <w:rFonts w:hint="default"/>
                <w:color w:val="auto"/>
                <w:sz w:val="28"/>
                <w:szCs w:val="28"/>
                <w:lang w:val="en-US" w:eastAsia="zh-CN"/>
              </w:rPr>
              <w:t xml:space="preserve">r </w:t>
            </w:r>
            <w:r>
              <w:rPr>
                <w:rFonts w:hint="default"/>
                <w:color w:val="auto"/>
                <w:sz w:val="28"/>
                <w:szCs w:val="28"/>
                <w:vertAlign w:val="subscript"/>
                <w:lang w:val="en-US" w:eastAsia="zh-CN"/>
              </w:rPr>
              <w:t>0</w:t>
            </w:r>
            <w:r>
              <w:rPr>
                <w:rFonts w:hint="eastAsia"/>
                <w:color w:val="auto"/>
                <w:sz w:val="28"/>
                <w:szCs w:val="28"/>
                <w:lang w:val="en-US" w:eastAsia="zh-CN"/>
              </w:rPr>
              <w:t>)-</w:t>
            </w:r>
            <w:r>
              <w:rPr>
                <w:rFonts w:hint="default"/>
                <w:color w:val="auto"/>
                <w:sz w:val="28"/>
                <w:szCs w:val="28"/>
                <w:lang w:val="en-US" w:eastAsia="zh-CN"/>
              </w:rPr>
              <w:t>△L</w:t>
            </w:r>
          </w:p>
          <w:p>
            <w:pPr>
              <w:pStyle w:val="110"/>
              <w:bidi w:val="0"/>
              <w:rPr>
                <w:rFonts w:hint="default"/>
                <w:color w:val="auto"/>
                <w:lang w:val="en-US" w:eastAsia="zh-CN"/>
              </w:rPr>
            </w:pPr>
            <w:r>
              <w:rPr>
                <w:rFonts w:hint="default"/>
                <w:color w:val="auto"/>
                <w:lang w:val="en-US" w:eastAsia="zh-CN"/>
              </w:rPr>
              <w:t>式中：L</w:t>
            </w:r>
            <w:r>
              <w:rPr>
                <w:rFonts w:hint="default"/>
                <w:color w:val="auto"/>
                <w:vertAlign w:val="subscript"/>
                <w:lang w:val="en-US" w:eastAsia="zh-CN"/>
              </w:rPr>
              <w:t>1</w:t>
            </w:r>
            <w:r>
              <w:rPr>
                <w:rFonts w:hint="default"/>
                <w:color w:val="auto"/>
                <w:lang w:val="en-US" w:eastAsia="zh-CN"/>
              </w:rPr>
              <w:t xml:space="preserve"> ——距声源r</w:t>
            </w:r>
            <w:r>
              <w:rPr>
                <w:rFonts w:hint="default"/>
                <w:color w:val="auto"/>
                <w:vertAlign w:val="subscript"/>
                <w:lang w:val="en-US" w:eastAsia="zh-CN"/>
              </w:rPr>
              <w:t>1</w:t>
            </w:r>
            <w:r>
              <w:rPr>
                <w:rFonts w:hint="default"/>
                <w:color w:val="auto"/>
                <w:lang w:val="en-US" w:eastAsia="zh-CN"/>
              </w:rPr>
              <w:t>处的声级，dB（A）；</w:t>
            </w:r>
          </w:p>
          <w:p>
            <w:pPr>
              <w:pStyle w:val="110"/>
              <w:bidi w:val="0"/>
              <w:ind w:firstLine="1200" w:firstLineChars="500"/>
              <w:rPr>
                <w:rFonts w:hint="default"/>
                <w:color w:val="auto"/>
                <w:lang w:val="en-US" w:eastAsia="zh-CN"/>
              </w:rPr>
            </w:pPr>
            <w:r>
              <w:rPr>
                <w:rFonts w:hint="default"/>
                <w:color w:val="auto"/>
                <w:lang w:val="en-US" w:eastAsia="zh-CN"/>
              </w:rPr>
              <w:t>L</w:t>
            </w:r>
            <w:r>
              <w:rPr>
                <w:rFonts w:hint="default"/>
                <w:color w:val="auto"/>
                <w:vertAlign w:val="subscript"/>
                <w:lang w:val="en-US" w:eastAsia="zh-CN"/>
              </w:rPr>
              <w:t>0</w:t>
            </w:r>
            <w:r>
              <w:rPr>
                <w:rFonts w:hint="default"/>
                <w:color w:val="auto"/>
                <w:lang w:val="en-US" w:eastAsia="zh-CN"/>
              </w:rPr>
              <w:t xml:space="preserve"> ——距声源r</w:t>
            </w:r>
            <w:r>
              <w:rPr>
                <w:rFonts w:hint="default"/>
                <w:color w:val="auto"/>
                <w:vertAlign w:val="subscript"/>
                <w:lang w:val="en-US" w:eastAsia="zh-CN"/>
              </w:rPr>
              <w:t>0</w:t>
            </w:r>
            <w:r>
              <w:rPr>
                <w:rFonts w:hint="default"/>
                <w:color w:val="auto"/>
                <w:lang w:val="en-US" w:eastAsia="zh-CN"/>
              </w:rPr>
              <w:t>处的声级，dB（A）；</w:t>
            </w:r>
          </w:p>
          <w:p>
            <w:pPr>
              <w:pStyle w:val="110"/>
              <w:bidi w:val="0"/>
              <w:ind w:firstLine="960" w:firstLineChars="400"/>
              <w:rPr>
                <w:rFonts w:hint="default"/>
                <w:color w:val="auto"/>
                <w:lang w:val="en-US" w:eastAsia="zh-CN"/>
              </w:rPr>
            </w:pPr>
            <w:r>
              <w:rPr>
                <w:rFonts w:hint="default"/>
                <w:color w:val="auto"/>
                <w:lang w:val="en-US" w:eastAsia="zh-CN"/>
              </w:rPr>
              <w:t>r</w:t>
            </w:r>
            <w:r>
              <w:rPr>
                <w:rFonts w:hint="default"/>
                <w:color w:val="auto"/>
                <w:vertAlign w:val="subscript"/>
                <w:lang w:val="en-US" w:eastAsia="zh-CN"/>
              </w:rPr>
              <w:t>1</w:t>
            </w:r>
            <w:r>
              <w:rPr>
                <w:rFonts w:hint="default"/>
                <w:color w:val="auto"/>
                <w:lang w:val="en-US" w:eastAsia="zh-CN"/>
              </w:rPr>
              <w:t xml:space="preserve"> ——预测点距噪声源距离，m；</w:t>
            </w:r>
          </w:p>
          <w:p>
            <w:pPr>
              <w:pStyle w:val="110"/>
              <w:bidi w:val="0"/>
              <w:ind w:firstLine="960" w:firstLineChars="400"/>
              <w:rPr>
                <w:rFonts w:hint="default"/>
                <w:color w:val="auto"/>
                <w:lang w:val="en-US" w:eastAsia="zh-CN"/>
              </w:rPr>
            </w:pPr>
            <w:r>
              <w:rPr>
                <w:rFonts w:hint="default"/>
                <w:color w:val="auto"/>
                <w:lang w:val="en-US" w:eastAsia="zh-CN"/>
              </w:rPr>
              <w:t>r</w:t>
            </w:r>
            <w:r>
              <w:rPr>
                <w:rFonts w:hint="default"/>
                <w:color w:val="auto"/>
                <w:vertAlign w:val="subscript"/>
                <w:lang w:val="en-US" w:eastAsia="zh-CN"/>
              </w:rPr>
              <w:t>0</w:t>
            </w:r>
            <w:r>
              <w:rPr>
                <w:rFonts w:hint="default"/>
                <w:color w:val="auto"/>
                <w:lang w:val="en-US" w:eastAsia="zh-CN"/>
              </w:rPr>
              <w:t xml:space="preserve"> ——</w:t>
            </w:r>
            <w:r>
              <w:rPr>
                <w:rFonts w:hint="eastAsia"/>
                <w:color w:val="auto"/>
                <w:lang w:val="en-US" w:eastAsia="zh-CN"/>
              </w:rPr>
              <w:t>参考位置</w:t>
            </w:r>
            <w:r>
              <w:rPr>
                <w:rFonts w:hint="default"/>
                <w:color w:val="auto"/>
                <w:lang w:val="en-US" w:eastAsia="zh-CN"/>
              </w:rPr>
              <w:t>距噪声源距离，m；</w:t>
            </w:r>
          </w:p>
          <w:p>
            <w:pPr>
              <w:pStyle w:val="110"/>
              <w:bidi w:val="0"/>
              <w:ind w:firstLine="960" w:firstLineChars="400"/>
              <w:rPr>
                <w:rFonts w:hint="eastAsia"/>
                <w:color w:val="auto"/>
                <w:lang w:val="en-US" w:eastAsia="zh-CN"/>
              </w:rPr>
            </w:pPr>
            <w:r>
              <w:rPr>
                <w:rFonts w:hint="default"/>
                <w:color w:val="auto"/>
                <w:lang w:val="en-US" w:eastAsia="zh-CN"/>
              </w:rPr>
              <w:t>△L——各种因素引起的衰减量（包括遮挡物、空气吸收、地面效应引起的衰减量）</w:t>
            </w:r>
            <w:r>
              <w:rPr>
                <w:rFonts w:hint="eastAsia"/>
                <w:color w:val="auto"/>
                <w:lang w:val="en-US" w:eastAsia="zh-CN"/>
              </w:rPr>
              <w:t>。</w:t>
            </w:r>
            <w:r>
              <w:rPr>
                <w:rFonts w:hint="default"/>
                <w:color w:val="auto"/>
                <w:lang w:val="en-US" w:eastAsia="zh-CN"/>
              </w:rPr>
              <w:t>一般为8-25dB</w:t>
            </w:r>
            <w:r>
              <w:rPr>
                <w:rFonts w:hint="eastAsia"/>
                <w:color w:val="auto"/>
                <w:lang w:val="en-US" w:eastAsia="zh-CN"/>
              </w:rPr>
              <w:t>(</w:t>
            </w:r>
            <w:r>
              <w:rPr>
                <w:rFonts w:hint="default"/>
                <w:color w:val="auto"/>
                <w:lang w:val="en-US" w:eastAsia="zh-CN"/>
              </w:rPr>
              <w:t>A</w:t>
            </w:r>
            <w:r>
              <w:rPr>
                <w:rFonts w:hint="eastAsia"/>
                <w:color w:val="auto"/>
                <w:lang w:val="en-US" w:eastAsia="zh-CN"/>
              </w:rPr>
              <w:t>)，</w:t>
            </w:r>
            <w:r>
              <w:rPr>
                <w:rFonts w:hint="default"/>
                <w:color w:val="auto"/>
                <w:lang w:val="en-US" w:eastAsia="zh-CN"/>
              </w:rPr>
              <w:t>本次取</w:t>
            </w:r>
            <w:r>
              <w:rPr>
                <w:rFonts w:hint="eastAsia"/>
                <w:color w:val="auto"/>
                <w:lang w:val="en-US" w:eastAsia="zh-CN"/>
              </w:rPr>
              <w:t>8</w:t>
            </w:r>
            <w:r>
              <w:rPr>
                <w:rFonts w:hint="default"/>
                <w:color w:val="auto"/>
                <w:lang w:val="en-US" w:eastAsia="zh-CN"/>
              </w:rPr>
              <w:t>dB</w:t>
            </w:r>
            <w:r>
              <w:rPr>
                <w:rFonts w:hint="eastAsia"/>
                <w:color w:val="auto"/>
                <w:lang w:val="en-US" w:eastAsia="zh-CN"/>
              </w:rPr>
              <w:t>(</w:t>
            </w:r>
            <w:r>
              <w:rPr>
                <w:rFonts w:hint="default"/>
                <w:color w:val="auto"/>
                <w:lang w:val="en-US" w:eastAsia="zh-CN"/>
              </w:rPr>
              <w:t>A</w:t>
            </w:r>
            <w:r>
              <w:rPr>
                <w:rFonts w:hint="eastAsia"/>
                <w:color w:val="auto"/>
                <w:lang w:val="en-US" w:eastAsia="zh-CN"/>
              </w:rPr>
              <w:t>)。</w:t>
            </w:r>
          </w:p>
          <w:p>
            <w:pPr>
              <w:pStyle w:val="110"/>
              <w:numPr>
                <w:ilvl w:val="0"/>
                <w:numId w:val="10"/>
              </w:numPr>
              <w:bidi w:val="0"/>
              <w:ind w:left="0" w:leftChars="0" w:firstLine="480" w:firstLineChars="200"/>
              <w:rPr>
                <w:rFonts w:hint="eastAsia"/>
                <w:color w:val="auto"/>
                <w:lang w:val="en-US" w:eastAsia="zh-CN"/>
              </w:rPr>
            </w:pPr>
            <w:r>
              <w:rPr>
                <w:rFonts w:hint="eastAsia"/>
                <w:color w:val="auto"/>
                <w:lang w:val="en-US" w:eastAsia="zh-CN"/>
              </w:rPr>
              <w:t>计算噪声从各声源传播到预测点的等效声级贡献值，计算公式如下：</w:t>
            </w:r>
          </w:p>
          <w:p>
            <w:pPr>
              <w:pStyle w:val="110"/>
              <w:numPr>
                <w:ilvl w:val="0"/>
                <w:numId w:val="0"/>
              </w:numPr>
              <w:bidi w:val="0"/>
              <w:ind w:leftChars="200"/>
              <w:jc w:val="center"/>
              <w:rPr>
                <w:color w:val="auto"/>
                <w:szCs w:val="21"/>
              </w:rPr>
            </w:pPr>
            <w:r>
              <w:rPr>
                <w:color w:val="auto"/>
                <w:position w:val="-28"/>
                <w:szCs w:val="21"/>
              </w:rPr>
              <w:object>
                <v:shape id="_x0000_i1036" o:spt="75" type="#_x0000_t75" style="height:34pt;width:89pt;" o:ole="t" filled="f" o:preferrelative="t" stroked="f" coordsize="21600,21600">
                  <v:path/>
                  <v:fill on="f" focussize="0,0"/>
                  <v:stroke on="f"/>
                  <v:imagedata r:id="rId27" o:title=""/>
                  <o:lock v:ext="edit" aspectratio="t"/>
                  <w10:wrap type="none"/>
                  <w10:anchorlock/>
                </v:shape>
                <o:OLEObject Type="Embed" ProgID="Equation.KSEE3" ShapeID="_x0000_i1036" DrawAspect="Content" ObjectID="_1468075728" r:id="rId26">
                  <o:LockedField>false</o:LockedField>
                </o:OLEObject>
              </w:object>
            </w:r>
          </w:p>
          <w:p>
            <w:pPr>
              <w:pStyle w:val="110"/>
              <w:bidi w:val="0"/>
              <w:rPr>
                <w:rFonts w:hint="eastAsia" w:cs="Times New Roman"/>
                <w:color w:val="auto"/>
                <w:lang w:val="en-US" w:eastAsia="zh-CN"/>
              </w:rPr>
            </w:pPr>
            <w:r>
              <w:rPr>
                <w:rFonts w:hint="eastAsia"/>
                <w:color w:val="auto"/>
                <w:lang w:val="en-US" w:eastAsia="zh-CN"/>
              </w:rPr>
              <w:t>式中：L</w:t>
            </w:r>
            <w:r>
              <w:rPr>
                <w:rFonts w:hint="default" w:ascii="Times New Roman" w:hAnsi="Times New Roman" w:cs="Times New Roman"/>
                <w:color w:val="auto"/>
                <w:lang w:val="en-US" w:eastAsia="zh-CN"/>
              </w:rPr>
              <w:t>——</w:t>
            </w:r>
            <w:r>
              <w:rPr>
                <w:rFonts w:hint="eastAsia" w:cs="Times New Roman"/>
                <w:color w:val="auto"/>
                <w:lang w:val="en-US" w:eastAsia="zh-CN"/>
              </w:rPr>
              <w:t>建设项目声源在预测点的等效声级贡献值，dB(A)；</w:t>
            </w:r>
          </w:p>
          <w:p>
            <w:pPr>
              <w:pStyle w:val="110"/>
              <w:bidi w:val="0"/>
              <w:rPr>
                <w:rFonts w:hint="eastAsia" w:cs="Times New Roman"/>
                <w:color w:val="auto"/>
                <w:lang w:val="en-US" w:eastAsia="zh-CN"/>
              </w:rPr>
            </w:pPr>
            <w:r>
              <w:rPr>
                <w:rFonts w:hint="eastAsia" w:cs="Times New Roman"/>
                <w:color w:val="auto"/>
                <w:lang w:val="en-US" w:eastAsia="zh-CN"/>
              </w:rPr>
              <w:t xml:space="preserve">      Li</w:t>
            </w:r>
            <w:r>
              <w:rPr>
                <w:rFonts w:hint="default" w:ascii="Times New Roman" w:hAnsi="Times New Roman" w:cs="Times New Roman"/>
                <w:color w:val="auto"/>
                <w:lang w:val="en-US" w:eastAsia="zh-CN"/>
              </w:rPr>
              <w:t>——</w:t>
            </w:r>
            <w:r>
              <w:rPr>
                <w:rFonts w:hint="eastAsia" w:cs="Times New Roman"/>
                <w:color w:val="auto"/>
                <w:lang w:val="en-US" w:eastAsia="zh-CN"/>
              </w:rPr>
              <w:t>i声源在预测点产生的A声级，dB(A)；</w:t>
            </w:r>
          </w:p>
          <w:p>
            <w:pPr>
              <w:pStyle w:val="110"/>
              <w:bidi w:val="0"/>
              <w:rPr>
                <w:rFonts w:hint="eastAsia"/>
                <w:color w:val="auto"/>
                <w:lang w:val="en-US" w:eastAsia="zh-CN"/>
              </w:rPr>
            </w:pPr>
            <w:r>
              <w:rPr>
                <w:rFonts w:hint="eastAsia"/>
                <w:color w:val="auto"/>
                <w:lang w:val="en-US" w:eastAsia="zh-CN"/>
              </w:rPr>
              <w:t xml:space="preserve">      n</w:t>
            </w:r>
            <w:r>
              <w:rPr>
                <w:rFonts w:hint="default" w:ascii="Times New Roman" w:hAnsi="Times New Roman" w:cs="Times New Roman"/>
                <w:color w:val="auto"/>
                <w:lang w:val="en-US" w:eastAsia="zh-CN"/>
              </w:rPr>
              <w:t>——</w:t>
            </w:r>
            <w:r>
              <w:rPr>
                <w:rFonts w:hint="eastAsia"/>
                <w:color w:val="auto"/>
                <w:lang w:val="en-US" w:eastAsia="zh-CN"/>
              </w:rPr>
              <w:t>声源个数。</w:t>
            </w:r>
          </w:p>
          <w:p>
            <w:pPr>
              <w:pStyle w:val="110"/>
              <w:numPr>
                <w:ilvl w:val="0"/>
                <w:numId w:val="10"/>
              </w:numPr>
              <w:bidi w:val="0"/>
              <w:ind w:left="0" w:leftChars="0" w:firstLine="480" w:firstLineChars="200"/>
              <w:rPr>
                <w:rFonts w:hint="eastAsia"/>
                <w:color w:val="auto"/>
                <w:lang w:val="en-US" w:eastAsia="zh-CN"/>
              </w:rPr>
            </w:pPr>
            <w:r>
              <w:rPr>
                <w:rFonts w:hint="eastAsia"/>
                <w:color w:val="auto"/>
                <w:lang w:val="en-US" w:eastAsia="zh-CN"/>
              </w:rPr>
              <w:t>预测点的预测等效声级的计算，计算公式如下：</w:t>
            </w:r>
          </w:p>
          <w:p>
            <w:pPr>
              <w:pStyle w:val="110"/>
              <w:numPr>
                <w:ilvl w:val="0"/>
                <w:numId w:val="0"/>
              </w:numPr>
              <w:bidi w:val="0"/>
              <w:ind w:leftChars="200"/>
              <w:jc w:val="center"/>
              <w:rPr>
                <w:rFonts w:hint="default"/>
                <w:color w:val="auto"/>
                <w:vertAlign w:val="baseline"/>
                <w:lang w:val="en-US" w:eastAsia="zh-CN"/>
              </w:rPr>
            </w:pPr>
            <w:r>
              <w:rPr>
                <w:rFonts w:hint="eastAsia"/>
                <w:color w:val="auto"/>
                <w:lang w:val="en-US" w:eastAsia="zh-CN"/>
              </w:rPr>
              <w:t>L=10lg(10</w:t>
            </w:r>
            <w:r>
              <w:rPr>
                <w:rFonts w:hint="eastAsia"/>
                <w:color w:val="auto"/>
                <w:vertAlign w:val="superscript"/>
                <w:lang w:val="en-US" w:eastAsia="zh-CN"/>
              </w:rPr>
              <w:t>0.1L贡献值</w:t>
            </w:r>
            <w:r>
              <w:rPr>
                <w:rFonts w:hint="eastAsia"/>
                <w:color w:val="auto"/>
                <w:vertAlign w:val="baseline"/>
                <w:lang w:val="en-US" w:eastAsia="zh-CN"/>
              </w:rPr>
              <w:t>+10</w:t>
            </w:r>
            <w:r>
              <w:rPr>
                <w:rFonts w:hint="eastAsia"/>
                <w:color w:val="auto"/>
                <w:vertAlign w:val="superscript"/>
                <w:lang w:val="en-US" w:eastAsia="zh-CN"/>
              </w:rPr>
              <w:t>0.1L背景值</w:t>
            </w:r>
            <w:r>
              <w:rPr>
                <w:rFonts w:hint="eastAsia"/>
                <w:color w:val="auto"/>
                <w:vertAlign w:val="baseline"/>
                <w:lang w:val="en-US" w:eastAsia="zh-CN"/>
              </w:rPr>
              <w:t>）</w:t>
            </w:r>
          </w:p>
          <w:p>
            <w:pPr>
              <w:pStyle w:val="110"/>
              <w:bidi w:val="0"/>
              <w:rPr>
                <w:rFonts w:hint="eastAsia" w:cs="Times New Roman"/>
                <w:color w:val="auto"/>
                <w:lang w:val="en-US" w:eastAsia="zh-CN"/>
              </w:rPr>
            </w:pPr>
            <w:r>
              <w:rPr>
                <w:rFonts w:hint="eastAsia"/>
                <w:color w:val="auto"/>
                <w:lang w:val="en-US" w:eastAsia="zh-CN"/>
              </w:rPr>
              <w:t>式中：L</w:t>
            </w:r>
            <w:r>
              <w:rPr>
                <w:rFonts w:hint="default" w:ascii="Times New Roman" w:hAnsi="Times New Roman" w:cs="Times New Roman"/>
                <w:color w:val="auto"/>
                <w:lang w:val="en-US" w:eastAsia="zh-CN"/>
              </w:rPr>
              <w:t>——</w:t>
            </w:r>
            <w:r>
              <w:rPr>
                <w:rFonts w:hint="eastAsia" w:cs="Times New Roman"/>
                <w:color w:val="auto"/>
                <w:lang w:val="en-US" w:eastAsia="zh-CN"/>
              </w:rPr>
              <w:t>预测点的预测等效声级，dB(A)；</w:t>
            </w:r>
          </w:p>
          <w:p>
            <w:pPr>
              <w:pStyle w:val="110"/>
              <w:bidi w:val="0"/>
              <w:rPr>
                <w:rFonts w:hint="eastAsia" w:cs="Times New Roman"/>
                <w:color w:val="auto"/>
                <w:lang w:val="en-US" w:eastAsia="zh-CN"/>
              </w:rPr>
            </w:pPr>
            <w:r>
              <w:rPr>
                <w:rFonts w:hint="eastAsia" w:cs="Times New Roman"/>
                <w:color w:val="auto"/>
                <w:lang w:val="en-US" w:eastAsia="zh-CN"/>
              </w:rPr>
              <w:t xml:space="preserve">      L</w:t>
            </w:r>
            <w:r>
              <w:rPr>
                <w:rFonts w:hint="eastAsia" w:cs="Times New Roman"/>
                <w:color w:val="auto"/>
                <w:vertAlign w:val="subscript"/>
                <w:lang w:val="en-US" w:eastAsia="zh-CN"/>
              </w:rPr>
              <w:t>贡献值</w:t>
            </w:r>
            <w:r>
              <w:rPr>
                <w:rFonts w:hint="default" w:ascii="Times New Roman" w:hAnsi="Times New Roman" w:cs="Times New Roman"/>
                <w:color w:val="auto"/>
                <w:lang w:val="en-US" w:eastAsia="zh-CN"/>
              </w:rPr>
              <w:t>——</w:t>
            </w:r>
            <w:r>
              <w:rPr>
                <w:rFonts w:hint="eastAsia" w:cs="Times New Roman"/>
                <w:color w:val="auto"/>
                <w:lang w:val="en-US" w:eastAsia="zh-CN"/>
              </w:rPr>
              <w:t>建设项目声源在预测点的等效声级贡献值，dB(A)；</w:t>
            </w:r>
          </w:p>
          <w:p>
            <w:pPr>
              <w:pStyle w:val="110"/>
              <w:bidi w:val="0"/>
              <w:rPr>
                <w:rFonts w:hint="eastAsia" w:cs="Times New Roman"/>
                <w:color w:val="auto"/>
                <w:lang w:val="en-US" w:eastAsia="zh-CN"/>
              </w:rPr>
            </w:pPr>
            <w:r>
              <w:rPr>
                <w:rFonts w:hint="eastAsia" w:cs="Times New Roman"/>
                <w:color w:val="auto"/>
                <w:lang w:val="en-US" w:eastAsia="zh-CN"/>
              </w:rPr>
              <w:t xml:space="preserve">      L</w:t>
            </w:r>
            <w:r>
              <w:rPr>
                <w:rFonts w:hint="eastAsia" w:cs="Times New Roman"/>
                <w:color w:val="auto"/>
                <w:vertAlign w:val="subscript"/>
                <w:lang w:val="en-US" w:eastAsia="zh-CN"/>
              </w:rPr>
              <w:t>背景值</w:t>
            </w:r>
            <w:r>
              <w:rPr>
                <w:rFonts w:hint="default" w:ascii="Times New Roman" w:hAnsi="Times New Roman" w:cs="Times New Roman"/>
                <w:color w:val="auto"/>
                <w:lang w:val="en-US" w:eastAsia="zh-CN"/>
              </w:rPr>
              <w:t>——</w:t>
            </w:r>
            <w:r>
              <w:rPr>
                <w:rFonts w:hint="eastAsia" w:cs="Times New Roman"/>
                <w:color w:val="auto"/>
                <w:lang w:val="en-US" w:eastAsia="zh-CN"/>
              </w:rPr>
              <w:t>预测点的背景值，dB(A)。</w:t>
            </w:r>
          </w:p>
          <w:p>
            <w:pPr>
              <w:pStyle w:val="110"/>
              <w:numPr>
                <w:ilvl w:val="0"/>
                <w:numId w:val="10"/>
              </w:numPr>
              <w:bidi w:val="0"/>
              <w:ind w:left="0" w:leftChars="0" w:firstLine="480" w:firstLineChars="200"/>
              <w:rPr>
                <w:rFonts w:hint="eastAsia" w:cs="Times New Roman"/>
                <w:color w:val="auto"/>
                <w:lang w:val="en-US" w:eastAsia="zh-CN"/>
              </w:rPr>
            </w:pPr>
            <w:r>
              <w:rPr>
                <w:rFonts w:hint="eastAsia" w:cs="Times New Roman"/>
                <w:color w:val="auto"/>
                <w:lang w:val="en-US" w:eastAsia="zh-CN"/>
              </w:rPr>
              <w:t>厂界噪声预测结果及影响分析</w:t>
            </w:r>
          </w:p>
          <w:p>
            <w:pPr>
              <w:pStyle w:val="123"/>
              <w:bidi w:val="0"/>
              <w:rPr>
                <w:rFonts w:hint="eastAsia"/>
                <w:b/>
                <w:bCs/>
                <w:color w:val="auto"/>
                <w:szCs w:val="21"/>
              </w:rPr>
            </w:pPr>
            <w:r>
              <w:rPr>
                <w:rFonts w:hint="eastAsia"/>
                <w:color w:val="auto"/>
                <w:lang w:val="en-US" w:eastAsia="zh-CN"/>
              </w:rPr>
              <w:t xml:space="preserve">表4-5 </w:t>
            </w:r>
            <w:r>
              <w:rPr>
                <w:rFonts w:hint="eastAsia"/>
                <w:b/>
                <w:bCs/>
                <w:color w:val="auto"/>
                <w:szCs w:val="21"/>
              </w:rPr>
              <w:t>噪声对厂界声环境影响预测结果</w:t>
            </w:r>
          </w:p>
          <w:tbl>
            <w:tblPr>
              <w:tblStyle w:val="4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3"/>
              <w:gridCol w:w="1168"/>
              <w:gridCol w:w="1169"/>
              <w:gridCol w:w="1169"/>
              <w:gridCol w:w="1169"/>
              <w:gridCol w:w="1169"/>
              <w:gridCol w:w="1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01" w:type="pct"/>
                  <w:vMerge w:val="restart"/>
                  <w:noWrap w:val="0"/>
                  <w:vAlign w:val="center"/>
                </w:tcPr>
                <w:p>
                  <w:pPr>
                    <w:pStyle w:val="176"/>
                    <w:bidi w:val="0"/>
                    <w:rPr>
                      <w:rFonts w:hint="default"/>
                      <w:b/>
                      <w:bCs/>
                      <w:color w:val="auto"/>
                      <w:lang w:val="en-US" w:eastAsia="zh-CN"/>
                    </w:rPr>
                  </w:pPr>
                  <w:r>
                    <w:rPr>
                      <w:rFonts w:hint="eastAsia"/>
                      <w:b/>
                      <w:bCs/>
                      <w:color w:val="auto"/>
                      <w:lang w:val="en-US" w:eastAsia="zh-CN"/>
                    </w:rPr>
                    <w:t>噪声源</w:t>
                  </w:r>
                </w:p>
              </w:tc>
              <w:tc>
                <w:tcPr>
                  <w:tcW w:w="4098" w:type="pct"/>
                  <w:gridSpan w:val="6"/>
                  <w:noWrap w:val="0"/>
                  <w:vAlign w:val="center"/>
                </w:tcPr>
                <w:p>
                  <w:pPr>
                    <w:pStyle w:val="176"/>
                    <w:bidi w:val="0"/>
                    <w:rPr>
                      <w:rFonts w:hint="default"/>
                      <w:b/>
                      <w:bCs/>
                      <w:color w:val="auto"/>
                      <w:lang w:val="en-US" w:eastAsia="zh-CN"/>
                    </w:rPr>
                  </w:pPr>
                  <w:r>
                    <w:rPr>
                      <w:rFonts w:hint="eastAsia"/>
                      <w:b/>
                      <w:bCs/>
                      <w:color w:val="auto"/>
                      <w:lang w:val="en-US" w:eastAsia="zh-CN"/>
                    </w:rPr>
                    <w:t>贡献值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pct"/>
                  <w:vMerge w:val="continue"/>
                  <w:noWrap w:val="0"/>
                  <w:vAlign w:val="center"/>
                </w:tcPr>
                <w:p>
                  <w:pPr>
                    <w:pStyle w:val="176"/>
                    <w:bidi w:val="0"/>
                    <w:rPr>
                      <w:rFonts w:hint="default"/>
                      <w:color w:val="auto"/>
                      <w:lang w:val="en-US" w:eastAsia="zh-CN"/>
                    </w:rPr>
                  </w:pPr>
                </w:p>
              </w:tc>
              <w:tc>
                <w:tcPr>
                  <w:tcW w:w="682" w:type="pct"/>
                  <w:noWrap w:val="0"/>
                  <w:vAlign w:val="center"/>
                </w:tcPr>
                <w:p>
                  <w:pPr>
                    <w:pStyle w:val="176"/>
                    <w:bidi w:val="0"/>
                    <w:rPr>
                      <w:rFonts w:hint="default"/>
                      <w:color w:val="auto"/>
                      <w:lang w:val="en-US" w:eastAsia="zh-CN"/>
                    </w:rPr>
                  </w:pPr>
                  <w:r>
                    <w:rPr>
                      <w:rFonts w:hint="eastAsia"/>
                      <w:color w:val="auto"/>
                      <w:lang w:val="en-US" w:eastAsia="zh-CN"/>
                    </w:rPr>
                    <w:t>东厂界</w:t>
                  </w:r>
                </w:p>
              </w:tc>
              <w:tc>
                <w:tcPr>
                  <w:tcW w:w="682" w:type="pct"/>
                  <w:noWrap w:val="0"/>
                  <w:vAlign w:val="center"/>
                </w:tcPr>
                <w:p>
                  <w:pPr>
                    <w:pStyle w:val="176"/>
                    <w:bidi w:val="0"/>
                    <w:rPr>
                      <w:rFonts w:hint="default"/>
                      <w:color w:val="auto"/>
                      <w:lang w:val="en-US" w:eastAsia="zh-CN"/>
                    </w:rPr>
                  </w:pPr>
                  <w:r>
                    <w:rPr>
                      <w:rFonts w:hint="eastAsia"/>
                      <w:color w:val="auto"/>
                      <w:lang w:val="en-US" w:eastAsia="zh-CN"/>
                    </w:rPr>
                    <w:t>南厂界</w:t>
                  </w:r>
                </w:p>
              </w:tc>
              <w:tc>
                <w:tcPr>
                  <w:tcW w:w="682" w:type="pct"/>
                  <w:noWrap w:val="0"/>
                  <w:vAlign w:val="center"/>
                </w:tcPr>
                <w:p>
                  <w:pPr>
                    <w:pStyle w:val="176"/>
                    <w:bidi w:val="0"/>
                    <w:rPr>
                      <w:rFonts w:hint="default"/>
                      <w:color w:val="auto"/>
                      <w:lang w:val="en-US" w:eastAsia="zh-CN"/>
                    </w:rPr>
                  </w:pPr>
                  <w:r>
                    <w:rPr>
                      <w:rFonts w:hint="eastAsia"/>
                      <w:color w:val="auto"/>
                      <w:lang w:val="en-US" w:eastAsia="zh-CN"/>
                    </w:rPr>
                    <w:t>西厂界</w:t>
                  </w:r>
                </w:p>
              </w:tc>
              <w:tc>
                <w:tcPr>
                  <w:tcW w:w="682" w:type="pct"/>
                  <w:noWrap w:val="0"/>
                  <w:vAlign w:val="center"/>
                </w:tcPr>
                <w:p>
                  <w:pPr>
                    <w:pStyle w:val="176"/>
                    <w:bidi w:val="0"/>
                    <w:rPr>
                      <w:rFonts w:hint="default"/>
                      <w:color w:val="auto"/>
                      <w:lang w:val="en-US" w:eastAsia="zh-CN"/>
                    </w:rPr>
                  </w:pPr>
                  <w:r>
                    <w:rPr>
                      <w:rFonts w:hint="eastAsia"/>
                      <w:color w:val="auto"/>
                      <w:lang w:val="en-US" w:eastAsia="zh-CN"/>
                    </w:rPr>
                    <w:t>北厂界</w:t>
                  </w:r>
                </w:p>
              </w:tc>
              <w:tc>
                <w:tcPr>
                  <w:tcW w:w="1133" w:type="dxa"/>
                  <w:noWrap w:val="0"/>
                  <w:vAlign w:val="center"/>
                </w:tcPr>
                <w:p>
                  <w:pPr>
                    <w:pStyle w:val="176"/>
                    <w:bidi w:val="0"/>
                    <w:rPr>
                      <w:rFonts w:hint="default"/>
                      <w:color w:val="auto"/>
                      <w:lang w:val="en-US" w:eastAsia="zh-CN"/>
                    </w:rPr>
                  </w:pPr>
                  <w:r>
                    <w:rPr>
                      <w:rFonts w:hint="eastAsia"/>
                      <w:b w:val="0"/>
                      <w:bCs w:val="0"/>
                      <w:color w:val="auto"/>
                      <w:lang w:val="en-US" w:eastAsia="zh-CN"/>
                    </w:rPr>
                    <w:t>17栋住户住户（N1）</w:t>
                  </w:r>
                </w:p>
              </w:tc>
              <w:tc>
                <w:tcPr>
                  <w:tcW w:w="1143" w:type="dxa"/>
                  <w:noWrap w:val="0"/>
                  <w:vAlign w:val="center"/>
                </w:tcPr>
                <w:p>
                  <w:pPr>
                    <w:pStyle w:val="176"/>
                    <w:bidi w:val="0"/>
                    <w:rPr>
                      <w:rFonts w:hint="default"/>
                      <w:color w:val="auto"/>
                      <w:lang w:val="en-US" w:eastAsia="zh-CN"/>
                    </w:rPr>
                  </w:pPr>
                  <w:r>
                    <w:rPr>
                      <w:rFonts w:hint="eastAsia"/>
                      <w:b w:val="0"/>
                      <w:bCs w:val="0"/>
                      <w:color w:val="auto"/>
                      <w:lang w:val="en-US" w:eastAsia="zh-CN"/>
                    </w:rPr>
                    <w:t>乐山市嘉州学校（N2）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96" w:type="dxa"/>
                  <w:noWrap w:val="0"/>
                  <w:vAlign w:val="center"/>
                </w:tcPr>
                <w:p>
                  <w:pPr>
                    <w:pStyle w:val="111"/>
                    <w:bidi w:val="0"/>
                    <w:ind w:firstLine="0" w:firstLineChars="0"/>
                    <w:jc w:val="center"/>
                    <w:rPr>
                      <w:rFonts w:hint="default"/>
                      <w:color w:val="auto"/>
                      <w:lang w:val="en-US" w:eastAsia="zh-CN"/>
                    </w:rPr>
                  </w:pPr>
                  <w:r>
                    <w:rPr>
                      <w:rFonts w:hint="eastAsia"/>
                      <w:vertAlign w:val="baseline"/>
                      <w:lang w:val="en-US" w:eastAsia="zh-CN"/>
                    </w:rPr>
                    <w:t>空调外机</w:t>
                  </w:r>
                </w:p>
              </w:tc>
              <w:tc>
                <w:tcPr>
                  <w:tcW w:w="1133" w:type="dxa"/>
                  <w:noWrap w:val="0"/>
                  <w:vAlign w:val="center"/>
                </w:tcPr>
                <w:p>
                  <w:pPr>
                    <w:pStyle w:val="111"/>
                    <w:bidi w:val="0"/>
                    <w:rPr>
                      <w:rFonts w:hint="default"/>
                      <w:lang w:val="en-US" w:eastAsia="zh-CN"/>
                    </w:rPr>
                  </w:pPr>
                  <w:r>
                    <w:rPr>
                      <w:rFonts w:hint="eastAsia"/>
                      <w:lang w:val="en-US" w:eastAsia="zh-CN"/>
                    </w:rPr>
                    <w:t xml:space="preserve">37 </w:t>
                  </w:r>
                </w:p>
              </w:tc>
              <w:tc>
                <w:tcPr>
                  <w:tcW w:w="1133" w:type="dxa"/>
                  <w:noWrap w:val="0"/>
                  <w:vAlign w:val="center"/>
                </w:tcPr>
                <w:p>
                  <w:pPr>
                    <w:pStyle w:val="111"/>
                    <w:bidi w:val="0"/>
                    <w:rPr>
                      <w:rFonts w:hint="default"/>
                      <w:lang w:val="en-US" w:eastAsia="zh-CN"/>
                    </w:rPr>
                  </w:pPr>
                  <w:r>
                    <w:rPr>
                      <w:rFonts w:hint="eastAsia"/>
                      <w:lang w:val="en-US" w:eastAsia="zh-CN"/>
                    </w:rPr>
                    <w:t xml:space="preserve">37 </w:t>
                  </w:r>
                </w:p>
              </w:tc>
              <w:tc>
                <w:tcPr>
                  <w:tcW w:w="1133" w:type="dxa"/>
                  <w:noWrap w:val="0"/>
                  <w:vAlign w:val="center"/>
                </w:tcPr>
                <w:p>
                  <w:pPr>
                    <w:pStyle w:val="111"/>
                    <w:bidi w:val="0"/>
                    <w:rPr>
                      <w:rFonts w:hint="default"/>
                      <w:lang w:val="en-US" w:eastAsia="zh-CN"/>
                    </w:rPr>
                  </w:pPr>
                  <w:r>
                    <w:rPr>
                      <w:rFonts w:hint="eastAsia"/>
                      <w:lang w:val="en-US" w:eastAsia="zh-CN"/>
                    </w:rPr>
                    <w:t xml:space="preserve">27 </w:t>
                  </w:r>
                </w:p>
              </w:tc>
              <w:tc>
                <w:tcPr>
                  <w:tcW w:w="1133" w:type="dxa"/>
                  <w:noWrap w:val="0"/>
                  <w:vAlign w:val="center"/>
                </w:tcPr>
                <w:p>
                  <w:pPr>
                    <w:pStyle w:val="111"/>
                    <w:bidi w:val="0"/>
                    <w:rPr>
                      <w:rFonts w:hint="default"/>
                      <w:lang w:val="en-US" w:eastAsia="zh-CN"/>
                    </w:rPr>
                  </w:pPr>
                  <w:r>
                    <w:rPr>
                      <w:rFonts w:hint="eastAsia"/>
                      <w:lang w:val="en-US" w:eastAsia="zh-CN"/>
                    </w:rPr>
                    <w:t xml:space="preserve">25 </w:t>
                  </w:r>
                </w:p>
              </w:tc>
              <w:tc>
                <w:tcPr>
                  <w:tcW w:w="1133" w:type="dxa"/>
                  <w:noWrap w:val="0"/>
                  <w:vAlign w:val="center"/>
                </w:tcPr>
                <w:p>
                  <w:pPr>
                    <w:pStyle w:val="111"/>
                    <w:bidi w:val="0"/>
                    <w:rPr>
                      <w:rFonts w:hint="default"/>
                      <w:lang w:val="en-US" w:eastAsia="zh-CN"/>
                    </w:rPr>
                  </w:pPr>
                  <w:r>
                    <w:rPr>
                      <w:rFonts w:hint="eastAsia"/>
                      <w:lang w:val="en-US" w:eastAsia="zh-CN"/>
                    </w:rPr>
                    <w:t xml:space="preserve">17 </w:t>
                  </w:r>
                </w:p>
              </w:tc>
              <w:tc>
                <w:tcPr>
                  <w:tcW w:w="1143" w:type="dxa"/>
                  <w:noWrap w:val="0"/>
                  <w:vAlign w:val="center"/>
                </w:tcPr>
                <w:p>
                  <w:pPr>
                    <w:pStyle w:val="111"/>
                    <w:bidi w:val="0"/>
                    <w:rPr>
                      <w:rFonts w:hint="default"/>
                      <w:lang w:val="en-US" w:eastAsia="zh-CN"/>
                    </w:rPr>
                  </w:pPr>
                  <w:r>
                    <w:rPr>
                      <w:rFonts w:hint="eastAsia"/>
                      <w:lang w:val="en-US" w:eastAsia="zh-CN"/>
                    </w:rPr>
                    <w:t xml:space="preserve">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6" w:type="dxa"/>
                  <w:noWrap w:val="0"/>
                  <w:vAlign w:val="center"/>
                </w:tcPr>
                <w:p>
                  <w:pPr>
                    <w:pStyle w:val="111"/>
                    <w:bidi w:val="0"/>
                    <w:ind w:firstLine="0" w:firstLineChars="0"/>
                    <w:jc w:val="center"/>
                    <w:rPr>
                      <w:rFonts w:hint="default"/>
                      <w:color w:val="auto"/>
                      <w:lang w:val="en-US" w:eastAsia="zh-CN"/>
                    </w:rPr>
                  </w:pPr>
                  <w:r>
                    <w:rPr>
                      <w:rFonts w:hint="eastAsia"/>
                      <w:vertAlign w:val="baseline"/>
                      <w:lang w:val="en-US" w:eastAsia="zh-CN"/>
                    </w:rPr>
                    <w:t>新风系统风机</w:t>
                  </w:r>
                </w:p>
              </w:tc>
              <w:tc>
                <w:tcPr>
                  <w:tcW w:w="1133" w:type="dxa"/>
                  <w:noWrap w:val="0"/>
                  <w:vAlign w:val="center"/>
                </w:tcPr>
                <w:p>
                  <w:pPr>
                    <w:pStyle w:val="111"/>
                    <w:bidi w:val="0"/>
                    <w:rPr>
                      <w:rFonts w:hint="default"/>
                      <w:lang w:val="en-US" w:eastAsia="zh-CN"/>
                    </w:rPr>
                  </w:pPr>
                  <w:r>
                    <w:rPr>
                      <w:rFonts w:hint="eastAsia"/>
                      <w:lang w:val="en-US" w:eastAsia="zh-CN"/>
                    </w:rPr>
                    <w:t xml:space="preserve">23 </w:t>
                  </w:r>
                </w:p>
              </w:tc>
              <w:tc>
                <w:tcPr>
                  <w:tcW w:w="1133" w:type="dxa"/>
                  <w:noWrap w:val="0"/>
                  <w:vAlign w:val="center"/>
                </w:tcPr>
                <w:p>
                  <w:pPr>
                    <w:pStyle w:val="111"/>
                    <w:bidi w:val="0"/>
                    <w:rPr>
                      <w:rFonts w:hint="default"/>
                      <w:lang w:val="en-US" w:eastAsia="zh-CN"/>
                    </w:rPr>
                  </w:pPr>
                  <w:r>
                    <w:rPr>
                      <w:rFonts w:hint="eastAsia"/>
                      <w:lang w:val="en-US" w:eastAsia="zh-CN"/>
                    </w:rPr>
                    <w:t xml:space="preserve">21 </w:t>
                  </w:r>
                </w:p>
              </w:tc>
              <w:tc>
                <w:tcPr>
                  <w:tcW w:w="1133" w:type="dxa"/>
                  <w:noWrap w:val="0"/>
                  <w:vAlign w:val="center"/>
                </w:tcPr>
                <w:p>
                  <w:pPr>
                    <w:pStyle w:val="111"/>
                    <w:bidi w:val="0"/>
                    <w:rPr>
                      <w:rFonts w:hint="default"/>
                      <w:lang w:val="en-US" w:eastAsia="zh-CN"/>
                    </w:rPr>
                  </w:pPr>
                  <w:r>
                    <w:rPr>
                      <w:rFonts w:hint="eastAsia"/>
                      <w:lang w:val="en-US" w:eastAsia="zh-CN"/>
                    </w:rPr>
                    <w:t xml:space="preserve">37 </w:t>
                  </w:r>
                </w:p>
              </w:tc>
              <w:tc>
                <w:tcPr>
                  <w:tcW w:w="1133" w:type="dxa"/>
                  <w:noWrap w:val="0"/>
                  <w:vAlign w:val="center"/>
                </w:tcPr>
                <w:p>
                  <w:pPr>
                    <w:pStyle w:val="111"/>
                    <w:bidi w:val="0"/>
                    <w:rPr>
                      <w:rFonts w:hint="default"/>
                      <w:lang w:val="en-US" w:eastAsia="zh-CN"/>
                    </w:rPr>
                  </w:pPr>
                  <w:r>
                    <w:rPr>
                      <w:rFonts w:hint="eastAsia"/>
                      <w:lang w:val="en-US" w:eastAsia="zh-CN"/>
                    </w:rPr>
                    <w:t xml:space="preserve">37 </w:t>
                  </w:r>
                </w:p>
              </w:tc>
              <w:tc>
                <w:tcPr>
                  <w:tcW w:w="1133" w:type="dxa"/>
                  <w:noWrap w:val="0"/>
                  <w:vAlign w:val="center"/>
                </w:tcPr>
                <w:p>
                  <w:pPr>
                    <w:pStyle w:val="111"/>
                    <w:bidi w:val="0"/>
                    <w:rPr>
                      <w:rFonts w:hint="default"/>
                      <w:lang w:val="en-US" w:eastAsia="zh-CN"/>
                    </w:rPr>
                  </w:pPr>
                  <w:r>
                    <w:rPr>
                      <w:rFonts w:hint="eastAsia"/>
                      <w:lang w:val="en-US" w:eastAsia="zh-CN"/>
                    </w:rPr>
                    <w:t xml:space="preserve">17 </w:t>
                  </w:r>
                </w:p>
              </w:tc>
              <w:tc>
                <w:tcPr>
                  <w:tcW w:w="1143" w:type="dxa"/>
                  <w:noWrap w:val="0"/>
                  <w:vAlign w:val="center"/>
                </w:tcPr>
                <w:p>
                  <w:pPr>
                    <w:pStyle w:val="111"/>
                    <w:bidi w:val="0"/>
                    <w:rPr>
                      <w:rFonts w:hint="default"/>
                      <w:lang w:val="en-US" w:eastAsia="zh-CN"/>
                    </w:rPr>
                  </w:pPr>
                  <w:r>
                    <w:rPr>
                      <w:rFonts w:hint="eastAsia"/>
                      <w:lang w:val="en-US" w:eastAsia="zh-CN"/>
                    </w:rPr>
                    <w:t xml:space="preserve">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6" w:type="dxa"/>
                  <w:noWrap w:val="0"/>
                  <w:vAlign w:val="center"/>
                </w:tcPr>
                <w:p>
                  <w:pPr>
                    <w:pStyle w:val="111"/>
                    <w:bidi w:val="0"/>
                    <w:ind w:firstLine="0" w:firstLineChars="0"/>
                    <w:jc w:val="center"/>
                    <w:rPr>
                      <w:rFonts w:hint="eastAsia"/>
                      <w:color w:val="auto"/>
                      <w:lang w:val="en-US" w:eastAsia="zh-CN"/>
                    </w:rPr>
                  </w:pPr>
                  <w:r>
                    <w:rPr>
                      <w:rFonts w:hint="eastAsia"/>
                      <w:vertAlign w:val="baseline"/>
                      <w:lang w:val="en-US" w:eastAsia="zh-CN"/>
                    </w:rPr>
                    <w:t>宠物叫声</w:t>
                  </w:r>
                </w:p>
              </w:tc>
              <w:tc>
                <w:tcPr>
                  <w:tcW w:w="1133" w:type="dxa"/>
                  <w:noWrap w:val="0"/>
                  <w:vAlign w:val="center"/>
                </w:tcPr>
                <w:p>
                  <w:pPr>
                    <w:pStyle w:val="111"/>
                    <w:bidi w:val="0"/>
                    <w:rPr>
                      <w:rFonts w:hint="eastAsia"/>
                      <w:lang w:val="en-US" w:eastAsia="zh-CN"/>
                    </w:rPr>
                  </w:pPr>
                  <w:r>
                    <w:rPr>
                      <w:rFonts w:hint="eastAsia"/>
                      <w:lang w:val="en-US" w:eastAsia="zh-CN"/>
                    </w:rPr>
                    <w:t xml:space="preserve">23 </w:t>
                  </w:r>
                </w:p>
              </w:tc>
              <w:tc>
                <w:tcPr>
                  <w:tcW w:w="1133" w:type="dxa"/>
                  <w:noWrap w:val="0"/>
                  <w:vAlign w:val="center"/>
                </w:tcPr>
                <w:p>
                  <w:pPr>
                    <w:pStyle w:val="111"/>
                    <w:bidi w:val="0"/>
                    <w:rPr>
                      <w:rFonts w:hint="eastAsia"/>
                      <w:lang w:val="en-US" w:eastAsia="zh-CN"/>
                    </w:rPr>
                  </w:pPr>
                  <w:r>
                    <w:rPr>
                      <w:rFonts w:hint="eastAsia"/>
                      <w:lang w:val="en-US" w:eastAsia="zh-CN"/>
                    </w:rPr>
                    <w:t xml:space="preserve">21 </w:t>
                  </w:r>
                </w:p>
              </w:tc>
              <w:tc>
                <w:tcPr>
                  <w:tcW w:w="1133" w:type="dxa"/>
                  <w:noWrap w:val="0"/>
                  <w:vAlign w:val="center"/>
                </w:tcPr>
                <w:p>
                  <w:pPr>
                    <w:pStyle w:val="111"/>
                    <w:bidi w:val="0"/>
                    <w:rPr>
                      <w:rFonts w:hint="eastAsia"/>
                      <w:lang w:val="en-US" w:eastAsia="zh-CN"/>
                    </w:rPr>
                  </w:pPr>
                  <w:r>
                    <w:rPr>
                      <w:rFonts w:hint="eastAsia"/>
                      <w:lang w:val="en-US" w:eastAsia="zh-CN"/>
                    </w:rPr>
                    <w:t xml:space="preserve">37 </w:t>
                  </w:r>
                </w:p>
              </w:tc>
              <w:tc>
                <w:tcPr>
                  <w:tcW w:w="1133" w:type="dxa"/>
                  <w:noWrap w:val="0"/>
                  <w:vAlign w:val="center"/>
                </w:tcPr>
                <w:p>
                  <w:pPr>
                    <w:pStyle w:val="111"/>
                    <w:bidi w:val="0"/>
                    <w:rPr>
                      <w:rFonts w:hint="eastAsia"/>
                      <w:lang w:val="en-US" w:eastAsia="zh-CN"/>
                    </w:rPr>
                  </w:pPr>
                  <w:r>
                    <w:rPr>
                      <w:rFonts w:hint="eastAsia"/>
                      <w:lang w:val="en-US" w:eastAsia="zh-CN"/>
                    </w:rPr>
                    <w:t xml:space="preserve">37 </w:t>
                  </w:r>
                </w:p>
              </w:tc>
              <w:tc>
                <w:tcPr>
                  <w:tcW w:w="1133" w:type="dxa"/>
                  <w:noWrap w:val="0"/>
                  <w:vAlign w:val="center"/>
                </w:tcPr>
                <w:p>
                  <w:pPr>
                    <w:pStyle w:val="111"/>
                    <w:bidi w:val="0"/>
                    <w:rPr>
                      <w:rFonts w:hint="eastAsia"/>
                      <w:lang w:val="en-US" w:eastAsia="zh-CN"/>
                    </w:rPr>
                  </w:pPr>
                  <w:r>
                    <w:rPr>
                      <w:rFonts w:hint="eastAsia"/>
                      <w:lang w:val="en-US" w:eastAsia="zh-CN"/>
                    </w:rPr>
                    <w:t xml:space="preserve">17 </w:t>
                  </w:r>
                </w:p>
              </w:tc>
              <w:tc>
                <w:tcPr>
                  <w:tcW w:w="1143" w:type="dxa"/>
                  <w:noWrap w:val="0"/>
                  <w:vAlign w:val="center"/>
                </w:tcPr>
                <w:p>
                  <w:pPr>
                    <w:pStyle w:val="111"/>
                    <w:bidi w:val="0"/>
                    <w:rPr>
                      <w:rFonts w:hint="eastAsia"/>
                      <w:lang w:val="en-US" w:eastAsia="zh-CN"/>
                    </w:rPr>
                  </w:pPr>
                  <w:r>
                    <w:rPr>
                      <w:rFonts w:hint="eastAsia"/>
                      <w:lang w:val="en-US" w:eastAsia="zh-CN"/>
                    </w:rPr>
                    <w:t xml:space="preserve">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pct"/>
                  <w:noWrap w:val="0"/>
                  <w:vAlign w:val="center"/>
                </w:tcPr>
                <w:p>
                  <w:pPr>
                    <w:pStyle w:val="176"/>
                    <w:bidi w:val="0"/>
                    <w:rPr>
                      <w:rFonts w:hint="eastAsia"/>
                      <w:color w:val="auto"/>
                      <w:lang w:val="en-US" w:eastAsia="zh-CN"/>
                    </w:rPr>
                  </w:pPr>
                  <w:r>
                    <w:rPr>
                      <w:rFonts w:hint="eastAsia"/>
                      <w:color w:val="auto"/>
                      <w:lang w:val="en-US" w:eastAsia="zh-CN"/>
                    </w:rPr>
                    <w:t>贡献值叠加</w:t>
                  </w:r>
                </w:p>
              </w:tc>
              <w:tc>
                <w:tcPr>
                  <w:tcW w:w="1133" w:type="dxa"/>
                  <w:noWrap w:val="0"/>
                  <w:vAlign w:val="center"/>
                </w:tcPr>
                <w:p>
                  <w:pPr>
                    <w:pStyle w:val="111"/>
                    <w:bidi w:val="0"/>
                    <w:rPr>
                      <w:rFonts w:hint="default"/>
                      <w:lang w:val="en-US" w:eastAsia="zh-CN"/>
                    </w:rPr>
                  </w:pPr>
                  <w:r>
                    <w:rPr>
                      <w:rFonts w:hint="eastAsia"/>
                      <w:lang w:val="en-US" w:eastAsia="zh-CN"/>
                    </w:rPr>
                    <w:t xml:space="preserve">37 </w:t>
                  </w:r>
                </w:p>
              </w:tc>
              <w:tc>
                <w:tcPr>
                  <w:tcW w:w="1133" w:type="dxa"/>
                  <w:noWrap w:val="0"/>
                  <w:vAlign w:val="center"/>
                </w:tcPr>
                <w:p>
                  <w:pPr>
                    <w:pStyle w:val="111"/>
                    <w:bidi w:val="0"/>
                    <w:rPr>
                      <w:rFonts w:hint="default"/>
                      <w:lang w:val="en-US" w:eastAsia="zh-CN"/>
                    </w:rPr>
                  </w:pPr>
                  <w:r>
                    <w:rPr>
                      <w:rFonts w:hint="eastAsia"/>
                      <w:lang w:val="en-US" w:eastAsia="zh-CN"/>
                    </w:rPr>
                    <w:t xml:space="preserve">37 </w:t>
                  </w:r>
                </w:p>
              </w:tc>
              <w:tc>
                <w:tcPr>
                  <w:tcW w:w="1133" w:type="dxa"/>
                  <w:noWrap w:val="0"/>
                  <w:vAlign w:val="center"/>
                </w:tcPr>
                <w:p>
                  <w:pPr>
                    <w:pStyle w:val="111"/>
                    <w:bidi w:val="0"/>
                    <w:rPr>
                      <w:rFonts w:hint="default"/>
                      <w:lang w:val="en-US" w:eastAsia="zh-CN"/>
                    </w:rPr>
                  </w:pPr>
                  <w:r>
                    <w:rPr>
                      <w:rFonts w:hint="eastAsia"/>
                      <w:lang w:val="en-US" w:eastAsia="zh-CN"/>
                    </w:rPr>
                    <w:t xml:space="preserve">40 </w:t>
                  </w:r>
                </w:p>
              </w:tc>
              <w:tc>
                <w:tcPr>
                  <w:tcW w:w="1133" w:type="dxa"/>
                  <w:noWrap w:val="0"/>
                  <w:vAlign w:val="center"/>
                </w:tcPr>
                <w:p>
                  <w:pPr>
                    <w:pStyle w:val="111"/>
                    <w:bidi w:val="0"/>
                    <w:rPr>
                      <w:rFonts w:hint="default"/>
                      <w:lang w:val="en-US" w:eastAsia="zh-CN"/>
                    </w:rPr>
                  </w:pPr>
                  <w:r>
                    <w:rPr>
                      <w:rFonts w:hint="eastAsia"/>
                      <w:lang w:val="en-US" w:eastAsia="zh-CN"/>
                    </w:rPr>
                    <w:t xml:space="preserve">40 </w:t>
                  </w:r>
                </w:p>
              </w:tc>
              <w:tc>
                <w:tcPr>
                  <w:tcW w:w="1133" w:type="dxa"/>
                  <w:noWrap w:val="0"/>
                  <w:vAlign w:val="center"/>
                </w:tcPr>
                <w:p>
                  <w:pPr>
                    <w:pStyle w:val="111"/>
                    <w:bidi w:val="0"/>
                    <w:rPr>
                      <w:rFonts w:hint="default"/>
                      <w:lang w:val="en-US" w:eastAsia="zh-CN"/>
                    </w:rPr>
                  </w:pPr>
                  <w:r>
                    <w:rPr>
                      <w:rFonts w:hint="eastAsia"/>
                      <w:lang w:val="en-US" w:eastAsia="zh-CN"/>
                    </w:rPr>
                    <w:t xml:space="preserve">22 </w:t>
                  </w:r>
                </w:p>
              </w:tc>
              <w:tc>
                <w:tcPr>
                  <w:tcW w:w="1143" w:type="dxa"/>
                  <w:noWrap w:val="0"/>
                  <w:vAlign w:val="center"/>
                </w:tcPr>
                <w:p>
                  <w:pPr>
                    <w:pStyle w:val="111"/>
                    <w:bidi w:val="0"/>
                    <w:rPr>
                      <w:rFonts w:hint="default"/>
                      <w:lang w:val="en-US" w:eastAsia="zh-CN"/>
                    </w:rPr>
                  </w:pPr>
                  <w:r>
                    <w:rPr>
                      <w:rFonts w:hint="eastAsia"/>
                      <w:lang w:val="en-US" w:eastAsia="zh-CN"/>
                    </w:rPr>
                    <w:t xml:space="preserve">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1" w:type="pct"/>
                  <w:noWrap w:val="0"/>
                  <w:vAlign w:val="center"/>
                </w:tcPr>
                <w:p>
                  <w:pPr>
                    <w:pStyle w:val="176"/>
                    <w:bidi w:val="0"/>
                    <w:rPr>
                      <w:rFonts w:hint="eastAsia"/>
                      <w:color w:val="auto"/>
                      <w:lang w:val="en-US" w:eastAsia="zh-CN"/>
                    </w:rPr>
                  </w:pPr>
                  <w:r>
                    <w:rPr>
                      <w:rFonts w:hint="eastAsia"/>
                      <w:color w:val="auto"/>
                      <w:lang w:val="en-US" w:eastAsia="zh-CN"/>
                    </w:rPr>
                    <w:t>背景值</w:t>
                  </w:r>
                </w:p>
              </w:tc>
              <w:tc>
                <w:tcPr>
                  <w:tcW w:w="1133" w:type="dxa"/>
                  <w:noWrap w:val="0"/>
                  <w:vAlign w:val="center"/>
                </w:tcPr>
                <w:p>
                  <w:pPr>
                    <w:pStyle w:val="176"/>
                    <w:bidi w:val="0"/>
                    <w:rPr>
                      <w:rFonts w:hint="default"/>
                      <w:color w:val="auto"/>
                      <w:lang w:val="en-US" w:eastAsia="zh-CN"/>
                    </w:rPr>
                  </w:pPr>
                  <w:r>
                    <w:rPr>
                      <w:rFonts w:hint="default"/>
                      <w:color w:val="auto"/>
                      <w:lang w:val="en-US" w:eastAsia="zh-CN"/>
                    </w:rPr>
                    <w:t>/</w:t>
                  </w:r>
                </w:p>
              </w:tc>
              <w:tc>
                <w:tcPr>
                  <w:tcW w:w="1133" w:type="dxa"/>
                  <w:noWrap w:val="0"/>
                  <w:vAlign w:val="center"/>
                </w:tcPr>
                <w:p>
                  <w:pPr>
                    <w:pStyle w:val="176"/>
                    <w:bidi w:val="0"/>
                    <w:rPr>
                      <w:rFonts w:hint="default"/>
                      <w:color w:val="auto"/>
                      <w:lang w:val="en-US" w:eastAsia="zh-CN"/>
                    </w:rPr>
                  </w:pPr>
                  <w:r>
                    <w:rPr>
                      <w:rFonts w:hint="eastAsia"/>
                      <w:color w:val="auto"/>
                      <w:lang w:val="en-US" w:eastAsia="zh-CN"/>
                    </w:rPr>
                    <w:t>55</w:t>
                  </w:r>
                </w:p>
              </w:tc>
              <w:tc>
                <w:tcPr>
                  <w:tcW w:w="1133" w:type="dxa"/>
                  <w:noWrap w:val="0"/>
                  <w:vAlign w:val="center"/>
                </w:tcPr>
                <w:p>
                  <w:pPr>
                    <w:pStyle w:val="176"/>
                    <w:bidi w:val="0"/>
                    <w:rPr>
                      <w:rFonts w:hint="default"/>
                      <w:color w:val="auto"/>
                      <w:lang w:val="en-US" w:eastAsia="zh-CN"/>
                    </w:rPr>
                  </w:pPr>
                  <w:r>
                    <w:rPr>
                      <w:rFonts w:hint="default"/>
                      <w:color w:val="auto"/>
                      <w:lang w:val="en-US" w:eastAsia="zh-CN"/>
                    </w:rPr>
                    <w:t>/</w:t>
                  </w:r>
                </w:p>
              </w:tc>
              <w:tc>
                <w:tcPr>
                  <w:tcW w:w="1133" w:type="dxa"/>
                  <w:noWrap w:val="0"/>
                  <w:vAlign w:val="center"/>
                </w:tcPr>
                <w:p>
                  <w:pPr>
                    <w:pStyle w:val="176"/>
                    <w:bidi w:val="0"/>
                    <w:rPr>
                      <w:rFonts w:hint="default"/>
                      <w:color w:val="auto"/>
                      <w:lang w:val="en-US" w:eastAsia="zh-CN"/>
                    </w:rPr>
                  </w:pPr>
                  <w:r>
                    <w:rPr>
                      <w:rFonts w:hint="default"/>
                      <w:color w:val="auto"/>
                      <w:lang w:val="en-US" w:eastAsia="zh-CN"/>
                    </w:rPr>
                    <w:t>/</w:t>
                  </w:r>
                </w:p>
              </w:tc>
              <w:tc>
                <w:tcPr>
                  <w:tcW w:w="1133" w:type="dxa"/>
                  <w:noWrap w:val="0"/>
                  <w:vAlign w:val="center"/>
                </w:tcPr>
                <w:p>
                  <w:pPr>
                    <w:pStyle w:val="176"/>
                    <w:bidi w:val="0"/>
                    <w:rPr>
                      <w:rFonts w:hint="default"/>
                      <w:color w:val="auto"/>
                      <w:lang w:val="en-US" w:eastAsia="zh-CN"/>
                    </w:rPr>
                  </w:pPr>
                  <w:r>
                    <w:rPr>
                      <w:rFonts w:hint="eastAsia"/>
                      <w:color w:val="auto"/>
                      <w:lang w:val="en-US" w:eastAsia="zh-CN"/>
                    </w:rPr>
                    <w:t>50</w:t>
                  </w:r>
                </w:p>
              </w:tc>
              <w:tc>
                <w:tcPr>
                  <w:tcW w:w="1143" w:type="dxa"/>
                  <w:noWrap w:val="0"/>
                  <w:vAlign w:val="center"/>
                </w:tcPr>
                <w:p>
                  <w:pPr>
                    <w:pStyle w:val="176"/>
                    <w:bidi w:val="0"/>
                    <w:rPr>
                      <w:rFonts w:hint="default"/>
                      <w:color w:val="auto"/>
                      <w:lang w:val="en-US" w:eastAsia="zh-CN"/>
                    </w:rPr>
                  </w:pPr>
                  <w:r>
                    <w:rPr>
                      <w:rFonts w:hint="eastAsia"/>
                      <w:color w:val="auto"/>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pct"/>
                  <w:noWrap w:val="0"/>
                  <w:vAlign w:val="center"/>
                </w:tcPr>
                <w:p>
                  <w:pPr>
                    <w:pStyle w:val="176"/>
                    <w:bidi w:val="0"/>
                    <w:rPr>
                      <w:rFonts w:hint="eastAsia"/>
                      <w:color w:val="auto"/>
                      <w:lang w:val="en-US" w:eastAsia="zh-CN"/>
                    </w:rPr>
                  </w:pPr>
                  <w:r>
                    <w:rPr>
                      <w:rFonts w:hint="eastAsia"/>
                      <w:color w:val="auto"/>
                      <w:lang w:val="en-US" w:eastAsia="zh-CN"/>
                    </w:rPr>
                    <w:t>预测值</w:t>
                  </w:r>
                </w:p>
              </w:tc>
              <w:tc>
                <w:tcPr>
                  <w:tcW w:w="1133" w:type="dxa"/>
                  <w:noWrap w:val="0"/>
                  <w:vAlign w:val="center"/>
                </w:tcPr>
                <w:p>
                  <w:pPr>
                    <w:pStyle w:val="176"/>
                    <w:bidi w:val="0"/>
                    <w:rPr>
                      <w:rFonts w:hint="default"/>
                      <w:color w:val="auto"/>
                      <w:lang w:val="en-US" w:eastAsia="zh-CN"/>
                    </w:rPr>
                  </w:pPr>
                  <w:r>
                    <w:rPr>
                      <w:rFonts w:hint="eastAsia"/>
                      <w:color w:val="auto"/>
                      <w:lang w:val="en-US" w:eastAsia="zh-CN"/>
                    </w:rPr>
                    <w:t>/</w:t>
                  </w:r>
                </w:p>
              </w:tc>
              <w:tc>
                <w:tcPr>
                  <w:tcW w:w="1133" w:type="dxa"/>
                  <w:noWrap w:val="0"/>
                  <w:vAlign w:val="center"/>
                </w:tcPr>
                <w:p>
                  <w:pPr>
                    <w:pStyle w:val="176"/>
                    <w:bidi w:val="0"/>
                    <w:rPr>
                      <w:rFonts w:hint="default"/>
                      <w:color w:val="auto"/>
                      <w:lang w:val="en-US" w:eastAsia="zh-CN"/>
                    </w:rPr>
                  </w:pPr>
                  <w:r>
                    <w:rPr>
                      <w:rFonts w:hint="eastAsia"/>
                      <w:color w:val="auto"/>
                      <w:lang w:val="en-US" w:eastAsia="zh-CN"/>
                    </w:rPr>
                    <w:t xml:space="preserve">55 </w:t>
                  </w:r>
                </w:p>
              </w:tc>
              <w:tc>
                <w:tcPr>
                  <w:tcW w:w="1133" w:type="dxa"/>
                  <w:noWrap w:val="0"/>
                  <w:vAlign w:val="center"/>
                </w:tcPr>
                <w:p>
                  <w:pPr>
                    <w:pStyle w:val="176"/>
                    <w:bidi w:val="0"/>
                    <w:rPr>
                      <w:rFonts w:hint="default"/>
                      <w:color w:val="auto"/>
                      <w:lang w:val="en-US" w:eastAsia="zh-CN"/>
                    </w:rPr>
                  </w:pPr>
                  <w:r>
                    <w:rPr>
                      <w:rFonts w:hint="default"/>
                      <w:color w:val="auto"/>
                      <w:lang w:val="en-US" w:eastAsia="zh-CN"/>
                    </w:rPr>
                    <w:t>/</w:t>
                  </w:r>
                </w:p>
              </w:tc>
              <w:tc>
                <w:tcPr>
                  <w:tcW w:w="1133" w:type="dxa"/>
                  <w:noWrap w:val="0"/>
                  <w:vAlign w:val="center"/>
                </w:tcPr>
                <w:p>
                  <w:pPr>
                    <w:pStyle w:val="176"/>
                    <w:bidi w:val="0"/>
                    <w:rPr>
                      <w:rFonts w:hint="default"/>
                      <w:color w:val="auto"/>
                      <w:lang w:val="en-US" w:eastAsia="zh-CN"/>
                    </w:rPr>
                  </w:pPr>
                  <w:r>
                    <w:rPr>
                      <w:rFonts w:hint="default"/>
                      <w:color w:val="auto"/>
                      <w:lang w:val="en-US" w:eastAsia="zh-CN"/>
                    </w:rPr>
                    <w:t>/</w:t>
                  </w:r>
                </w:p>
              </w:tc>
              <w:tc>
                <w:tcPr>
                  <w:tcW w:w="1133" w:type="dxa"/>
                  <w:noWrap w:val="0"/>
                  <w:vAlign w:val="center"/>
                </w:tcPr>
                <w:p>
                  <w:pPr>
                    <w:pStyle w:val="176"/>
                    <w:bidi w:val="0"/>
                    <w:rPr>
                      <w:rFonts w:hint="default"/>
                      <w:color w:val="auto"/>
                      <w:lang w:val="en-US" w:eastAsia="zh-CN"/>
                    </w:rPr>
                  </w:pPr>
                  <w:r>
                    <w:rPr>
                      <w:rFonts w:hint="eastAsia"/>
                      <w:color w:val="auto"/>
                      <w:lang w:val="en-US" w:eastAsia="zh-CN"/>
                    </w:rPr>
                    <w:t>50</w:t>
                  </w:r>
                </w:p>
              </w:tc>
              <w:tc>
                <w:tcPr>
                  <w:tcW w:w="1143" w:type="dxa"/>
                  <w:noWrap w:val="0"/>
                  <w:vAlign w:val="center"/>
                </w:tcPr>
                <w:p>
                  <w:pPr>
                    <w:pStyle w:val="176"/>
                    <w:bidi w:val="0"/>
                    <w:rPr>
                      <w:rFonts w:hint="default"/>
                      <w:color w:val="auto"/>
                      <w:lang w:val="en-US" w:eastAsia="zh-CN"/>
                    </w:rPr>
                  </w:pPr>
                  <w:r>
                    <w:rPr>
                      <w:rFonts w:hint="eastAsia"/>
                      <w:color w:val="auto"/>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pct"/>
                  <w:noWrap w:val="0"/>
                  <w:vAlign w:val="center"/>
                </w:tcPr>
                <w:p>
                  <w:pPr>
                    <w:pStyle w:val="176"/>
                    <w:bidi w:val="0"/>
                    <w:rPr>
                      <w:rFonts w:hint="eastAsia"/>
                      <w:color w:val="auto"/>
                      <w:lang w:val="en-US" w:eastAsia="zh-CN"/>
                    </w:rPr>
                  </w:pPr>
                  <w:r>
                    <w:rPr>
                      <w:rFonts w:hint="eastAsia"/>
                      <w:color w:val="auto"/>
                      <w:lang w:val="en-US" w:eastAsia="zh-CN"/>
                    </w:rPr>
                    <w:t>标准值</w:t>
                  </w:r>
                </w:p>
              </w:tc>
              <w:tc>
                <w:tcPr>
                  <w:tcW w:w="1133" w:type="dxa"/>
                  <w:noWrap w:val="0"/>
                  <w:vAlign w:val="center"/>
                </w:tcPr>
                <w:p>
                  <w:pPr>
                    <w:pStyle w:val="176"/>
                    <w:bidi w:val="0"/>
                    <w:rPr>
                      <w:rFonts w:hint="default"/>
                      <w:color w:val="auto"/>
                      <w:lang w:val="en-US" w:eastAsia="zh-CN"/>
                    </w:rPr>
                  </w:pPr>
                  <w:r>
                    <w:rPr>
                      <w:rFonts w:hint="default"/>
                      <w:color w:val="auto"/>
                      <w:lang w:val="en-US" w:eastAsia="zh-CN"/>
                    </w:rPr>
                    <w:t>60</w:t>
                  </w:r>
                </w:p>
              </w:tc>
              <w:tc>
                <w:tcPr>
                  <w:tcW w:w="1133" w:type="dxa"/>
                  <w:noWrap w:val="0"/>
                  <w:vAlign w:val="center"/>
                </w:tcPr>
                <w:p>
                  <w:pPr>
                    <w:pStyle w:val="176"/>
                    <w:bidi w:val="0"/>
                    <w:rPr>
                      <w:rFonts w:hint="default"/>
                      <w:color w:val="auto"/>
                      <w:lang w:val="en-US" w:eastAsia="zh-CN"/>
                    </w:rPr>
                  </w:pPr>
                  <w:r>
                    <w:rPr>
                      <w:rFonts w:hint="default"/>
                      <w:color w:val="auto"/>
                      <w:lang w:val="en-US" w:eastAsia="zh-CN"/>
                    </w:rPr>
                    <w:t>60</w:t>
                  </w:r>
                </w:p>
              </w:tc>
              <w:tc>
                <w:tcPr>
                  <w:tcW w:w="1133" w:type="dxa"/>
                  <w:noWrap w:val="0"/>
                  <w:vAlign w:val="center"/>
                </w:tcPr>
                <w:p>
                  <w:pPr>
                    <w:pStyle w:val="176"/>
                    <w:bidi w:val="0"/>
                    <w:rPr>
                      <w:rFonts w:hint="default"/>
                      <w:color w:val="auto"/>
                      <w:lang w:val="en-US" w:eastAsia="zh-CN"/>
                    </w:rPr>
                  </w:pPr>
                  <w:r>
                    <w:rPr>
                      <w:rFonts w:hint="default"/>
                      <w:color w:val="auto"/>
                      <w:lang w:val="en-US" w:eastAsia="zh-CN"/>
                    </w:rPr>
                    <w:t>60</w:t>
                  </w:r>
                </w:p>
              </w:tc>
              <w:tc>
                <w:tcPr>
                  <w:tcW w:w="1133" w:type="dxa"/>
                  <w:noWrap w:val="0"/>
                  <w:vAlign w:val="center"/>
                </w:tcPr>
                <w:p>
                  <w:pPr>
                    <w:pStyle w:val="176"/>
                    <w:bidi w:val="0"/>
                    <w:rPr>
                      <w:rFonts w:hint="default"/>
                      <w:color w:val="auto"/>
                      <w:lang w:val="en-US" w:eastAsia="zh-CN"/>
                    </w:rPr>
                  </w:pPr>
                  <w:r>
                    <w:rPr>
                      <w:rFonts w:hint="default"/>
                      <w:color w:val="auto"/>
                      <w:lang w:val="en-US" w:eastAsia="zh-CN"/>
                    </w:rPr>
                    <w:t>60</w:t>
                  </w:r>
                </w:p>
              </w:tc>
              <w:tc>
                <w:tcPr>
                  <w:tcW w:w="1133" w:type="dxa"/>
                  <w:noWrap w:val="0"/>
                  <w:vAlign w:val="center"/>
                </w:tcPr>
                <w:p>
                  <w:pPr>
                    <w:pStyle w:val="176"/>
                    <w:bidi w:val="0"/>
                    <w:rPr>
                      <w:rFonts w:hint="default"/>
                      <w:color w:val="auto"/>
                      <w:lang w:val="en-US" w:eastAsia="zh-CN"/>
                    </w:rPr>
                  </w:pPr>
                  <w:r>
                    <w:rPr>
                      <w:rFonts w:hint="default"/>
                      <w:color w:val="auto"/>
                      <w:lang w:val="en-US" w:eastAsia="zh-CN"/>
                    </w:rPr>
                    <w:t>60</w:t>
                  </w:r>
                </w:p>
              </w:tc>
              <w:tc>
                <w:tcPr>
                  <w:tcW w:w="1143" w:type="dxa"/>
                  <w:noWrap w:val="0"/>
                  <w:vAlign w:val="center"/>
                </w:tcPr>
                <w:p>
                  <w:pPr>
                    <w:pStyle w:val="176"/>
                    <w:bidi w:val="0"/>
                    <w:rPr>
                      <w:rFonts w:hint="default"/>
                      <w:color w:val="auto"/>
                      <w:lang w:val="en-US" w:eastAsia="zh-CN"/>
                    </w:rPr>
                  </w:pPr>
                  <w:r>
                    <w:rPr>
                      <w:rFonts w:hint="default"/>
                      <w:color w:val="auto"/>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1" w:type="pct"/>
                  <w:noWrap w:val="0"/>
                  <w:vAlign w:val="center"/>
                </w:tcPr>
                <w:p>
                  <w:pPr>
                    <w:pStyle w:val="176"/>
                    <w:bidi w:val="0"/>
                    <w:rPr>
                      <w:rFonts w:hint="eastAsia"/>
                      <w:color w:val="auto"/>
                      <w:lang w:val="en-US" w:eastAsia="zh-CN"/>
                    </w:rPr>
                  </w:pPr>
                  <w:r>
                    <w:rPr>
                      <w:rFonts w:hint="eastAsia"/>
                      <w:color w:val="auto"/>
                      <w:lang w:val="en-US" w:eastAsia="zh-CN"/>
                    </w:rPr>
                    <w:t>达标情况</w:t>
                  </w:r>
                </w:p>
              </w:tc>
              <w:tc>
                <w:tcPr>
                  <w:tcW w:w="682" w:type="pct"/>
                  <w:noWrap w:val="0"/>
                  <w:vAlign w:val="center"/>
                </w:tcPr>
                <w:p>
                  <w:pPr>
                    <w:pStyle w:val="176"/>
                    <w:bidi w:val="0"/>
                    <w:rPr>
                      <w:rFonts w:hint="default"/>
                      <w:color w:val="auto"/>
                      <w:lang w:val="en-US" w:eastAsia="zh-CN"/>
                    </w:rPr>
                  </w:pPr>
                  <w:r>
                    <w:rPr>
                      <w:rFonts w:hint="eastAsia"/>
                      <w:color w:val="auto"/>
                      <w:lang w:val="en-US" w:eastAsia="zh-CN"/>
                    </w:rPr>
                    <w:t>达标</w:t>
                  </w:r>
                </w:p>
              </w:tc>
              <w:tc>
                <w:tcPr>
                  <w:tcW w:w="682" w:type="pct"/>
                  <w:noWrap w:val="0"/>
                  <w:vAlign w:val="center"/>
                </w:tcPr>
                <w:p>
                  <w:pPr>
                    <w:pStyle w:val="176"/>
                    <w:bidi w:val="0"/>
                    <w:rPr>
                      <w:rFonts w:hint="default"/>
                      <w:color w:val="auto"/>
                      <w:lang w:val="en-US" w:eastAsia="zh-CN"/>
                    </w:rPr>
                  </w:pPr>
                  <w:r>
                    <w:rPr>
                      <w:rFonts w:hint="eastAsia"/>
                      <w:color w:val="auto"/>
                      <w:lang w:val="en-US" w:eastAsia="zh-CN"/>
                    </w:rPr>
                    <w:t>达标</w:t>
                  </w:r>
                </w:p>
              </w:tc>
              <w:tc>
                <w:tcPr>
                  <w:tcW w:w="682" w:type="pct"/>
                  <w:noWrap w:val="0"/>
                  <w:vAlign w:val="center"/>
                </w:tcPr>
                <w:p>
                  <w:pPr>
                    <w:pStyle w:val="176"/>
                    <w:bidi w:val="0"/>
                    <w:rPr>
                      <w:rFonts w:hint="default"/>
                      <w:color w:val="auto"/>
                      <w:lang w:val="en-US" w:eastAsia="zh-CN"/>
                    </w:rPr>
                  </w:pPr>
                  <w:r>
                    <w:rPr>
                      <w:rFonts w:hint="eastAsia"/>
                      <w:color w:val="auto"/>
                      <w:lang w:val="en-US" w:eastAsia="zh-CN"/>
                    </w:rPr>
                    <w:t>达标</w:t>
                  </w:r>
                </w:p>
              </w:tc>
              <w:tc>
                <w:tcPr>
                  <w:tcW w:w="682" w:type="pct"/>
                  <w:noWrap w:val="0"/>
                  <w:vAlign w:val="center"/>
                </w:tcPr>
                <w:p>
                  <w:pPr>
                    <w:pStyle w:val="176"/>
                    <w:bidi w:val="0"/>
                    <w:rPr>
                      <w:rFonts w:hint="default"/>
                      <w:color w:val="auto"/>
                      <w:lang w:val="en-US" w:eastAsia="zh-CN"/>
                    </w:rPr>
                  </w:pPr>
                  <w:r>
                    <w:rPr>
                      <w:rFonts w:hint="eastAsia"/>
                      <w:color w:val="auto"/>
                      <w:lang w:val="en-US" w:eastAsia="zh-CN"/>
                    </w:rPr>
                    <w:t>达标</w:t>
                  </w:r>
                </w:p>
              </w:tc>
              <w:tc>
                <w:tcPr>
                  <w:tcW w:w="682" w:type="pct"/>
                  <w:noWrap w:val="0"/>
                  <w:vAlign w:val="center"/>
                </w:tcPr>
                <w:p>
                  <w:pPr>
                    <w:pStyle w:val="176"/>
                    <w:bidi w:val="0"/>
                    <w:rPr>
                      <w:rFonts w:hint="default"/>
                      <w:color w:val="auto"/>
                      <w:lang w:val="en-US" w:eastAsia="zh-CN"/>
                    </w:rPr>
                  </w:pPr>
                  <w:r>
                    <w:rPr>
                      <w:rFonts w:hint="eastAsia"/>
                      <w:color w:val="auto"/>
                      <w:lang w:val="en-US" w:eastAsia="zh-CN"/>
                    </w:rPr>
                    <w:t>达标</w:t>
                  </w:r>
                </w:p>
              </w:tc>
              <w:tc>
                <w:tcPr>
                  <w:tcW w:w="684" w:type="pct"/>
                  <w:noWrap w:val="0"/>
                  <w:vAlign w:val="center"/>
                </w:tcPr>
                <w:p>
                  <w:pPr>
                    <w:pStyle w:val="176"/>
                    <w:bidi w:val="0"/>
                    <w:rPr>
                      <w:rFonts w:hint="default"/>
                      <w:color w:val="auto"/>
                      <w:lang w:val="en-US" w:eastAsia="zh-CN"/>
                    </w:rPr>
                  </w:pPr>
                  <w:r>
                    <w:rPr>
                      <w:rFonts w:hint="eastAsia"/>
                      <w:color w:val="auto"/>
                      <w:lang w:val="en-US" w:eastAsia="zh-CN"/>
                    </w:rPr>
                    <w:t>达标</w:t>
                  </w:r>
                </w:p>
              </w:tc>
            </w:tr>
          </w:tbl>
          <w:p>
            <w:pPr>
              <w:pStyle w:val="110"/>
              <w:bidi w:val="0"/>
              <w:rPr>
                <w:rFonts w:hint="default"/>
                <w:color w:val="auto"/>
                <w:lang w:val="en-US" w:eastAsia="zh-CN"/>
              </w:rPr>
            </w:pPr>
            <w:r>
              <w:rPr>
                <w:rFonts w:hint="eastAsia"/>
                <w:color w:val="auto"/>
                <w:lang w:val="en-US" w:eastAsia="zh-CN"/>
              </w:rPr>
              <w:t>根据</w:t>
            </w:r>
            <w:r>
              <w:rPr>
                <w:rFonts w:hint="default"/>
                <w:color w:val="auto"/>
                <w:lang w:val="en-US" w:eastAsia="zh-CN"/>
              </w:rPr>
              <w:t>预测结果表明，通过合理布局噪声源，并</w:t>
            </w:r>
            <w:r>
              <w:rPr>
                <w:rFonts w:hint="eastAsia"/>
                <w:color w:val="auto"/>
                <w:lang w:val="en-US" w:eastAsia="zh-CN"/>
              </w:rPr>
              <w:t>采取</w:t>
            </w:r>
            <w:r>
              <w:rPr>
                <w:rFonts w:hint="default"/>
                <w:color w:val="auto"/>
                <w:lang w:val="en-US" w:eastAsia="zh-CN"/>
              </w:rPr>
              <w:t>噪声治理措施，厂界噪声值均能满足《社会生活噪声排放标准》（GB22337-2008）中 2 类标准值</w:t>
            </w:r>
            <w:r>
              <w:rPr>
                <w:rFonts w:hint="eastAsia"/>
                <w:color w:val="auto"/>
                <w:lang w:val="en-US" w:eastAsia="zh-CN"/>
              </w:rPr>
              <w:t>，项目50m范围内的敏感点噪声满足《声环境质量标准》中的2类标准值</w:t>
            </w:r>
            <w:r>
              <w:rPr>
                <w:rFonts w:hint="default"/>
                <w:color w:val="auto"/>
                <w:lang w:val="en-US" w:eastAsia="zh-CN"/>
              </w:rPr>
              <w:t>。</w:t>
            </w:r>
          </w:p>
          <w:p>
            <w:pPr>
              <w:pStyle w:val="6"/>
              <w:ind w:firstLine="482"/>
              <w:rPr>
                <w:rFonts w:hint="eastAsia"/>
                <w:color w:val="auto"/>
              </w:rPr>
            </w:pPr>
            <w:r>
              <w:rPr>
                <w:rFonts w:hint="eastAsia"/>
                <w:color w:val="auto"/>
                <w:lang w:val="en-US" w:eastAsia="zh-CN"/>
              </w:rPr>
              <w:t xml:space="preserve">3.4 </w:t>
            </w:r>
            <w:r>
              <w:rPr>
                <w:rFonts w:hint="eastAsia"/>
                <w:color w:val="auto"/>
              </w:rPr>
              <w:t>治理措施可行性分析</w:t>
            </w:r>
          </w:p>
          <w:p>
            <w:pPr>
              <w:pStyle w:val="110"/>
              <w:ind w:firstLine="480"/>
              <w:rPr>
                <w:color w:val="auto"/>
              </w:rPr>
            </w:pPr>
            <w:r>
              <w:rPr>
                <w:rFonts w:hint="eastAsia"/>
                <w:color w:val="auto"/>
                <w:lang w:eastAsia="zh-CN"/>
              </w:rPr>
              <w:t>根据预测结果，项目在采取了以上治理措施后，</w:t>
            </w:r>
            <w:r>
              <w:rPr>
                <w:rFonts w:hint="eastAsia"/>
                <w:color w:val="auto"/>
                <w:lang w:val="en-US" w:eastAsia="zh-CN"/>
              </w:rPr>
              <w:t>厂界噪声值均能满足《社会生活噪声排放标准》（GB22337-2008）中 2 类标准值，敏感点噪声满足《声环境质量标准》中的2类标准，</w:t>
            </w:r>
            <w:r>
              <w:rPr>
                <w:rFonts w:hint="eastAsia"/>
                <w:color w:val="auto"/>
                <w:lang w:eastAsia="zh-CN"/>
              </w:rPr>
              <w:t>能有效减少项目运营期对周边声环境的影响。</w:t>
            </w:r>
          </w:p>
          <w:p>
            <w:pPr>
              <w:pStyle w:val="110"/>
              <w:ind w:firstLine="482"/>
              <w:rPr>
                <w:rFonts w:hint="eastAsia"/>
                <w:b/>
                <w:bCs/>
                <w:color w:val="auto"/>
              </w:rPr>
            </w:pPr>
            <w:r>
              <w:rPr>
                <w:rFonts w:hint="eastAsia"/>
                <w:b/>
                <w:bCs/>
                <w:color w:val="auto"/>
              </w:rPr>
              <w:t>因此，本项目噪声采取的现有治理措施可行。</w:t>
            </w:r>
          </w:p>
          <w:p>
            <w:pPr>
              <w:pStyle w:val="6"/>
              <w:ind w:firstLine="482"/>
              <w:rPr>
                <w:rFonts w:hint="eastAsia" w:eastAsia="宋体"/>
                <w:color w:val="auto"/>
                <w:lang w:eastAsia="zh-CN"/>
              </w:rPr>
            </w:pPr>
            <w:r>
              <w:rPr>
                <w:rFonts w:hint="eastAsia"/>
                <w:color w:val="auto"/>
                <w:lang w:val="en-US" w:eastAsia="zh-CN"/>
              </w:rPr>
              <w:t>3.5</w:t>
            </w:r>
            <w:r>
              <w:rPr>
                <w:rFonts w:hint="eastAsia"/>
                <w:color w:val="auto"/>
              </w:rPr>
              <w:t>监测</w:t>
            </w:r>
            <w:r>
              <w:rPr>
                <w:rFonts w:hint="eastAsia"/>
                <w:color w:val="auto"/>
                <w:lang w:eastAsia="zh-CN"/>
              </w:rPr>
              <w:t>计划</w:t>
            </w:r>
          </w:p>
          <w:p>
            <w:pPr>
              <w:pStyle w:val="110"/>
              <w:ind w:firstLine="480"/>
              <w:rPr>
                <w:rFonts w:hint="eastAsia"/>
                <w:color w:val="auto"/>
              </w:rPr>
            </w:pPr>
            <w:r>
              <w:rPr>
                <w:color w:val="auto"/>
              </w:rPr>
              <w:t>参考《排污单位自行监测技术指南 总则》（HJ819-2017）、《排污许可证申请与核发技术规范 总则（HJ942-2018）》，本项目运营期噪声监测</w:t>
            </w:r>
            <w:r>
              <w:rPr>
                <w:rFonts w:hint="eastAsia"/>
                <w:color w:val="auto"/>
              </w:rPr>
              <w:t>计划见下表。</w:t>
            </w:r>
          </w:p>
          <w:p>
            <w:pPr>
              <w:pStyle w:val="123"/>
              <w:rPr>
                <w:rFonts w:hint="eastAsia"/>
                <w:color w:val="auto"/>
              </w:rPr>
            </w:pPr>
            <w:r>
              <w:rPr>
                <w:rFonts w:hint="eastAsia"/>
                <w:color w:val="auto"/>
              </w:rPr>
              <w:t>表4-</w:t>
            </w:r>
            <w:r>
              <w:rPr>
                <w:rFonts w:hint="eastAsia"/>
                <w:color w:val="auto"/>
                <w:lang w:val="en-US" w:eastAsia="zh-CN"/>
              </w:rPr>
              <w:t>6</w:t>
            </w:r>
            <w:r>
              <w:rPr>
                <w:rFonts w:hint="eastAsia"/>
                <w:color w:val="auto"/>
              </w:rPr>
              <w:t xml:space="preserve"> 本项目噪声监测计划一览表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1781"/>
              <w:gridCol w:w="1349"/>
              <w:gridCol w:w="1941"/>
              <w:gridCol w:w="2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0" w:type="pct"/>
                  <w:noWrap w:val="0"/>
                  <w:vAlign w:val="center"/>
                </w:tcPr>
                <w:p>
                  <w:pPr>
                    <w:pStyle w:val="176"/>
                    <w:bidi w:val="0"/>
                    <w:rPr>
                      <w:b/>
                      <w:bCs/>
                      <w:color w:val="auto"/>
                    </w:rPr>
                  </w:pPr>
                  <w:r>
                    <w:rPr>
                      <w:b/>
                      <w:bCs/>
                      <w:color w:val="auto"/>
                    </w:rPr>
                    <w:t>类别</w:t>
                  </w:r>
                </w:p>
              </w:tc>
              <w:tc>
                <w:tcPr>
                  <w:tcW w:w="1039" w:type="pct"/>
                  <w:noWrap w:val="0"/>
                  <w:vAlign w:val="center"/>
                </w:tcPr>
                <w:p>
                  <w:pPr>
                    <w:pStyle w:val="176"/>
                    <w:bidi w:val="0"/>
                    <w:rPr>
                      <w:b/>
                      <w:bCs/>
                      <w:color w:val="auto"/>
                    </w:rPr>
                  </w:pPr>
                  <w:r>
                    <w:rPr>
                      <w:b/>
                      <w:bCs/>
                      <w:color w:val="auto"/>
                    </w:rPr>
                    <w:t>监测点位</w:t>
                  </w:r>
                </w:p>
              </w:tc>
              <w:tc>
                <w:tcPr>
                  <w:tcW w:w="787" w:type="pct"/>
                  <w:noWrap w:val="0"/>
                  <w:vAlign w:val="center"/>
                </w:tcPr>
                <w:p>
                  <w:pPr>
                    <w:pStyle w:val="176"/>
                    <w:bidi w:val="0"/>
                    <w:rPr>
                      <w:b/>
                      <w:bCs/>
                      <w:color w:val="auto"/>
                    </w:rPr>
                  </w:pPr>
                  <w:r>
                    <w:rPr>
                      <w:b/>
                      <w:bCs/>
                      <w:color w:val="auto"/>
                    </w:rPr>
                    <w:t>监测项目</w:t>
                  </w:r>
                </w:p>
              </w:tc>
              <w:tc>
                <w:tcPr>
                  <w:tcW w:w="1132" w:type="pct"/>
                  <w:noWrap w:val="0"/>
                  <w:vAlign w:val="center"/>
                </w:tcPr>
                <w:p>
                  <w:pPr>
                    <w:pStyle w:val="176"/>
                    <w:bidi w:val="0"/>
                    <w:rPr>
                      <w:b/>
                      <w:bCs/>
                      <w:color w:val="auto"/>
                    </w:rPr>
                  </w:pPr>
                  <w:r>
                    <w:rPr>
                      <w:b/>
                      <w:bCs/>
                      <w:color w:val="auto"/>
                    </w:rPr>
                    <w:t>监测频率</w:t>
                  </w:r>
                </w:p>
              </w:tc>
              <w:tc>
                <w:tcPr>
                  <w:tcW w:w="1389" w:type="pct"/>
                  <w:noWrap w:val="0"/>
                  <w:vAlign w:val="center"/>
                </w:tcPr>
                <w:p>
                  <w:pPr>
                    <w:pStyle w:val="176"/>
                    <w:bidi w:val="0"/>
                    <w:rPr>
                      <w:b/>
                      <w:bCs/>
                      <w:color w:val="auto"/>
                    </w:rPr>
                  </w:pPr>
                  <w:r>
                    <w:rPr>
                      <w:b/>
                      <w:bCs/>
                      <w:color w:val="auto"/>
                    </w:rPr>
                    <w:t>监测方法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0" w:type="pct"/>
                  <w:noWrap w:val="0"/>
                  <w:vAlign w:val="center"/>
                </w:tcPr>
                <w:p>
                  <w:pPr>
                    <w:pStyle w:val="176"/>
                    <w:bidi w:val="0"/>
                    <w:rPr>
                      <w:color w:val="auto"/>
                    </w:rPr>
                  </w:pPr>
                  <w:r>
                    <w:rPr>
                      <w:rFonts w:hint="eastAsia"/>
                      <w:color w:val="auto"/>
                      <w:lang w:eastAsia="zh-CN"/>
                    </w:rPr>
                    <w:t>厂界</w:t>
                  </w:r>
                  <w:r>
                    <w:rPr>
                      <w:color w:val="auto"/>
                    </w:rPr>
                    <w:t>噪声</w:t>
                  </w:r>
                </w:p>
              </w:tc>
              <w:tc>
                <w:tcPr>
                  <w:tcW w:w="1039" w:type="pct"/>
                  <w:noWrap w:val="0"/>
                  <w:vAlign w:val="center"/>
                </w:tcPr>
                <w:p>
                  <w:pPr>
                    <w:pStyle w:val="176"/>
                    <w:bidi w:val="0"/>
                    <w:rPr>
                      <w:color w:val="auto"/>
                    </w:rPr>
                  </w:pPr>
                  <w:r>
                    <w:rPr>
                      <w:color w:val="auto"/>
                    </w:rPr>
                    <w:t>厂界四周</w:t>
                  </w:r>
                </w:p>
              </w:tc>
              <w:tc>
                <w:tcPr>
                  <w:tcW w:w="787" w:type="pct"/>
                  <w:vMerge w:val="restart"/>
                  <w:noWrap w:val="0"/>
                  <w:vAlign w:val="center"/>
                </w:tcPr>
                <w:p>
                  <w:pPr>
                    <w:pStyle w:val="176"/>
                    <w:bidi w:val="0"/>
                    <w:rPr>
                      <w:color w:val="auto"/>
                    </w:rPr>
                  </w:pPr>
                  <w:r>
                    <w:rPr>
                      <w:color w:val="auto"/>
                    </w:rPr>
                    <w:t>等效声级</w:t>
                  </w:r>
                </w:p>
              </w:tc>
              <w:tc>
                <w:tcPr>
                  <w:tcW w:w="1132" w:type="pct"/>
                  <w:vMerge w:val="restart"/>
                  <w:noWrap w:val="0"/>
                  <w:vAlign w:val="center"/>
                </w:tcPr>
                <w:p>
                  <w:pPr>
                    <w:pStyle w:val="176"/>
                    <w:bidi w:val="0"/>
                    <w:rPr>
                      <w:rFonts w:hint="eastAsia"/>
                      <w:color w:val="auto"/>
                      <w:lang w:eastAsia="zh-CN"/>
                    </w:rPr>
                  </w:pPr>
                  <w:r>
                    <w:rPr>
                      <w:rFonts w:hint="eastAsia"/>
                      <w:color w:val="auto"/>
                      <w:lang w:eastAsia="zh-CN"/>
                    </w:rPr>
                    <w:t>每年至少一次</w:t>
                  </w:r>
                </w:p>
              </w:tc>
              <w:tc>
                <w:tcPr>
                  <w:tcW w:w="1389" w:type="pct"/>
                  <w:vMerge w:val="restart"/>
                  <w:noWrap w:val="0"/>
                  <w:vAlign w:val="center"/>
                </w:tcPr>
                <w:p>
                  <w:pPr>
                    <w:pStyle w:val="176"/>
                    <w:bidi w:val="0"/>
                    <w:rPr>
                      <w:color w:val="auto"/>
                    </w:rPr>
                  </w:pPr>
                  <w:r>
                    <w:rPr>
                      <w:rFonts w:hint="eastAsia"/>
                      <w:color w:val="auto"/>
                      <w:lang w:val="en-US" w:eastAsia="zh-CN"/>
                    </w:rPr>
                    <w:t>《社会生活噪声排放标准》（GB22337-2008）中</w:t>
                  </w:r>
                  <w:r>
                    <w:rPr>
                      <w:rFonts w:hint="eastAsia"/>
                      <w:color w:val="auto"/>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0" w:type="pct"/>
                  <w:noWrap w:val="0"/>
                  <w:vAlign w:val="center"/>
                </w:tcPr>
                <w:p>
                  <w:pPr>
                    <w:pStyle w:val="176"/>
                    <w:bidi w:val="0"/>
                    <w:rPr>
                      <w:rFonts w:hint="eastAsia"/>
                      <w:color w:val="auto"/>
                      <w:lang w:eastAsia="zh-CN"/>
                    </w:rPr>
                  </w:pPr>
                  <w:r>
                    <w:rPr>
                      <w:rFonts w:hint="eastAsia"/>
                      <w:color w:val="auto"/>
                      <w:lang w:eastAsia="zh-CN"/>
                    </w:rPr>
                    <w:t>敏感点</w:t>
                  </w:r>
                </w:p>
              </w:tc>
              <w:tc>
                <w:tcPr>
                  <w:tcW w:w="1039" w:type="pct"/>
                  <w:noWrap w:val="0"/>
                  <w:vAlign w:val="center"/>
                </w:tcPr>
                <w:p>
                  <w:pPr>
                    <w:pStyle w:val="176"/>
                    <w:bidi w:val="0"/>
                    <w:rPr>
                      <w:rFonts w:hint="eastAsia"/>
                      <w:color w:val="auto"/>
                      <w:lang w:eastAsia="zh-CN"/>
                    </w:rPr>
                  </w:pPr>
                  <w:r>
                    <w:rPr>
                      <w:rFonts w:hint="eastAsia"/>
                      <w:color w:val="auto"/>
                      <w:lang w:eastAsia="zh-CN"/>
                    </w:rPr>
                    <w:t>项目敏感点处</w:t>
                  </w:r>
                </w:p>
              </w:tc>
              <w:tc>
                <w:tcPr>
                  <w:tcW w:w="787" w:type="pct"/>
                  <w:vMerge w:val="continue"/>
                  <w:noWrap w:val="0"/>
                  <w:vAlign w:val="center"/>
                </w:tcPr>
                <w:p>
                  <w:pPr>
                    <w:pStyle w:val="176"/>
                    <w:bidi w:val="0"/>
                    <w:rPr>
                      <w:color w:val="auto"/>
                    </w:rPr>
                  </w:pPr>
                </w:p>
              </w:tc>
              <w:tc>
                <w:tcPr>
                  <w:tcW w:w="1132" w:type="pct"/>
                  <w:vMerge w:val="continue"/>
                  <w:noWrap w:val="0"/>
                  <w:vAlign w:val="center"/>
                </w:tcPr>
                <w:p>
                  <w:pPr>
                    <w:pStyle w:val="176"/>
                    <w:bidi w:val="0"/>
                    <w:rPr>
                      <w:rFonts w:hint="eastAsia"/>
                      <w:color w:val="auto"/>
                      <w:lang w:eastAsia="zh-CN"/>
                    </w:rPr>
                  </w:pPr>
                </w:p>
              </w:tc>
              <w:tc>
                <w:tcPr>
                  <w:tcW w:w="1389" w:type="pct"/>
                  <w:vMerge w:val="continue"/>
                  <w:noWrap w:val="0"/>
                  <w:vAlign w:val="center"/>
                </w:tcPr>
                <w:p>
                  <w:pPr>
                    <w:pStyle w:val="176"/>
                    <w:bidi w:val="0"/>
                    <w:rPr>
                      <w:rFonts w:hint="eastAsia"/>
                      <w:color w:val="auto"/>
                    </w:rPr>
                  </w:pPr>
                </w:p>
              </w:tc>
            </w:tr>
          </w:tbl>
          <w:p>
            <w:pPr>
              <w:pStyle w:val="5"/>
              <w:spacing w:after="120"/>
              <w:rPr>
                <w:color w:val="auto"/>
              </w:rPr>
            </w:pPr>
            <w:r>
              <w:rPr>
                <w:rFonts w:hint="eastAsia"/>
                <w:color w:val="auto"/>
                <w:lang w:val="en-US" w:eastAsia="zh-CN"/>
              </w:rPr>
              <w:t>4</w:t>
            </w:r>
            <w:r>
              <w:rPr>
                <w:color w:val="auto"/>
              </w:rPr>
              <w:t>、固体废弃物环境影响分析</w:t>
            </w:r>
          </w:p>
          <w:p>
            <w:pPr>
              <w:pStyle w:val="6"/>
              <w:ind w:firstLine="482"/>
              <w:rPr>
                <w:rFonts w:hint="eastAsia"/>
                <w:color w:val="auto"/>
              </w:rPr>
            </w:pPr>
            <w:r>
              <w:rPr>
                <w:rFonts w:hint="eastAsia"/>
                <w:color w:val="auto"/>
                <w:lang w:val="en-US" w:eastAsia="zh-CN"/>
              </w:rPr>
              <w:t>4.1</w:t>
            </w:r>
            <w:r>
              <w:rPr>
                <w:rFonts w:hint="eastAsia"/>
                <w:color w:val="auto"/>
              </w:rPr>
              <w:t>固体废物的产生情况</w:t>
            </w:r>
          </w:p>
          <w:p>
            <w:pPr>
              <w:pStyle w:val="108"/>
              <w:ind w:firstLine="480"/>
              <w:rPr>
                <w:rFonts w:hint="eastAsia"/>
                <w:color w:val="auto"/>
              </w:rPr>
            </w:pPr>
            <w:r>
              <w:rPr>
                <w:rFonts w:hint="eastAsia"/>
                <w:color w:val="auto"/>
              </w:rPr>
              <w:t>本项目营运期所产生的固废主要为生活垃圾、宠物粪便</w:t>
            </w:r>
            <w:r>
              <w:rPr>
                <w:rFonts w:hint="eastAsia"/>
                <w:color w:val="auto"/>
                <w:lang w:eastAsia="zh-CN"/>
              </w:rPr>
              <w:t>及垫料</w:t>
            </w:r>
            <w:r>
              <w:rPr>
                <w:rFonts w:hint="eastAsia"/>
                <w:color w:val="auto"/>
              </w:rPr>
              <w:t>、宠物毛发、</w:t>
            </w:r>
            <w:r>
              <w:rPr>
                <w:rFonts w:hint="eastAsia"/>
                <w:color w:val="auto"/>
                <w:lang w:val="en-US" w:eastAsia="zh-CN"/>
              </w:rPr>
              <w:t>废外包材、</w:t>
            </w:r>
            <w:r>
              <w:rPr>
                <w:rFonts w:hint="eastAsia"/>
                <w:color w:val="auto"/>
              </w:rPr>
              <w:t>宠物尸体</w:t>
            </w:r>
            <w:r>
              <w:rPr>
                <w:rFonts w:hint="eastAsia"/>
                <w:color w:val="auto"/>
                <w:lang w:eastAsia="zh-CN"/>
              </w:rPr>
              <w:t>、</w:t>
            </w:r>
            <w:r>
              <w:rPr>
                <w:rFonts w:hint="eastAsia"/>
                <w:color w:val="auto"/>
              </w:rPr>
              <w:t>医疗</w:t>
            </w:r>
            <w:r>
              <w:rPr>
                <w:rFonts w:hint="eastAsia"/>
                <w:color w:val="auto"/>
                <w:lang w:eastAsia="zh-CN"/>
              </w:rPr>
              <w:t>废物、废紫外线灯管、废活性炭及污水处理器污泥</w:t>
            </w:r>
            <w:r>
              <w:rPr>
                <w:rFonts w:hint="eastAsia"/>
                <w:color w:val="auto"/>
              </w:rPr>
              <w:t>，其中宠物尸体</w:t>
            </w:r>
            <w:r>
              <w:rPr>
                <w:rFonts w:hint="eastAsia"/>
                <w:color w:val="auto"/>
                <w:lang w:eastAsia="zh-CN"/>
              </w:rPr>
              <w:t>、</w:t>
            </w:r>
            <w:r>
              <w:rPr>
                <w:rFonts w:hint="eastAsia"/>
                <w:color w:val="auto"/>
              </w:rPr>
              <w:t>医疗垃圾</w:t>
            </w:r>
            <w:r>
              <w:rPr>
                <w:rFonts w:hint="eastAsia"/>
                <w:color w:val="auto"/>
                <w:lang w:eastAsia="zh-CN"/>
              </w:rPr>
              <w:t>、废紫外线灯管废活性炭和污水处理器污泥统一</w:t>
            </w:r>
            <w:r>
              <w:rPr>
                <w:rFonts w:hint="eastAsia"/>
                <w:color w:val="auto"/>
              </w:rPr>
              <w:t>按照危险废物处置和管理。</w:t>
            </w:r>
            <w:r>
              <w:rPr>
                <w:rFonts w:hint="eastAsia"/>
                <w:b/>
                <w:bCs/>
                <w:color w:val="auto"/>
                <w:lang w:eastAsia="zh-CN"/>
              </w:rPr>
              <w:t>邦泰国际社区</w:t>
            </w:r>
            <w:r>
              <w:rPr>
                <w:rFonts w:hint="eastAsia"/>
                <w:b/>
                <w:bCs/>
                <w:color w:val="auto"/>
              </w:rPr>
              <w:t>小区预处理池的清掏工作由小区负责，不在本项目责任范围内。</w:t>
            </w:r>
          </w:p>
          <w:p>
            <w:pPr>
              <w:pStyle w:val="108"/>
              <w:ind w:firstLine="482"/>
              <w:rPr>
                <w:b/>
                <w:bCs/>
                <w:color w:val="auto"/>
              </w:rPr>
            </w:pPr>
            <w:r>
              <w:rPr>
                <w:rFonts w:hint="eastAsia"/>
                <w:b/>
                <w:bCs/>
                <w:color w:val="auto"/>
              </w:rPr>
              <w:t>（1）一般固废</w:t>
            </w:r>
          </w:p>
          <w:p>
            <w:pPr>
              <w:pStyle w:val="108"/>
              <w:ind w:firstLine="480"/>
              <w:rPr>
                <w:rFonts w:hint="eastAsia"/>
                <w:color w:val="auto"/>
              </w:rPr>
            </w:pPr>
            <w:r>
              <w:rPr>
                <w:rFonts w:hint="eastAsia"/>
                <w:color w:val="auto"/>
              </w:rPr>
              <w:t xml:space="preserve"> </w:t>
            </w:r>
            <w:r>
              <w:rPr>
                <w:rFonts w:hint="eastAsia"/>
                <w:b/>
                <w:bCs/>
                <w:color w:val="auto"/>
              </w:rPr>
              <w:t>①</w:t>
            </w:r>
            <w:r>
              <w:rPr>
                <w:rFonts w:hint="eastAsia"/>
                <w:b/>
                <w:bCs/>
                <w:color w:val="auto"/>
                <w:lang w:val="en-US" w:eastAsia="zh-CN"/>
              </w:rPr>
              <w:t xml:space="preserve"> </w:t>
            </w:r>
            <w:r>
              <w:rPr>
                <w:rFonts w:hint="eastAsia"/>
                <w:b/>
                <w:bCs/>
                <w:color w:val="auto"/>
              </w:rPr>
              <w:t xml:space="preserve">生活垃圾 </w:t>
            </w:r>
            <w:r>
              <w:rPr>
                <w:rFonts w:hint="eastAsia"/>
                <w:b/>
                <w:bCs/>
                <w:color w:val="auto"/>
                <w:lang w:eastAsia="zh-CN"/>
              </w:rPr>
              <w:t>：</w:t>
            </w:r>
            <w:r>
              <w:rPr>
                <w:rFonts w:hint="eastAsia"/>
                <w:color w:val="auto"/>
              </w:rPr>
              <w:t>本项目产生的生活垃圾主要为员工和宠物主人产生，项目员工生活垃圾产生量按0.5kg/d 人计，员工</w:t>
            </w:r>
            <w:r>
              <w:rPr>
                <w:rFonts w:hint="eastAsia"/>
                <w:color w:val="auto"/>
                <w:lang w:val="en-US" w:eastAsia="zh-CN"/>
              </w:rPr>
              <w:t>10</w:t>
            </w:r>
            <w:r>
              <w:rPr>
                <w:rFonts w:hint="eastAsia"/>
                <w:color w:val="auto"/>
              </w:rPr>
              <w:t xml:space="preserve"> 人，宠物主人产生生活垃圾按 0.1kg/d 计，一天流量约按</w:t>
            </w:r>
            <w:r>
              <w:rPr>
                <w:rFonts w:hint="eastAsia"/>
                <w:color w:val="auto"/>
                <w:lang w:val="en-US" w:eastAsia="zh-CN"/>
              </w:rPr>
              <w:t>20</w:t>
            </w:r>
            <w:r>
              <w:rPr>
                <w:rFonts w:hint="eastAsia"/>
                <w:color w:val="auto"/>
              </w:rPr>
              <w:t xml:space="preserve">人，则生活垃圾产生量为 </w:t>
            </w:r>
            <w:r>
              <w:rPr>
                <w:rFonts w:hint="eastAsia"/>
                <w:color w:val="auto"/>
                <w:lang w:val="en-US" w:eastAsia="zh-CN"/>
              </w:rPr>
              <w:t>7.0</w:t>
            </w:r>
            <w:r>
              <w:rPr>
                <w:rFonts w:hint="eastAsia"/>
                <w:color w:val="auto"/>
              </w:rPr>
              <w:t>kg/d（</w:t>
            </w:r>
            <w:r>
              <w:rPr>
                <w:rFonts w:hint="eastAsia"/>
                <w:color w:val="auto"/>
                <w:lang w:val="en-US" w:eastAsia="zh-CN"/>
              </w:rPr>
              <w:t>2.52</w:t>
            </w:r>
            <w:r>
              <w:rPr>
                <w:rFonts w:hint="eastAsia"/>
                <w:color w:val="auto"/>
              </w:rPr>
              <w:t>t/a）。</w:t>
            </w:r>
          </w:p>
          <w:p>
            <w:pPr>
              <w:pStyle w:val="110"/>
              <w:ind w:firstLine="480"/>
              <w:rPr>
                <w:rFonts w:hint="eastAsia"/>
                <w:color w:val="auto"/>
              </w:rPr>
            </w:pPr>
            <w:r>
              <w:rPr>
                <w:rFonts w:hint="eastAsia"/>
                <w:b/>
                <w:bCs/>
                <w:color w:val="auto"/>
              </w:rPr>
              <w:t>②</w:t>
            </w:r>
            <w:r>
              <w:rPr>
                <w:rFonts w:hint="eastAsia"/>
                <w:b/>
                <w:bCs/>
                <w:color w:val="auto"/>
                <w:lang w:val="en-US" w:eastAsia="zh-CN"/>
              </w:rPr>
              <w:t xml:space="preserve"> </w:t>
            </w:r>
            <w:r>
              <w:rPr>
                <w:rFonts w:hint="eastAsia"/>
                <w:b/>
                <w:bCs/>
                <w:color w:val="auto"/>
              </w:rPr>
              <w:t>宠物粪便</w:t>
            </w:r>
            <w:r>
              <w:rPr>
                <w:rFonts w:hint="eastAsia"/>
                <w:b/>
                <w:bCs/>
                <w:color w:val="auto"/>
                <w:lang w:eastAsia="zh-CN"/>
              </w:rPr>
              <w:t>及垫料</w:t>
            </w:r>
            <w:r>
              <w:rPr>
                <w:rFonts w:hint="eastAsia"/>
                <w:color w:val="auto"/>
              </w:rPr>
              <w:t xml:space="preserve"> </w:t>
            </w:r>
            <w:r>
              <w:rPr>
                <w:rFonts w:hint="eastAsia"/>
                <w:color w:val="auto"/>
                <w:lang w:eastAsia="zh-CN"/>
              </w:rPr>
              <w:t>：</w:t>
            </w:r>
            <w:r>
              <w:rPr>
                <w:rFonts w:hint="eastAsia"/>
                <w:color w:val="auto"/>
                <w:lang w:val="en-US" w:eastAsia="zh-CN"/>
              </w:rPr>
              <w:t>宠物笼舍内产生宠物粪便，年产生量约 0.5t/a</w:t>
            </w:r>
            <w:r>
              <w:rPr>
                <w:rFonts w:hint="eastAsia"/>
                <w:color w:val="auto"/>
              </w:rPr>
              <w:t>。</w:t>
            </w:r>
          </w:p>
          <w:p>
            <w:pPr>
              <w:pStyle w:val="110"/>
              <w:ind w:firstLine="480"/>
              <w:rPr>
                <w:rFonts w:hint="eastAsia"/>
                <w:color w:val="auto"/>
              </w:rPr>
            </w:pPr>
            <w:r>
              <w:rPr>
                <w:rFonts w:hint="eastAsia"/>
                <w:b/>
                <w:bCs/>
                <w:color w:val="auto"/>
              </w:rPr>
              <w:t>③</w:t>
            </w:r>
            <w:r>
              <w:rPr>
                <w:rFonts w:hint="eastAsia"/>
                <w:b/>
                <w:bCs/>
                <w:color w:val="auto"/>
                <w:lang w:val="en-US" w:eastAsia="zh-CN"/>
              </w:rPr>
              <w:t xml:space="preserve"> </w:t>
            </w:r>
            <w:r>
              <w:rPr>
                <w:rFonts w:hint="eastAsia"/>
                <w:b/>
                <w:bCs/>
                <w:color w:val="auto"/>
              </w:rPr>
              <w:t>宠物毛发</w:t>
            </w:r>
            <w:r>
              <w:rPr>
                <w:rFonts w:hint="eastAsia"/>
                <w:b/>
                <w:bCs/>
                <w:color w:val="auto"/>
                <w:lang w:eastAsia="zh-CN"/>
              </w:rPr>
              <w:t>：</w:t>
            </w:r>
            <w:r>
              <w:rPr>
                <w:rFonts w:hint="eastAsia"/>
                <w:color w:val="auto"/>
              </w:rPr>
              <w:t>本项目宠物毛发来源于对宠物在医院内毛发脱落、宠物手术及治疗过程中的修剪过程产生的毛发，根据建设单位资料提供，营运期宠物毛发产生量约为 0.</w:t>
            </w:r>
            <w:r>
              <w:rPr>
                <w:rFonts w:hint="eastAsia"/>
                <w:color w:val="auto"/>
                <w:lang w:val="en-US" w:eastAsia="zh-CN"/>
              </w:rPr>
              <w:t>002</w:t>
            </w:r>
            <w:r>
              <w:rPr>
                <w:rFonts w:hint="eastAsia"/>
                <w:color w:val="auto"/>
              </w:rPr>
              <w:t>t/a。</w:t>
            </w:r>
          </w:p>
          <w:p>
            <w:pPr>
              <w:pStyle w:val="110"/>
              <w:ind w:firstLine="480"/>
              <w:rPr>
                <w:rFonts w:hint="eastAsia"/>
                <w:b w:val="0"/>
                <w:bCs w:val="0"/>
                <w:color w:val="auto"/>
                <w:lang w:val="en-US" w:eastAsia="zh-CN"/>
              </w:rPr>
            </w:pPr>
            <w:r>
              <w:rPr>
                <w:rFonts w:hint="eastAsia"/>
                <w:b/>
                <w:bCs/>
                <w:color w:val="auto"/>
                <w:lang w:eastAsia="zh-CN"/>
              </w:rPr>
              <w:t>④</w:t>
            </w:r>
            <w:r>
              <w:rPr>
                <w:rFonts w:hint="eastAsia"/>
                <w:b/>
                <w:bCs/>
                <w:color w:val="auto"/>
                <w:lang w:val="en-US" w:eastAsia="zh-CN"/>
              </w:rPr>
              <w:t xml:space="preserve"> 废外包材：</w:t>
            </w:r>
            <w:r>
              <w:rPr>
                <w:rFonts w:hint="eastAsia"/>
                <w:b w:val="0"/>
                <w:bCs w:val="0"/>
                <w:color w:val="auto"/>
                <w:lang w:val="en-US" w:eastAsia="zh-CN"/>
              </w:rPr>
              <w:t>项目设置宠物粮食售卖区，院内治疗涉及宠物给药，食品及药品采购产生废外包材，主要为废纸箱。年产生量约 0.2t/a，该部分固废集中收集后定期外售废品收购站。</w:t>
            </w:r>
          </w:p>
          <w:p>
            <w:pPr>
              <w:pStyle w:val="110"/>
              <w:ind w:firstLine="482"/>
              <w:rPr>
                <w:rFonts w:hint="eastAsia"/>
                <w:b w:val="0"/>
                <w:bCs w:val="0"/>
                <w:color w:val="auto"/>
                <w:lang w:val="en-US" w:eastAsia="zh-CN"/>
              </w:rPr>
            </w:pPr>
            <w:r>
              <w:rPr>
                <w:rFonts w:hint="eastAsia"/>
                <w:b/>
                <w:bCs/>
                <w:color w:val="auto"/>
                <w:lang w:eastAsia="zh-CN"/>
              </w:rPr>
              <w:t>（</w:t>
            </w:r>
            <w:r>
              <w:rPr>
                <w:rFonts w:hint="eastAsia"/>
                <w:b/>
                <w:bCs/>
                <w:color w:val="auto"/>
                <w:lang w:val="en-US" w:eastAsia="zh-CN"/>
              </w:rPr>
              <w:t>2）宠物尸体：</w:t>
            </w:r>
            <w:r>
              <w:rPr>
                <w:rFonts w:hint="eastAsia"/>
                <w:b w:val="0"/>
                <w:bCs w:val="0"/>
                <w:color w:val="auto"/>
                <w:lang w:val="en-US" w:eastAsia="zh-CN"/>
              </w:rPr>
              <w:t xml:space="preserve">项目在营运过程中，遇到宠物安乐死或不治身亡现象，宠物尸体约0.1t/a。 </w:t>
            </w:r>
          </w:p>
          <w:p>
            <w:pPr>
              <w:pStyle w:val="110"/>
              <w:ind w:firstLine="482"/>
              <w:rPr>
                <w:rFonts w:hint="eastAsia"/>
                <w:b w:val="0"/>
                <w:bCs w:val="0"/>
                <w:color w:val="auto"/>
                <w:lang w:val="en-US" w:eastAsia="zh-CN"/>
              </w:rPr>
            </w:pPr>
            <w:r>
              <w:rPr>
                <w:rFonts w:hint="eastAsia"/>
                <w:b w:val="0"/>
                <w:bCs w:val="0"/>
                <w:color w:val="auto"/>
                <w:lang w:val="en-US" w:eastAsia="zh-CN"/>
              </w:rPr>
              <w:t>根据《中华人民共和国动物防疫法》规定，动物尸体不得随意处置。根据《病死动物无害化处理技术规范》，应与资质单位签订处置协议，按照进行无害化处理，动物尸体喷洒消毒液或洒生石灰消毒密封后暂存于处置室设置的冰箱内，后立即交由资质单位进行转运。涉及病害犬猫尸体，资质单位应按照《病害动物和病害动物产品生物安全处理规程》（GB16548-2006）相关要求，对其采用焚烧、填埋、无害化处理等方式进行处置，并且运送过程要确保运送动物尸体和病害动物产品采用密闭、不渗水的容器，装前卸后必须消毒。</w:t>
            </w:r>
          </w:p>
          <w:p>
            <w:pPr>
              <w:pStyle w:val="110"/>
              <w:ind w:firstLine="482"/>
              <w:rPr>
                <w:rFonts w:hint="eastAsia" w:eastAsia="宋体"/>
                <w:b/>
                <w:bCs/>
                <w:color w:val="auto"/>
                <w:lang w:eastAsia="zh-CN"/>
              </w:rPr>
            </w:pPr>
            <w:r>
              <w:rPr>
                <w:rFonts w:hint="eastAsia"/>
                <w:b/>
                <w:bCs/>
                <w:color w:val="auto"/>
              </w:rPr>
              <w:t>（</w:t>
            </w:r>
            <w:r>
              <w:rPr>
                <w:rFonts w:hint="eastAsia"/>
                <w:b/>
                <w:bCs/>
                <w:color w:val="auto"/>
                <w:lang w:val="en-US" w:eastAsia="zh-CN"/>
              </w:rPr>
              <w:t>3</w:t>
            </w:r>
            <w:r>
              <w:rPr>
                <w:rFonts w:hint="eastAsia"/>
                <w:b/>
                <w:bCs/>
                <w:color w:val="auto"/>
              </w:rPr>
              <w:t>）</w:t>
            </w:r>
            <w:r>
              <w:rPr>
                <w:rFonts w:hint="eastAsia"/>
                <w:b/>
                <w:bCs/>
                <w:color w:val="auto"/>
                <w:lang w:eastAsia="zh-CN"/>
              </w:rPr>
              <w:t>医疗废物</w:t>
            </w:r>
          </w:p>
          <w:p>
            <w:pPr>
              <w:pStyle w:val="110"/>
              <w:bidi w:val="0"/>
              <w:rPr>
                <w:rFonts w:hint="eastAsia"/>
                <w:lang w:val="en-US" w:eastAsia="zh-CN"/>
              </w:rPr>
            </w:pPr>
            <w:r>
              <w:rPr>
                <w:rFonts w:hint="eastAsia"/>
                <w:lang w:val="en-US" w:eastAsia="zh-CN"/>
              </w:rPr>
              <w:t>本项目产生的医疗废物主要包括：手术动物病理性组织、沾染血液的一次性试管、针头、棉球、检测试剂盒等、过期药品等。参照同类型宠物医院治疗过程中产生的医疗废物量，本项目医疗废物产量见表4-7所示。</w:t>
            </w:r>
          </w:p>
          <w:p>
            <w:pPr>
              <w:pStyle w:val="123"/>
              <w:bidi w:val="0"/>
              <w:rPr>
                <w:rFonts w:hint="eastAsia"/>
                <w:lang w:val="en-US" w:eastAsia="zh-CN"/>
              </w:rPr>
            </w:pPr>
            <w:r>
              <w:rPr>
                <w:rFonts w:hint="eastAsia"/>
                <w:lang w:val="en-US" w:eastAsia="zh-CN"/>
              </w:rPr>
              <w:t>表 4-7 项目医疗废物产生量</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4"/>
              <w:gridCol w:w="1672"/>
              <w:gridCol w:w="1776"/>
              <w:gridCol w:w="1880"/>
              <w:gridCol w:w="1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noWrap w:val="0"/>
                  <w:vAlign w:val="center"/>
                </w:tcPr>
                <w:p>
                  <w:pPr>
                    <w:pStyle w:val="111"/>
                    <w:bidi w:val="0"/>
                    <w:jc w:val="center"/>
                    <w:rPr>
                      <w:rFonts w:hint="eastAsia"/>
                      <w:lang w:val="en-US" w:eastAsia="zh-CN"/>
                    </w:rPr>
                  </w:pPr>
                  <w:r>
                    <w:rPr>
                      <w:rFonts w:hint="eastAsia"/>
                      <w:lang w:val="en-US" w:eastAsia="zh-CN"/>
                    </w:rPr>
                    <w:t>产生源</w:t>
                  </w:r>
                </w:p>
              </w:tc>
              <w:tc>
                <w:tcPr>
                  <w:tcW w:w="1663" w:type="dxa"/>
                  <w:noWrap w:val="0"/>
                  <w:vAlign w:val="center"/>
                </w:tcPr>
                <w:p>
                  <w:pPr>
                    <w:pStyle w:val="111"/>
                    <w:bidi w:val="0"/>
                    <w:jc w:val="center"/>
                    <w:rPr>
                      <w:rFonts w:hint="eastAsia"/>
                      <w:lang w:val="en-US" w:eastAsia="zh-CN"/>
                    </w:rPr>
                  </w:pPr>
                  <w:r>
                    <w:rPr>
                      <w:rFonts w:hint="eastAsia"/>
                      <w:lang w:val="en-US" w:eastAsia="zh-CN"/>
                    </w:rPr>
                    <w:t>数量（只）</w:t>
                  </w:r>
                </w:p>
              </w:tc>
              <w:tc>
                <w:tcPr>
                  <w:tcW w:w="1663" w:type="dxa"/>
                  <w:noWrap w:val="0"/>
                  <w:vAlign w:val="center"/>
                </w:tcPr>
                <w:p>
                  <w:pPr>
                    <w:pStyle w:val="111"/>
                    <w:bidi w:val="0"/>
                    <w:jc w:val="center"/>
                    <w:rPr>
                      <w:rFonts w:hint="default"/>
                      <w:lang w:val="en-US" w:eastAsia="zh-CN"/>
                    </w:rPr>
                  </w:pPr>
                  <w:r>
                    <w:rPr>
                      <w:rFonts w:hint="eastAsia"/>
                      <w:lang w:val="en-US" w:eastAsia="zh-CN"/>
                    </w:rPr>
                    <w:t>定额（kg/只·d）</w:t>
                  </w:r>
                </w:p>
              </w:tc>
              <w:tc>
                <w:tcPr>
                  <w:tcW w:w="1663" w:type="dxa"/>
                  <w:noWrap w:val="0"/>
                  <w:vAlign w:val="center"/>
                </w:tcPr>
                <w:p>
                  <w:pPr>
                    <w:pStyle w:val="111"/>
                    <w:bidi w:val="0"/>
                    <w:jc w:val="center"/>
                    <w:rPr>
                      <w:rFonts w:hint="default"/>
                      <w:lang w:val="en-US" w:eastAsia="zh-CN"/>
                    </w:rPr>
                  </w:pPr>
                  <w:r>
                    <w:rPr>
                      <w:rFonts w:hint="eastAsia"/>
                      <w:lang w:val="en-US" w:eastAsia="zh-CN"/>
                    </w:rPr>
                    <w:t>产生量（kg/d）</w:t>
                  </w:r>
                </w:p>
              </w:tc>
              <w:tc>
                <w:tcPr>
                  <w:tcW w:w="1664" w:type="dxa"/>
                  <w:noWrap w:val="0"/>
                  <w:vAlign w:val="center"/>
                </w:tcPr>
                <w:p>
                  <w:pPr>
                    <w:pStyle w:val="111"/>
                    <w:bidi w:val="0"/>
                    <w:jc w:val="center"/>
                    <w:rPr>
                      <w:rFonts w:hint="default"/>
                      <w:lang w:val="en-US" w:eastAsia="zh-CN"/>
                    </w:rPr>
                  </w:pPr>
                  <w:r>
                    <w:rPr>
                      <w:rFonts w:hint="eastAsia"/>
                      <w:lang w:val="en-US" w:eastAsia="zh-CN"/>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noWrap w:val="0"/>
                  <w:vAlign w:val="center"/>
                </w:tcPr>
                <w:p>
                  <w:pPr>
                    <w:pStyle w:val="111"/>
                    <w:bidi w:val="0"/>
                    <w:jc w:val="center"/>
                    <w:rPr>
                      <w:rFonts w:hint="eastAsia"/>
                      <w:lang w:val="en-US" w:eastAsia="zh-CN"/>
                    </w:rPr>
                  </w:pPr>
                  <w:r>
                    <w:rPr>
                      <w:rFonts w:hint="eastAsia"/>
                      <w:lang w:val="en-US" w:eastAsia="zh-CN"/>
                    </w:rPr>
                    <w:t>就诊、住院宠物</w:t>
                  </w:r>
                </w:p>
              </w:tc>
              <w:tc>
                <w:tcPr>
                  <w:tcW w:w="1663" w:type="dxa"/>
                  <w:noWrap w:val="0"/>
                  <w:vAlign w:val="center"/>
                </w:tcPr>
                <w:p>
                  <w:pPr>
                    <w:pStyle w:val="111"/>
                    <w:bidi w:val="0"/>
                    <w:jc w:val="center"/>
                    <w:rPr>
                      <w:rFonts w:hint="default"/>
                      <w:lang w:val="en-US" w:eastAsia="zh-CN"/>
                    </w:rPr>
                  </w:pPr>
                  <w:r>
                    <w:rPr>
                      <w:rFonts w:hint="eastAsia"/>
                      <w:lang w:val="en-US" w:eastAsia="zh-CN"/>
                    </w:rPr>
                    <w:t>50</w:t>
                  </w:r>
                </w:p>
              </w:tc>
              <w:tc>
                <w:tcPr>
                  <w:tcW w:w="1663" w:type="dxa"/>
                  <w:noWrap w:val="0"/>
                  <w:vAlign w:val="center"/>
                </w:tcPr>
                <w:p>
                  <w:pPr>
                    <w:pStyle w:val="111"/>
                    <w:bidi w:val="0"/>
                    <w:jc w:val="center"/>
                    <w:rPr>
                      <w:rFonts w:hint="default"/>
                      <w:lang w:val="en-US" w:eastAsia="zh-CN"/>
                    </w:rPr>
                  </w:pPr>
                  <w:r>
                    <w:rPr>
                      <w:rFonts w:hint="eastAsia"/>
                      <w:lang w:val="en-US" w:eastAsia="zh-CN"/>
                    </w:rPr>
                    <w:t>0.1</w:t>
                  </w:r>
                </w:p>
              </w:tc>
              <w:tc>
                <w:tcPr>
                  <w:tcW w:w="1663" w:type="dxa"/>
                  <w:noWrap w:val="0"/>
                  <w:vAlign w:val="center"/>
                </w:tcPr>
                <w:p>
                  <w:pPr>
                    <w:pStyle w:val="111"/>
                    <w:bidi w:val="0"/>
                    <w:jc w:val="center"/>
                    <w:rPr>
                      <w:rFonts w:hint="default"/>
                      <w:lang w:val="en-US" w:eastAsia="zh-CN"/>
                    </w:rPr>
                  </w:pPr>
                  <w:r>
                    <w:rPr>
                      <w:rFonts w:hint="eastAsia"/>
                      <w:lang w:val="en-US" w:eastAsia="zh-CN"/>
                    </w:rPr>
                    <w:t>10</w:t>
                  </w:r>
                </w:p>
              </w:tc>
              <w:tc>
                <w:tcPr>
                  <w:tcW w:w="1664" w:type="dxa"/>
                  <w:noWrap w:val="0"/>
                  <w:vAlign w:val="center"/>
                </w:tcPr>
                <w:p>
                  <w:pPr>
                    <w:pStyle w:val="111"/>
                    <w:bidi w:val="0"/>
                    <w:jc w:val="center"/>
                    <w:rPr>
                      <w:rFonts w:hint="default"/>
                      <w:lang w:val="en-US" w:eastAsia="zh-CN"/>
                    </w:rPr>
                  </w:pPr>
                  <w:r>
                    <w:rPr>
                      <w:rFonts w:hint="eastAsia"/>
                      <w:lang w:val="en-US" w:eastAsia="zh-CN"/>
                    </w:rPr>
                    <w:t>1.8</w:t>
                  </w:r>
                </w:p>
              </w:tc>
            </w:tr>
          </w:tbl>
          <w:p>
            <w:pPr>
              <w:pStyle w:val="110"/>
              <w:bidi w:val="0"/>
              <w:rPr>
                <w:rFonts w:hint="eastAsia"/>
                <w:lang w:val="en-US" w:eastAsia="zh-CN"/>
              </w:rPr>
            </w:pPr>
            <w:r>
              <w:rPr>
                <w:rFonts w:hint="eastAsia"/>
                <w:lang w:val="en-US" w:eastAsia="zh-CN"/>
              </w:rPr>
              <w:t>医疗垃圾应集中收集后贮存在危废暂存间，定期由有资质企业处置。</w:t>
            </w:r>
          </w:p>
          <w:p>
            <w:pPr>
              <w:pStyle w:val="108"/>
              <w:ind w:firstLine="480"/>
              <w:rPr>
                <w:rFonts w:hint="eastAsia"/>
                <w:b/>
                <w:bCs/>
                <w:color w:val="auto"/>
              </w:rPr>
            </w:pPr>
            <w:r>
              <w:rPr>
                <w:rFonts w:hint="eastAsia"/>
                <w:b/>
                <w:bCs/>
                <w:color w:val="auto"/>
                <w:lang w:eastAsia="zh-CN"/>
              </w:rPr>
              <w:t>（</w:t>
            </w:r>
            <w:r>
              <w:rPr>
                <w:rFonts w:hint="eastAsia"/>
                <w:b/>
                <w:bCs/>
                <w:color w:val="auto"/>
                <w:lang w:val="en-US" w:eastAsia="zh-CN"/>
              </w:rPr>
              <w:t>4）</w:t>
            </w:r>
            <w:r>
              <w:rPr>
                <w:rFonts w:hint="eastAsia"/>
                <w:b/>
                <w:bCs/>
                <w:color w:val="auto"/>
              </w:rPr>
              <w:t>废紫外线灯管</w:t>
            </w:r>
          </w:p>
          <w:p>
            <w:pPr>
              <w:pStyle w:val="108"/>
              <w:ind w:firstLine="480"/>
              <w:rPr>
                <w:rFonts w:hint="eastAsia"/>
                <w:color w:val="auto"/>
              </w:rPr>
            </w:pPr>
            <w:r>
              <w:rPr>
                <w:rFonts w:hint="eastAsia"/>
                <w:color w:val="auto"/>
              </w:rPr>
              <w:t>项目运营期间采用移动式紫外线灯管对医院环境进行杀菌消毒，年使用紫外灯管量约</w:t>
            </w:r>
            <w:r>
              <w:rPr>
                <w:rFonts w:hint="eastAsia"/>
                <w:color w:val="auto"/>
                <w:lang w:val="en-US" w:eastAsia="zh-CN"/>
              </w:rPr>
              <w:t>0.003</w:t>
            </w:r>
            <w:r>
              <w:rPr>
                <w:rFonts w:hint="eastAsia"/>
                <w:color w:val="auto"/>
              </w:rPr>
              <w:t>/a。</w:t>
            </w:r>
            <w:r>
              <w:rPr>
                <w:rFonts w:hint="eastAsia"/>
                <w:color w:val="auto"/>
                <w:lang w:val="en-US" w:eastAsia="zh-CN"/>
              </w:rPr>
              <w:t>根据《国家危险废物名录》（2021 版），废紫外线灯管属于“HW29含汞废物”中的“生产、销售及使用过程中产生的废含汞荧光灯管及其他废含汞电光源，及废弃含汞电光源处理处置过程中产生的废荧光粉、废活性炭和废水处理污泥”，危废代码 900-023-29。</w:t>
            </w:r>
          </w:p>
          <w:p>
            <w:pPr>
              <w:pStyle w:val="108"/>
              <w:numPr>
                <w:ilvl w:val="0"/>
                <w:numId w:val="0"/>
              </w:numPr>
              <w:ind w:leftChars="200"/>
              <w:rPr>
                <w:rFonts w:hint="eastAsia"/>
                <w:color w:val="auto"/>
                <w:lang w:val="en-US" w:eastAsia="zh-CN"/>
              </w:rPr>
            </w:pPr>
            <w:r>
              <w:rPr>
                <w:rFonts w:hint="eastAsia"/>
                <w:b/>
                <w:bCs/>
                <w:color w:val="auto"/>
                <w:lang w:val="en-US" w:eastAsia="zh-CN"/>
              </w:rPr>
              <w:t>（5）废活性炭</w:t>
            </w:r>
          </w:p>
          <w:p>
            <w:pPr>
              <w:pStyle w:val="108"/>
              <w:bidi w:val="0"/>
              <w:rPr>
                <w:rFonts w:hint="eastAsia"/>
                <w:lang w:val="en-US" w:eastAsia="zh-CN"/>
              </w:rPr>
            </w:pPr>
            <w:r>
              <w:rPr>
                <w:rFonts w:hint="eastAsia"/>
                <w:lang w:val="en-US" w:eastAsia="zh-CN"/>
              </w:rPr>
              <w:t>项目设置新风系统，需通过活性炭吸附项目产生的异味，产生量约为 0.04t/a，查阅《国家危险废物名录》（2021 版），该环节产生的废活性炭均未在名录中，不属于危险废物，可按一般固废进行处置。</w:t>
            </w:r>
          </w:p>
          <w:p>
            <w:pPr>
              <w:pStyle w:val="110"/>
              <w:bidi w:val="0"/>
              <w:rPr>
                <w:rFonts w:hint="eastAsia"/>
                <w:color w:val="auto"/>
                <w:lang w:val="en-US" w:eastAsia="zh-CN"/>
              </w:rPr>
            </w:pPr>
            <w:r>
              <w:rPr>
                <w:rFonts w:hint="eastAsia"/>
                <w:b/>
                <w:bCs/>
                <w:color w:val="auto"/>
                <w:lang w:val="en-US" w:eastAsia="zh-CN"/>
              </w:rPr>
              <w:t>（6）污水处理器污泥：</w:t>
            </w:r>
            <w:r>
              <w:rPr>
                <w:rFonts w:hint="eastAsia"/>
                <w:color w:val="auto"/>
                <w:lang w:val="en-US" w:eastAsia="zh-CN"/>
              </w:rPr>
              <w:t>污水处理器定期清掏产生污泥，年产生量约 0.01t/a，属于《国家危险废物名录》（2021 版）中“HW01 医疗废物”中的“感染性废物”，危废代码841-001-01。</w:t>
            </w:r>
          </w:p>
          <w:p>
            <w:pPr>
              <w:pStyle w:val="6"/>
              <w:ind w:firstLine="482"/>
              <w:rPr>
                <w:rFonts w:hint="eastAsia"/>
                <w:color w:val="auto"/>
              </w:rPr>
            </w:pPr>
            <w:r>
              <w:rPr>
                <w:rFonts w:hint="eastAsia"/>
                <w:color w:val="auto"/>
                <w:lang w:val="en-US" w:eastAsia="zh-CN"/>
              </w:rPr>
              <w:t>4.2</w:t>
            </w:r>
            <w:r>
              <w:rPr>
                <w:rFonts w:hint="eastAsia"/>
                <w:color w:val="auto"/>
              </w:rPr>
              <w:t>治理措施</w:t>
            </w:r>
          </w:p>
          <w:p>
            <w:pPr>
              <w:pStyle w:val="108"/>
              <w:ind w:firstLine="480"/>
              <w:rPr>
                <w:rFonts w:hint="eastAsia"/>
                <w:color w:val="auto"/>
              </w:rPr>
            </w:pPr>
            <w:r>
              <w:rPr>
                <w:rFonts w:hint="eastAsia"/>
                <w:color w:val="auto"/>
              </w:rPr>
              <w:t>（1）生活垃圾：经各科室设置生活垃圾收集桶，生活垃圾统一收集后放置于社区生活垃圾暂存点待环卫部门转运处置。</w:t>
            </w:r>
          </w:p>
          <w:p>
            <w:pPr>
              <w:pStyle w:val="108"/>
              <w:ind w:firstLine="480"/>
              <w:rPr>
                <w:rFonts w:hint="eastAsia"/>
                <w:color w:val="auto"/>
              </w:rPr>
            </w:pPr>
            <w:r>
              <w:rPr>
                <w:rFonts w:hint="eastAsia"/>
                <w:color w:val="auto"/>
              </w:rPr>
              <w:t>（2）宠物粪便</w:t>
            </w:r>
            <w:r>
              <w:rPr>
                <w:rFonts w:hint="eastAsia"/>
                <w:color w:val="auto"/>
                <w:lang w:eastAsia="zh-CN"/>
              </w:rPr>
              <w:t>及垫料</w:t>
            </w:r>
            <w:r>
              <w:rPr>
                <w:rFonts w:hint="eastAsia"/>
                <w:color w:val="auto"/>
              </w:rPr>
              <w:t>：项目采用喷洒消毒剂的方式对宠物粪便进行消毒灭活，消毒灭活后交由环卫部门收运处置。</w:t>
            </w:r>
          </w:p>
          <w:p>
            <w:pPr>
              <w:pStyle w:val="108"/>
              <w:ind w:firstLine="480"/>
              <w:rPr>
                <w:rFonts w:hint="eastAsia"/>
                <w:color w:val="auto"/>
              </w:rPr>
            </w:pPr>
            <w:r>
              <w:rPr>
                <w:rFonts w:hint="eastAsia"/>
                <w:color w:val="auto"/>
              </w:rPr>
              <w:t>（3）宠物毛发：经喷洒消毒剂处理后可作为一般固废与生活垃圾一起交由环卫部门处理。</w:t>
            </w:r>
          </w:p>
          <w:p>
            <w:pPr>
              <w:pStyle w:val="110"/>
              <w:ind w:firstLine="480"/>
              <w:rPr>
                <w:rFonts w:hint="eastAsia"/>
                <w:color w:val="auto"/>
              </w:rPr>
            </w:pPr>
            <w:r>
              <w:rPr>
                <w:rFonts w:hint="eastAsia"/>
                <w:color w:val="auto"/>
              </w:rPr>
              <w:t>（4）宠物尸体：除宠物主人自行带走处置的宠物外，留在院内处置的经消毒后采用密封袋封存当天通知并交由资质单位收运处置，不在院内储存。</w:t>
            </w:r>
          </w:p>
          <w:p>
            <w:pPr>
              <w:pStyle w:val="110"/>
              <w:ind w:firstLine="480"/>
              <w:rPr>
                <w:rFonts w:hint="eastAsia" w:eastAsia="宋体"/>
                <w:color w:val="auto"/>
                <w:lang w:eastAsia="zh-CN"/>
              </w:rPr>
            </w:pPr>
            <w:r>
              <w:rPr>
                <w:rFonts w:hint="eastAsia"/>
                <w:color w:val="auto"/>
              </w:rPr>
              <w:t>（5）医疗废物：项目现状医疗废物交由成都市科农动物无害化处置有限公司，但目前医疗废物未按照《危险废物贮存污染控制标准》（GB18597-2001（2013年修订）中的相关要求进行规范化储存，应进行整改</w:t>
            </w:r>
            <w:r>
              <w:rPr>
                <w:rFonts w:hint="eastAsia"/>
                <w:color w:val="auto"/>
                <w:lang w:eastAsia="zh-CN"/>
              </w:rPr>
              <w:t>。</w:t>
            </w:r>
          </w:p>
          <w:p>
            <w:pPr>
              <w:pStyle w:val="110"/>
              <w:ind w:firstLine="480"/>
              <w:rPr>
                <w:rFonts w:hint="eastAsia" w:eastAsia="宋体"/>
                <w:color w:val="auto"/>
                <w:lang w:eastAsia="zh-CN"/>
              </w:rPr>
            </w:pPr>
            <w:r>
              <w:rPr>
                <w:rFonts w:hint="eastAsia"/>
                <w:color w:val="auto"/>
              </w:rPr>
              <w:t>（6）废紫外线灯管：根据《国家危险废物名录（2021 版）》，废紫外灯管属于“HW29 含汞废物中的 900-023-29 生产、销售及使用过程中产生的废含汞荧光灯管及其他废含汞电光源”</w:t>
            </w:r>
            <w:r>
              <w:rPr>
                <w:rFonts w:hint="eastAsia"/>
                <w:color w:val="auto"/>
                <w:lang w:eastAsia="zh-CN"/>
              </w:rPr>
              <w:t>，更换下来的废紫外线灯管</w:t>
            </w:r>
            <w:r>
              <w:rPr>
                <w:rFonts w:hint="eastAsia"/>
                <w:color w:val="auto"/>
                <w:lang w:val="en-US" w:eastAsia="zh-CN"/>
              </w:rPr>
              <w:t>采用专用包装容器收集，</w:t>
            </w:r>
            <w:r>
              <w:rPr>
                <w:rFonts w:hint="eastAsia"/>
                <w:color w:val="auto"/>
                <w:lang w:eastAsia="zh-CN"/>
              </w:rPr>
              <w:t>暂存于危废暂存间，定期交由资质单位处置。</w:t>
            </w:r>
          </w:p>
          <w:p>
            <w:pPr>
              <w:pStyle w:val="110"/>
              <w:ind w:firstLine="480"/>
              <w:rPr>
                <w:rFonts w:hint="eastAsia"/>
                <w:color w:val="auto"/>
                <w:lang w:val="en-US" w:eastAsia="zh-CN"/>
              </w:rPr>
            </w:pPr>
            <w:r>
              <w:rPr>
                <w:rFonts w:hint="eastAsia"/>
                <w:color w:val="auto"/>
                <w:lang w:eastAsia="zh-CN"/>
              </w:rPr>
              <w:t>（</w:t>
            </w:r>
            <w:r>
              <w:rPr>
                <w:rFonts w:hint="eastAsia"/>
                <w:color w:val="auto"/>
                <w:lang w:val="en-US" w:eastAsia="zh-CN"/>
              </w:rPr>
              <w:t>7）废活性炭：经收集后放置于社区生活垃圾暂存点待环卫部门转运处置。</w:t>
            </w:r>
          </w:p>
          <w:p>
            <w:pPr>
              <w:pStyle w:val="110"/>
              <w:rPr>
                <w:rFonts w:hint="eastAsia"/>
                <w:color w:val="auto"/>
                <w:lang w:val="en-US" w:eastAsia="zh-CN"/>
              </w:rPr>
            </w:pPr>
            <w:r>
              <w:rPr>
                <w:rFonts w:hint="eastAsia"/>
                <w:color w:val="auto"/>
                <w:lang w:val="en-US" w:eastAsia="zh-CN"/>
              </w:rPr>
              <w:t>（8）污水处理器污泥：根据《国家危险废物名录》（2021 版），污泥属于“HW01 医疗废物”中的“感染性废物”，危废代码841-001-01，污泥采用专用容器包装，暂存于危废暂存间，定期交由资质单位处置。</w:t>
            </w:r>
          </w:p>
          <w:p>
            <w:pPr>
              <w:pStyle w:val="6"/>
              <w:bidi w:val="0"/>
              <w:rPr>
                <w:rFonts w:hint="eastAsia"/>
              </w:rPr>
            </w:pPr>
            <w:r>
              <w:rPr>
                <w:rFonts w:hint="eastAsia"/>
                <w:lang w:val="en-US" w:eastAsia="zh-CN"/>
              </w:rPr>
              <w:t>4.3</w:t>
            </w:r>
            <w:r>
              <w:rPr>
                <w:rFonts w:hint="eastAsia"/>
              </w:rPr>
              <w:t>整改措施</w:t>
            </w:r>
          </w:p>
          <w:p>
            <w:pPr>
              <w:pStyle w:val="110"/>
              <w:ind w:firstLine="480"/>
              <w:rPr>
                <w:color w:val="auto"/>
              </w:rPr>
            </w:pPr>
            <w:r>
              <w:rPr>
                <w:rFonts w:hint="eastAsia"/>
                <w:color w:val="auto"/>
              </w:rPr>
              <w:t>由于本项目为未批先建，根据对项目现场勘查，项目对危险废物未采用合理妥当的贮存</w:t>
            </w:r>
            <w:r>
              <w:rPr>
                <w:rFonts w:hint="eastAsia"/>
                <w:color w:val="auto"/>
                <w:lang w:eastAsia="zh-CN"/>
              </w:rPr>
              <w:t>和处置</w:t>
            </w:r>
            <w:r>
              <w:rPr>
                <w:rFonts w:hint="eastAsia"/>
                <w:color w:val="auto"/>
              </w:rPr>
              <w:t>措施，因此，</w:t>
            </w:r>
            <w:r>
              <w:rPr>
                <w:rFonts w:hint="eastAsia"/>
                <w:b/>
                <w:bCs/>
                <w:color w:val="auto"/>
              </w:rPr>
              <w:t>本环评要求项目进行整改，严格按照《危险废物贮存污染控制标准》（GB18597-2001，2013年修改）的设计要求设置</w:t>
            </w:r>
            <w:r>
              <w:rPr>
                <w:rFonts w:hint="eastAsia"/>
                <w:b/>
                <w:bCs/>
                <w:color w:val="auto"/>
                <w:lang w:eastAsia="zh-CN"/>
              </w:rPr>
              <w:t>医疗废物</w:t>
            </w:r>
            <w:r>
              <w:rPr>
                <w:rFonts w:hint="eastAsia"/>
                <w:b/>
                <w:bCs/>
                <w:color w:val="auto"/>
              </w:rPr>
              <w:t>暂存间</w:t>
            </w:r>
            <w:r>
              <w:rPr>
                <w:rFonts w:hint="eastAsia"/>
                <w:color w:val="auto"/>
              </w:rPr>
              <w:t>，并将运营期产生的危险废物（医疗废物和废紫外线灯管）暂存于医疗废物暂存间，明确危险废物处置单位，并签订相关危废处置协议，定期将危险废物交由资质单位处置。</w:t>
            </w:r>
          </w:p>
          <w:p>
            <w:pPr>
              <w:pStyle w:val="110"/>
              <w:ind w:firstLine="482"/>
              <w:rPr>
                <w:rFonts w:hint="eastAsia"/>
                <w:color w:val="auto"/>
              </w:rPr>
            </w:pPr>
            <w:r>
              <w:rPr>
                <w:rFonts w:hint="eastAsia"/>
                <w:b/>
                <w:bCs/>
                <w:color w:val="auto"/>
              </w:rPr>
              <w:t>此外，环评要求建设单位按照相关规定要求做到以下几点：</w:t>
            </w:r>
            <w:r>
              <w:rPr>
                <w:rFonts w:hint="eastAsia"/>
                <w:color w:val="auto"/>
              </w:rPr>
              <w:t xml:space="preserve"> </w:t>
            </w:r>
          </w:p>
          <w:p>
            <w:pPr>
              <w:pStyle w:val="110"/>
              <w:ind w:firstLine="482"/>
              <w:rPr>
                <w:rFonts w:hint="eastAsia"/>
                <w:b/>
                <w:bCs/>
                <w:color w:val="auto"/>
              </w:rPr>
            </w:pPr>
            <w:r>
              <w:rPr>
                <w:rFonts w:hint="eastAsia"/>
                <w:b/>
                <w:bCs/>
                <w:color w:val="auto"/>
              </w:rPr>
              <w:t xml:space="preserve">① 医疗废物分类收集要求 </w:t>
            </w:r>
          </w:p>
          <w:p>
            <w:pPr>
              <w:pStyle w:val="110"/>
              <w:ind w:firstLine="480"/>
              <w:rPr>
                <w:rFonts w:hint="eastAsia"/>
                <w:color w:val="auto"/>
              </w:rPr>
            </w:pPr>
            <w:r>
              <w:rPr>
                <w:rFonts w:hint="eastAsia"/>
                <w:color w:val="auto"/>
              </w:rPr>
              <w:t xml:space="preserve">A、根据医疗废物的类别，将医疗废物分类置于符合《医疗废物专用包装物、容器的标准和警示标识的规定》的包装物或者容器内；收集容器应符合规定要求，盛装医疗废物的每个单位、产生日期、类别及需要的特别说明等。 </w:t>
            </w:r>
          </w:p>
          <w:p>
            <w:pPr>
              <w:pStyle w:val="110"/>
              <w:ind w:firstLine="480"/>
              <w:rPr>
                <w:rFonts w:hint="eastAsia"/>
                <w:color w:val="auto"/>
              </w:rPr>
            </w:pPr>
            <w:r>
              <w:rPr>
                <w:rFonts w:hint="eastAsia"/>
                <w:color w:val="auto"/>
              </w:rPr>
              <w:t xml:space="preserve">B、在盛装医疗废物前，应当对医疗废物包装物或者容器进行认真检查，确保无破损、渗漏和其它缺陷。 </w:t>
            </w:r>
          </w:p>
          <w:p>
            <w:pPr>
              <w:pStyle w:val="110"/>
              <w:ind w:firstLine="480"/>
              <w:rPr>
                <w:rFonts w:hint="eastAsia"/>
                <w:color w:val="auto"/>
              </w:rPr>
            </w:pPr>
            <w:r>
              <w:rPr>
                <w:rFonts w:hint="eastAsia"/>
                <w:color w:val="auto"/>
              </w:rPr>
              <w:t xml:space="preserve">C、各类医疗废物不能混合收集。 </w:t>
            </w:r>
          </w:p>
          <w:p>
            <w:pPr>
              <w:pStyle w:val="110"/>
              <w:ind w:firstLine="480"/>
              <w:rPr>
                <w:rFonts w:hint="eastAsia"/>
                <w:color w:val="auto"/>
              </w:rPr>
            </w:pPr>
            <w:r>
              <w:rPr>
                <w:rFonts w:hint="eastAsia"/>
                <w:color w:val="auto"/>
              </w:rPr>
              <w:t xml:space="preserve">D、在病房、诊断室等高危区必须采用双层废物袋或可密封处理的聚丙烯塑料桶，针头等锐器不应和其他废物混放，使用后要稳妥安全地放入防漏、防刺的专用容器中。锐器容器要求有盖，并做好明显的标识，防止转运人员被锐器划伤引起疾病感染。 </w:t>
            </w:r>
          </w:p>
          <w:p>
            <w:pPr>
              <w:pStyle w:val="110"/>
              <w:ind w:firstLine="480"/>
              <w:rPr>
                <w:rFonts w:hint="eastAsia"/>
                <w:color w:val="auto"/>
              </w:rPr>
            </w:pPr>
            <w:r>
              <w:rPr>
                <w:rFonts w:hint="eastAsia"/>
                <w:color w:val="auto"/>
              </w:rPr>
              <w:t>E、医疗废物收集袋印有盛装医疗废物的文字说明和医疗废物警示标识，装满 3/4 后就应当由专人密封清运至医疗垃圾暂存间。</w:t>
            </w:r>
          </w:p>
          <w:p>
            <w:pPr>
              <w:pStyle w:val="110"/>
              <w:ind w:firstLine="482"/>
              <w:rPr>
                <w:rFonts w:hint="eastAsia"/>
                <w:color w:val="auto"/>
              </w:rPr>
            </w:pPr>
            <w:r>
              <w:rPr>
                <w:rFonts w:hint="eastAsia"/>
                <w:b/>
                <w:bCs/>
                <w:color w:val="auto"/>
              </w:rPr>
              <w:t>② 医疗废物暂存要求</w:t>
            </w:r>
            <w:r>
              <w:rPr>
                <w:rFonts w:hint="eastAsia"/>
                <w:color w:val="auto"/>
              </w:rPr>
              <w:t xml:space="preserve"> </w:t>
            </w:r>
          </w:p>
          <w:p>
            <w:pPr>
              <w:pStyle w:val="110"/>
              <w:ind w:firstLine="480"/>
              <w:rPr>
                <w:rFonts w:hint="eastAsia"/>
                <w:color w:val="auto"/>
              </w:rPr>
            </w:pPr>
            <w:r>
              <w:rPr>
                <w:rFonts w:hint="eastAsia"/>
                <w:color w:val="auto"/>
              </w:rPr>
              <w:t xml:space="preserve">本项目拟设专门的医疗垃圾暂存间。要求医疗垃圾暂存间严格按照《危险废物储存污染控制标准》相关要求进行建设，做好防风、防雨、防渗措施，防止二次污染；地面采用坚固、防渗、耐腐蚀的材料建造，设堵截泄漏的裙脚、地沟等设施。同时，要求医疗垃圾暂存间应设置严密的封闭措施，并设专职管理人员，防止非工作人员接触医疗废物；有防鼠、防蚊蝇、防蟑螂、防盗等安全措施；易于清洁和消毒；设置明显的医疗废物警示标识和“禁止吸烟、饮食”的警示标识。根据《医疗卫生机构医疗废物管理办法》中“医疗废物暂时贮存的时间不得超过 2 天”的规定要求，要求医疗垃圾尽可能做到“日产日清”的清运方式，院内暂存时间不得超过 2 天，对医疗废物需进行消毒处理。 </w:t>
            </w:r>
          </w:p>
          <w:p>
            <w:pPr>
              <w:pStyle w:val="110"/>
              <w:ind w:firstLine="482"/>
              <w:rPr>
                <w:rFonts w:hint="eastAsia"/>
                <w:color w:val="auto"/>
              </w:rPr>
            </w:pPr>
            <w:r>
              <w:rPr>
                <w:rFonts w:hint="eastAsia"/>
                <w:b/>
                <w:bCs/>
                <w:color w:val="auto"/>
              </w:rPr>
              <w:t>③ 医疗废物的交接</w:t>
            </w:r>
            <w:r>
              <w:rPr>
                <w:rFonts w:hint="eastAsia"/>
                <w:color w:val="auto"/>
              </w:rPr>
              <w:t xml:space="preserve"> </w:t>
            </w:r>
          </w:p>
          <w:p>
            <w:pPr>
              <w:pStyle w:val="110"/>
              <w:ind w:firstLine="480"/>
              <w:rPr>
                <w:rFonts w:hint="eastAsia"/>
                <w:color w:val="auto"/>
              </w:rPr>
            </w:pPr>
            <w:r>
              <w:rPr>
                <w:rFonts w:hint="eastAsia"/>
                <w:color w:val="auto"/>
              </w:rPr>
              <w:t xml:space="preserve">医疗废物运送人员在接收医疗废物时，应外观检查医疗卫生机构是否按规定进行包装、标识，并盛装于周转箱内，不得打开包装袋取出医疗废物。对包装破损、包装外表污染或未盛装于周转箱内的医疗废物，医疗废物运送人员应当要求医疗卫生机构重新包装、标识，并盛装于周转箱内。拒不按规定对医疗废物进行包装的，运送人员有权拒绝运送，并向当地环保部门报告。 </w:t>
            </w:r>
          </w:p>
          <w:p>
            <w:pPr>
              <w:pStyle w:val="110"/>
              <w:ind w:firstLine="482"/>
              <w:rPr>
                <w:rFonts w:hint="eastAsia"/>
                <w:color w:val="auto"/>
              </w:rPr>
            </w:pPr>
            <w:r>
              <w:rPr>
                <w:rFonts w:hint="eastAsia"/>
                <w:b/>
                <w:bCs/>
                <w:color w:val="auto"/>
              </w:rPr>
              <w:t>④ 医疗废物转运要求</w:t>
            </w:r>
            <w:r>
              <w:rPr>
                <w:rFonts w:hint="eastAsia"/>
                <w:color w:val="auto"/>
              </w:rPr>
              <w:t xml:space="preserve"> </w:t>
            </w:r>
          </w:p>
          <w:p>
            <w:pPr>
              <w:pStyle w:val="110"/>
              <w:ind w:firstLine="480"/>
              <w:rPr>
                <w:rFonts w:hint="eastAsia"/>
                <w:color w:val="auto"/>
              </w:rPr>
            </w:pPr>
            <w:r>
              <w:rPr>
                <w:rFonts w:hint="eastAsia"/>
                <w:color w:val="auto"/>
              </w:rPr>
              <w:t xml:space="preserve">本项目医疗废物的交接和运输时应填写《危险废物转移联单（医疗废物专用）》 ，实施危险废物转移联单管理制度。在医疗废物运送过程中不得丢弃、遗撒医疗废物，不得装载或混装其它货物和动植物。转运医疗废物应使用专用转运袋，同时，医疗废物转运应当使用符合《医疗废物转运车技术要求》GB19217 的专用车辆。 </w:t>
            </w:r>
          </w:p>
          <w:p>
            <w:pPr>
              <w:pStyle w:val="110"/>
              <w:ind w:firstLine="482"/>
              <w:rPr>
                <w:rFonts w:hint="eastAsia"/>
                <w:color w:val="auto"/>
              </w:rPr>
            </w:pPr>
            <w:r>
              <w:rPr>
                <w:rFonts w:hint="eastAsia"/>
                <w:b/>
                <w:bCs/>
                <w:color w:val="auto"/>
              </w:rPr>
              <w:t>⑤ 医疗废物处置要求</w:t>
            </w:r>
            <w:r>
              <w:rPr>
                <w:rFonts w:hint="eastAsia"/>
                <w:color w:val="auto"/>
              </w:rPr>
              <w:t xml:space="preserve"> </w:t>
            </w:r>
          </w:p>
          <w:p>
            <w:pPr>
              <w:pStyle w:val="110"/>
              <w:ind w:firstLine="480"/>
              <w:rPr>
                <w:rFonts w:hint="eastAsia"/>
                <w:color w:val="auto"/>
              </w:rPr>
            </w:pPr>
            <w:r>
              <w:rPr>
                <w:rFonts w:hint="eastAsia"/>
                <w:color w:val="auto"/>
              </w:rPr>
              <w:t>项目运营过程中产生的</w:t>
            </w:r>
            <w:r>
              <w:rPr>
                <w:rFonts w:hint="eastAsia"/>
                <w:color w:val="auto"/>
                <w:lang w:eastAsia="zh-CN"/>
              </w:rPr>
              <w:t>动物</w:t>
            </w:r>
            <w:r>
              <w:rPr>
                <w:rFonts w:hint="eastAsia"/>
                <w:color w:val="auto"/>
              </w:rPr>
              <w:t>病理组织暂存在专用冰柜内，与其它医疗废物一起交由有资质的单位进行统一处置，并做好医疗废弃物的转运台账。禁止委托无资质的单位从事收集、运送、贮存和处置医疗废物；禁止将医疗废物混入其它废物、生活垃圾或向环境排放，或不按环保要求擅自进行处置；禁止任何单位和个人转让、买卖医疗废物；禁止在运送过程中丢弃医疗废物。</w:t>
            </w:r>
          </w:p>
          <w:p>
            <w:pPr>
              <w:pStyle w:val="110"/>
              <w:ind w:firstLine="480"/>
              <w:rPr>
                <w:rFonts w:hint="eastAsia"/>
                <w:color w:val="auto"/>
              </w:rPr>
            </w:pPr>
            <w:r>
              <w:rPr>
                <w:rFonts w:hint="eastAsia"/>
                <w:color w:val="auto"/>
              </w:rPr>
              <w:t>建设单位应在今后的运营过程中，加强消毒灭菌等工作，确保医疗废物得到合理有效的处置，不会对周围环境造成二次污染</w:t>
            </w:r>
          </w:p>
          <w:p>
            <w:pPr>
              <w:pStyle w:val="110"/>
              <w:ind w:left="480" w:leftChars="200" w:firstLine="0" w:firstLineChars="0"/>
              <w:rPr>
                <w:color w:val="auto"/>
              </w:rPr>
            </w:pPr>
            <w:r>
              <w:rPr>
                <w:rFonts w:hint="eastAsia"/>
                <w:color w:val="auto"/>
              </w:rPr>
              <w:t>综上，本项目运营期固体废物产生情况见下表4-</w:t>
            </w:r>
            <w:r>
              <w:rPr>
                <w:rFonts w:hint="eastAsia"/>
                <w:color w:val="auto"/>
                <w:lang w:val="en-US" w:eastAsia="zh-CN"/>
              </w:rPr>
              <w:t>8</w:t>
            </w:r>
            <w:r>
              <w:rPr>
                <w:rFonts w:hint="eastAsia"/>
                <w:color w:val="auto"/>
              </w:rPr>
              <w:t>。</w:t>
            </w:r>
          </w:p>
          <w:p>
            <w:pPr>
              <w:pStyle w:val="108"/>
              <w:widowControl w:val="0"/>
              <w:spacing w:line="360" w:lineRule="exact"/>
              <w:ind w:firstLine="0" w:firstLineChars="0"/>
              <w:jc w:val="center"/>
              <w:rPr>
                <w:rFonts w:hint="eastAsia"/>
                <w:b/>
                <w:color w:val="auto"/>
                <w:sz w:val="21"/>
                <w:szCs w:val="21"/>
              </w:rPr>
            </w:pPr>
            <w:r>
              <w:rPr>
                <w:b/>
                <w:color w:val="auto"/>
                <w:sz w:val="21"/>
                <w:szCs w:val="21"/>
              </w:rPr>
              <w:t>表</w:t>
            </w:r>
            <w:r>
              <w:rPr>
                <w:rFonts w:hint="eastAsia"/>
                <w:b/>
                <w:color w:val="auto"/>
                <w:sz w:val="21"/>
                <w:szCs w:val="21"/>
              </w:rPr>
              <w:t>4</w:t>
            </w:r>
            <w:r>
              <w:rPr>
                <w:b/>
                <w:color w:val="auto"/>
                <w:sz w:val="21"/>
                <w:szCs w:val="21"/>
              </w:rPr>
              <w:t>-</w:t>
            </w:r>
            <w:r>
              <w:rPr>
                <w:rFonts w:hint="eastAsia"/>
                <w:b/>
                <w:color w:val="auto"/>
                <w:sz w:val="21"/>
                <w:szCs w:val="21"/>
                <w:lang w:val="en-US" w:eastAsia="zh-CN"/>
              </w:rPr>
              <w:t>8</w:t>
            </w:r>
            <w:r>
              <w:rPr>
                <w:b/>
                <w:color w:val="auto"/>
                <w:sz w:val="21"/>
                <w:szCs w:val="21"/>
              </w:rPr>
              <w:t xml:space="preserve"> </w:t>
            </w:r>
            <w:r>
              <w:rPr>
                <w:rFonts w:hint="eastAsia"/>
                <w:b/>
                <w:color w:val="auto"/>
                <w:sz w:val="21"/>
                <w:szCs w:val="21"/>
              </w:rPr>
              <w:t>本</w:t>
            </w:r>
            <w:r>
              <w:rPr>
                <w:b/>
                <w:color w:val="auto"/>
                <w:sz w:val="21"/>
                <w:szCs w:val="21"/>
              </w:rPr>
              <w:t>项目</w:t>
            </w:r>
            <w:r>
              <w:rPr>
                <w:rFonts w:hint="eastAsia"/>
                <w:b/>
                <w:color w:val="auto"/>
                <w:sz w:val="21"/>
                <w:szCs w:val="21"/>
              </w:rPr>
              <w:t>固体废物</w:t>
            </w:r>
            <w:r>
              <w:rPr>
                <w:rFonts w:hint="eastAsia"/>
                <w:b/>
                <w:color w:val="auto"/>
                <w:sz w:val="21"/>
                <w:szCs w:val="21"/>
                <w:lang w:eastAsia="zh-CN"/>
              </w:rPr>
              <w:t>产排情况</w:t>
            </w:r>
            <w:r>
              <w:rPr>
                <w:rFonts w:hint="eastAsia"/>
                <w:b/>
                <w:color w:val="auto"/>
                <w:sz w:val="21"/>
                <w:szCs w:val="21"/>
              </w:rPr>
              <w:t>一览表</w:t>
            </w:r>
          </w:p>
          <w:tbl>
            <w:tblPr>
              <w:tblStyle w:val="39"/>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7"/>
              <w:gridCol w:w="780"/>
              <w:gridCol w:w="544"/>
              <w:gridCol w:w="2275"/>
              <w:gridCol w:w="971"/>
              <w:gridCol w:w="2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117" w:type="dxa"/>
                  <w:noWrap w:val="0"/>
                  <w:vAlign w:val="center"/>
                </w:tcPr>
                <w:p>
                  <w:pPr>
                    <w:pStyle w:val="124"/>
                    <w:rPr>
                      <w:rFonts w:hint="eastAsia"/>
                      <w:b/>
                      <w:bCs/>
                      <w:color w:val="auto"/>
                    </w:rPr>
                  </w:pPr>
                  <w:r>
                    <w:rPr>
                      <w:rFonts w:hint="eastAsia"/>
                      <w:b/>
                      <w:bCs/>
                      <w:color w:val="auto"/>
                    </w:rPr>
                    <w:t>种类</w:t>
                  </w:r>
                </w:p>
              </w:tc>
              <w:tc>
                <w:tcPr>
                  <w:tcW w:w="3599" w:type="dxa"/>
                  <w:gridSpan w:val="3"/>
                  <w:noWrap w:val="0"/>
                  <w:vAlign w:val="center"/>
                </w:tcPr>
                <w:p>
                  <w:pPr>
                    <w:pStyle w:val="124"/>
                    <w:rPr>
                      <w:rFonts w:hint="eastAsia" w:eastAsia="宋体"/>
                      <w:b/>
                      <w:bCs/>
                      <w:color w:val="auto"/>
                      <w:lang w:eastAsia="zh-CN"/>
                    </w:rPr>
                  </w:pPr>
                  <w:r>
                    <w:rPr>
                      <w:rFonts w:hint="eastAsia"/>
                      <w:b/>
                      <w:bCs/>
                      <w:color w:val="auto"/>
                      <w:lang w:eastAsia="zh-CN"/>
                    </w:rPr>
                    <w:t>固体废物类别及代码</w:t>
                  </w:r>
                </w:p>
              </w:tc>
              <w:tc>
                <w:tcPr>
                  <w:tcW w:w="971" w:type="dxa"/>
                  <w:noWrap w:val="0"/>
                  <w:vAlign w:val="center"/>
                </w:tcPr>
                <w:p>
                  <w:pPr>
                    <w:pStyle w:val="124"/>
                    <w:rPr>
                      <w:b/>
                      <w:bCs/>
                      <w:color w:val="auto"/>
                    </w:rPr>
                  </w:pPr>
                  <w:r>
                    <w:rPr>
                      <w:rFonts w:hint="eastAsia"/>
                      <w:b/>
                      <w:bCs/>
                      <w:color w:val="auto"/>
                    </w:rPr>
                    <w:t>产生量（t/a）</w:t>
                  </w:r>
                </w:p>
              </w:tc>
              <w:tc>
                <w:tcPr>
                  <w:tcW w:w="2619" w:type="dxa"/>
                  <w:noWrap w:val="0"/>
                  <w:vAlign w:val="center"/>
                </w:tcPr>
                <w:p>
                  <w:pPr>
                    <w:pStyle w:val="124"/>
                    <w:rPr>
                      <w:rFonts w:hint="eastAsia"/>
                      <w:b/>
                      <w:bCs/>
                      <w:color w:val="auto"/>
                    </w:rPr>
                  </w:pPr>
                  <w:r>
                    <w:rPr>
                      <w:rFonts w:hint="eastAsia"/>
                      <w:b/>
                      <w:bCs/>
                      <w:color w:val="auto"/>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dxa"/>
                  <w:vMerge w:val="restart"/>
                  <w:noWrap w:val="0"/>
                  <w:vAlign w:val="center"/>
                </w:tcPr>
                <w:p>
                  <w:pPr>
                    <w:pStyle w:val="124"/>
                    <w:rPr>
                      <w:rFonts w:hint="eastAsia"/>
                      <w:color w:val="auto"/>
                    </w:rPr>
                  </w:pPr>
                  <w:r>
                    <w:rPr>
                      <w:rFonts w:hint="eastAsia"/>
                      <w:color w:val="auto"/>
                    </w:rPr>
                    <w:t>危险废物</w:t>
                  </w:r>
                </w:p>
              </w:tc>
              <w:tc>
                <w:tcPr>
                  <w:tcW w:w="780" w:type="dxa"/>
                  <w:vMerge w:val="restart"/>
                  <w:noWrap w:val="0"/>
                  <w:vAlign w:val="center"/>
                </w:tcPr>
                <w:p>
                  <w:pPr>
                    <w:pStyle w:val="124"/>
                    <w:rPr>
                      <w:rFonts w:hint="eastAsia"/>
                      <w:color w:val="auto"/>
                    </w:rPr>
                  </w:pPr>
                  <w:r>
                    <w:rPr>
                      <w:rFonts w:hint="eastAsia"/>
                      <w:color w:val="auto"/>
                    </w:rPr>
                    <w:t>医疗废物</w:t>
                  </w:r>
                </w:p>
                <w:p>
                  <w:pPr>
                    <w:pStyle w:val="124"/>
                    <w:rPr>
                      <w:rFonts w:hint="eastAsia"/>
                      <w:color w:val="auto"/>
                    </w:rPr>
                  </w:pPr>
                  <w:r>
                    <w:rPr>
                      <w:rFonts w:hint="eastAsia"/>
                      <w:color w:val="auto"/>
                    </w:rPr>
                    <w:t>HW01</w:t>
                  </w:r>
                </w:p>
              </w:tc>
              <w:tc>
                <w:tcPr>
                  <w:tcW w:w="2819" w:type="dxa"/>
                  <w:gridSpan w:val="2"/>
                  <w:noWrap w:val="0"/>
                  <w:vAlign w:val="center"/>
                </w:tcPr>
                <w:p>
                  <w:pPr>
                    <w:pStyle w:val="124"/>
                    <w:rPr>
                      <w:color w:val="auto"/>
                    </w:rPr>
                  </w:pPr>
                  <w:r>
                    <w:rPr>
                      <w:rFonts w:hint="eastAsia"/>
                      <w:color w:val="auto"/>
                    </w:rPr>
                    <w:t>感染性废物841-001-01</w:t>
                  </w:r>
                </w:p>
              </w:tc>
              <w:tc>
                <w:tcPr>
                  <w:tcW w:w="971" w:type="dxa"/>
                  <w:vMerge w:val="restart"/>
                  <w:noWrap w:val="0"/>
                  <w:vAlign w:val="center"/>
                </w:tcPr>
                <w:p>
                  <w:pPr>
                    <w:pStyle w:val="176"/>
                    <w:bidi w:val="0"/>
                    <w:rPr>
                      <w:rFonts w:hint="default" w:eastAsia="宋体"/>
                      <w:color w:val="auto"/>
                      <w:lang w:val="en-US" w:eastAsia="zh-CN"/>
                    </w:rPr>
                  </w:pPr>
                  <w:r>
                    <w:rPr>
                      <w:rFonts w:hint="eastAsia"/>
                      <w:color w:val="auto"/>
                      <w:lang w:val="en-US" w:eastAsia="zh-CN"/>
                    </w:rPr>
                    <w:t>1.8</w:t>
                  </w:r>
                </w:p>
              </w:tc>
              <w:tc>
                <w:tcPr>
                  <w:tcW w:w="2619" w:type="dxa"/>
                  <w:vMerge w:val="restart"/>
                  <w:noWrap w:val="0"/>
                  <w:vAlign w:val="center"/>
                </w:tcPr>
                <w:p>
                  <w:pPr>
                    <w:pStyle w:val="124"/>
                    <w:rPr>
                      <w:rFonts w:hint="eastAsia" w:eastAsia="宋体"/>
                      <w:color w:val="auto"/>
                      <w:lang w:eastAsia="zh-CN"/>
                    </w:rPr>
                  </w:pPr>
                  <w:r>
                    <w:rPr>
                      <w:rFonts w:hint="eastAsia"/>
                      <w:color w:val="auto"/>
                    </w:rPr>
                    <w:t>分类收集，暂存于医疗废物暂存间，定期交由具有相关资质的单位处置，医疗废物的收集周期不超过2天，并做好医疗废弃物的转运台账</w:t>
                  </w:r>
                  <w:r>
                    <w:rPr>
                      <w:rFonts w:hint="eastAsia"/>
                      <w:color w:val="auto"/>
                      <w:lang w:eastAsia="zh-CN"/>
                    </w:rPr>
                    <w:t>；宠物尸体</w:t>
                  </w:r>
                  <w:r>
                    <w:rPr>
                      <w:rFonts w:hint="eastAsia"/>
                      <w:color w:val="auto"/>
                      <w:lang w:val="en-US" w:eastAsia="zh-CN"/>
                    </w:rPr>
                    <w:t>喷洒消毒液或洒生石灰消毒密封后暂存于处置室设置的冰箱内，交由资质单位进行无害化处置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dxa"/>
                  <w:vMerge w:val="continue"/>
                  <w:noWrap w:val="0"/>
                  <w:vAlign w:val="center"/>
                </w:tcPr>
                <w:p>
                  <w:pPr>
                    <w:pStyle w:val="124"/>
                    <w:rPr>
                      <w:rFonts w:hint="eastAsia"/>
                      <w:color w:val="auto"/>
                    </w:rPr>
                  </w:pPr>
                </w:p>
              </w:tc>
              <w:tc>
                <w:tcPr>
                  <w:tcW w:w="780" w:type="dxa"/>
                  <w:vMerge w:val="continue"/>
                  <w:noWrap w:val="0"/>
                  <w:vAlign w:val="center"/>
                </w:tcPr>
                <w:p>
                  <w:pPr>
                    <w:pStyle w:val="124"/>
                    <w:rPr>
                      <w:rFonts w:hint="eastAsia"/>
                      <w:color w:val="auto"/>
                    </w:rPr>
                  </w:pPr>
                </w:p>
              </w:tc>
              <w:tc>
                <w:tcPr>
                  <w:tcW w:w="2819" w:type="dxa"/>
                  <w:gridSpan w:val="2"/>
                  <w:noWrap w:val="0"/>
                  <w:vAlign w:val="center"/>
                </w:tcPr>
                <w:p>
                  <w:pPr>
                    <w:pStyle w:val="124"/>
                    <w:rPr>
                      <w:color w:val="auto"/>
                    </w:rPr>
                  </w:pPr>
                  <w:r>
                    <w:rPr>
                      <w:rFonts w:hint="eastAsia"/>
                      <w:color w:val="auto"/>
                    </w:rPr>
                    <w:t>损伤性废物841-002-01</w:t>
                  </w:r>
                </w:p>
              </w:tc>
              <w:tc>
                <w:tcPr>
                  <w:tcW w:w="971" w:type="dxa"/>
                  <w:vMerge w:val="continue"/>
                  <w:noWrap w:val="0"/>
                  <w:vAlign w:val="center"/>
                </w:tcPr>
                <w:p>
                  <w:pPr>
                    <w:pStyle w:val="124"/>
                    <w:rPr>
                      <w:rFonts w:hint="eastAsia"/>
                      <w:color w:val="auto"/>
                    </w:rPr>
                  </w:pPr>
                </w:p>
              </w:tc>
              <w:tc>
                <w:tcPr>
                  <w:tcW w:w="2619" w:type="dxa"/>
                  <w:vMerge w:val="continue"/>
                  <w:noWrap w:val="0"/>
                  <w:vAlign w:val="center"/>
                </w:tcPr>
                <w:p>
                  <w:pPr>
                    <w:pStyle w:val="124"/>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dxa"/>
                  <w:vMerge w:val="continue"/>
                  <w:noWrap w:val="0"/>
                  <w:vAlign w:val="center"/>
                </w:tcPr>
                <w:p>
                  <w:pPr>
                    <w:pStyle w:val="124"/>
                    <w:rPr>
                      <w:rFonts w:hint="eastAsia"/>
                      <w:color w:val="auto"/>
                    </w:rPr>
                  </w:pPr>
                </w:p>
              </w:tc>
              <w:tc>
                <w:tcPr>
                  <w:tcW w:w="780" w:type="dxa"/>
                  <w:vMerge w:val="continue"/>
                  <w:noWrap w:val="0"/>
                  <w:vAlign w:val="center"/>
                </w:tcPr>
                <w:p>
                  <w:pPr>
                    <w:pStyle w:val="124"/>
                    <w:rPr>
                      <w:rFonts w:hint="eastAsia"/>
                      <w:color w:val="auto"/>
                    </w:rPr>
                  </w:pPr>
                </w:p>
              </w:tc>
              <w:tc>
                <w:tcPr>
                  <w:tcW w:w="2819" w:type="dxa"/>
                  <w:gridSpan w:val="2"/>
                  <w:noWrap w:val="0"/>
                  <w:vAlign w:val="center"/>
                </w:tcPr>
                <w:p>
                  <w:pPr>
                    <w:pStyle w:val="124"/>
                    <w:rPr>
                      <w:rFonts w:hint="eastAsia"/>
                      <w:color w:val="auto"/>
                    </w:rPr>
                  </w:pPr>
                  <w:r>
                    <w:rPr>
                      <w:rFonts w:hint="eastAsia"/>
                      <w:color w:val="auto"/>
                    </w:rPr>
                    <w:t>化学性废物841-004-01</w:t>
                  </w:r>
                </w:p>
              </w:tc>
              <w:tc>
                <w:tcPr>
                  <w:tcW w:w="971" w:type="dxa"/>
                  <w:vMerge w:val="continue"/>
                  <w:noWrap w:val="0"/>
                  <w:vAlign w:val="center"/>
                </w:tcPr>
                <w:p>
                  <w:pPr>
                    <w:pStyle w:val="124"/>
                    <w:rPr>
                      <w:rFonts w:hint="eastAsia"/>
                      <w:color w:val="auto"/>
                    </w:rPr>
                  </w:pPr>
                </w:p>
              </w:tc>
              <w:tc>
                <w:tcPr>
                  <w:tcW w:w="2619" w:type="dxa"/>
                  <w:vMerge w:val="continue"/>
                  <w:noWrap w:val="0"/>
                  <w:vAlign w:val="center"/>
                </w:tcPr>
                <w:p>
                  <w:pPr>
                    <w:pStyle w:val="124"/>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dxa"/>
                  <w:vMerge w:val="continue"/>
                  <w:noWrap w:val="0"/>
                  <w:vAlign w:val="center"/>
                </w:tcPr>
                <w:p>
                  <w:pPr>
                    <w:pStyle w:val="124"/>
                    <w:rPr>
                      <w:rFonts w:hint="eastAsia"/>
                      <w:color w:val="auto"/>
                    </w:rPr>
                  </w:pPr>
                </w:p>
              </w:tc>
              <w:tc>
                <w:tcPr>
                  <w:tcW w:w="780" w:type="dxa"/>
                  <w:vMerge w:val="continue"/>
                  <w:noWrap w:val="0"/>
                  <w:vAlign w:val="center"/>
                </w:tcPr>
                <w:p>
                  <w:pPr>
                    <w:pStyle w:val="124"/>
                    <w:rPr>
                      <w:rFonts w:hint="eastAsia"/>
                      <w:color w:val="auto"/>
                    </w:rPr>
                  </w:pPr>
                </w:p>
              </w:tc>
              <w:tc>
                <w:tcPr>
                  <w:tcW w:w="2819" w:type="dxa"/>
                  <w:gridSpan w:val="2"/>
                  <w:noWrap w:val="0"/>
                  <w:vAlign w:val="center"/>
                </w:tcPr>
                <w:p>
                  <w:pPr>
                    <w:pStyle w:val="124"/>
                    <w:rPr>
                      <w:rFonts w:hint="eastAsia"/>
                      <w:color w:val="auto"/>
                    </w:rPr>
                  </w:pPr>
                  <w:r>
                    <w:rPr>
                      <w:rFonts w:hint="eastAsia"/>
                      <w:color w:val="auto"/>
                    </w:rPr>
                    <w:t>药物性废物841-005-01</w:t>
                  </w:r>
                </w:p>
              </w:tc>
              <w:tc>
                <w:tcPr>
                  <w:tcW w:w="971" w:type="dxa"/>
                  <w:vMerge w:val="continue"/>
                  <w:noWrap w:val="0"/>
                  <w:vAlign w:val="center"/>
                </w:tcPr>
                <w:p>
                  <w:pPr>
                    <w:pStyle w:val="124"/>
                    <w:rPr>
                      <w:rFonts w:hint="eastAsia"/>
                      <w:color w:val="auto"/>
                    </w:rPr>
                  </w:pPr>
                </w:p>
              </w:tc>
              <w:tc>
                <w:tcPr>
                  <w:tcW w:w="2619" w:type="dxa"/>
                  <w:vMerge w:val="continue"/>
                  <w:noWrap w:val="0"/>
                  <w:vAlign w:val="center"/>
                </w:tcPr>
                <w:p>
                  <w:pPr>
                    <w:pStyle w:val="124"/>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dxa"/>
                  <w:vMerge w:val="continue"/>
                  <w:noWrap w:val="0"/>
                  <w:vAlign w:val="center"/>
                </w:tcPr>
                <w:p>
                  <w:pPr>
                    <w:pStyle w:val="124"/>
                    <w:rPr>
                      <w:rFonts w:hint="eastAsia"/>
                      <w:color w:val="auto"/>
                    </w:rPr>
                  </w:pPr>
                </w:p>
              </w:tc>
              <w:tc>
                <w:tcPr>
                  <w:tcW w:w="3599" w:type="dxa"/>
                  <w:gridSpan w:val="3"/>
                  <w:noWrap w:val="0"/>
                  <w:vAlign w:val="center"/>
                </w:tcPr>
                <w:p>
                  <w:pPr>
                    <w:pStyle w:val="124"/>
                    <w:rPr>
                      <w:color w:val="auto"/>
                    </w:rPr>
                  </w:pPr>
                  <w:r>
                    <w:rPr>
                      <w:rFonts w:hint="eastAsia"/>
                      <w:color w:val="auto"/>
                      <w:lang w:eastAsia="zh-CN"/>
                    </w:rPr>
                    <w:t>宠物尸体</w:t>
                  </w:r>
                  <w:r>
                    <w:rPr>
                      <w:rFonts w:hint="eastAsia"/>
                      <w:color w:val="auto"/>
                    </w:rPr>
                    <w:t>HW01  841-00</w:t>
                  </w:r>
                  <w:r>
                    <w:rPr>
                      <w:rFonts w:hint="eastAsia"/>
                      <w:color w:val="auto"/>
                      <w:lang w:val="en-US" w:eastAsia="zh-CN"/>
                    </w:rPr>
                    <w:t>3</w:t>
                  </w:r>
                  <w:r>
                    <w:rPr>
                      <w:rFonts w:hint="eastAsia"/>
                      <w:color w:val="auto"/>
                    </w:rPr>
                    <w:t xml:space="preserve">-01 </w:t>
                  </w:r>
                </w:p>
              </w:tc>
              <w:tc>
                <w:tcPr>
                  <w:tcW w:w="971" w:type="dxa"/>
                  <w:noWrap w:val="0"/>
                  <w:vAlign w:val="center"/>
                </w:tcPr>
                <w:p>
                  <w:pPr>
                    <w:pStyle w:val="176"/>
                    <w:bidi w:val="0"/>
                    <w:rPr>
                      <w:rFonts w:hint="default" w:eastAsia="宋体"/>
                      <w:color w:val="auto"/>
                      <w:lang w:val="en-US" w:eastAsia="zh-CN"/>
                    </w:rPr>
                  </w:pPr>
                  <w:r>
                    <w:rPr>
                      <w:rFonts w:hint="eastAsia"/>
                      <w:color w:val="auto"/>
                      <w:lang w:val="en-US" w:eastAsia="zh-CN"/>
                    </w:rPr>
                    <w:t>0.1</w:t>
                  </w:r>
                </w:p>
              </w:tc>
              <w:tc>
                <w:tcPr>
                  <w:tcW w:w="2619" w:type="dxa"/>
                  <w:vMerge w:val="continue"/>
                  <w:noWrap w:val="0"/>
                  <w:vAlign w:val="center"/>
                </w:tcPr>
                <w:p>
                  <w:pPr>
                    <w:pStyle w:val="124"/>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117" w:type="dxa"/>
                  <w:vMerge w:val="continue"/>
                  <w:noWrap w:val="0"/>
                  <w:vAlign w:val="center"/>
                </w:tcPr>
                <w:p>
                  <w:pPr>
                    <w:pStyle w:val="124"/>
                    <w:rPr>
                      <w:rFonts w:hint="eastAsia"/>
                      <w:color w:val="auto"/>
                    </w:rPr>
                  </w:pPr>
                </w:p>
              </w:tc>
              <w:tc>
                <w:tcPr>
                  <w:tcW w:w="3599" w:type="dxa"/>
                  <w:gridSpan w:val="3"/>
                  <w:noWrap w:val="0"/>
                  <w:vAlign w:val="center"/>
                </w:tcPr>
                <w:p>
                  <w:pPr>
                    <w:pStyle w:val="124"/>
                    <w:rPr>
                      <w:rFonts w:hint="eastAsia"/>
                      <w:color w:val="auto"/>
                    </w:rPr>
                  </w:pPr>
                  <w:r>
                    <w:rPr>
                      <w:rFonts w:hint="eastAsia"/>
                      <w:color w:val="auto"/>
                    </w:rPr>
                    <w:t>废紫外线灯管HW29  900-023-29</w:t>
                  </w:r>
                </w:p>
              </w:tc>
              <w:tc>
                <w:tcPr>
                  <w:tcW w:w="971" w:type="dxa"/>
                  <w:noWrap w:val="0"/>
                  <w:vAlign w:val="center"/>
                </w:tcPr>
                <w:p>
                  <w:pPr>
                    <w:pStyle w:val="176"/>
                    <w:bidi w:val="0"/>
                    <w:rPr>
                      <w:rFonts w:hint="default" w:eastAsia="宋体"/>
                      <w:color w:val="auto"/>
                      <w:lang w:val="en-US" w:eastAsia="zh-CN"/>
                    </w:rPr>
                  </w:pPr>
                  <w:r>
                    <w:rPr>
                      <w:rFonts w:hint="eastAsia" w:eastAsia="宋体"/>
                      <w:color w:val="auto"/>
                      <w:lang w:val="en-US" w:eastAsia="zh-CN"/>
                    </w:rPr>
                    <w:t>0.003</w:t>
                  </w:r>
                </w:p>
              </w:tc>
              <w:tc>
                <w:tcPr>
                  <w:tcW w:w="2619" w:type="dxa"/>
                  <w:vMerge w:val="continue"/>
                  <w:noWrap w:val="0"/>
                  <w:vAlign w:val="center"/>
                </w:tcPr>
                <w:p>
                  <w:pPr>
                    <w:pStyle w:val="124"/>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1117" w:type="dxa"/>
                  <w:vMerge w:val="continue"/>
                  <w:noWrap w:val="0"/>
                  <w:vAlign w:val="center"/>
                </w:tcPr>
                <w:p>
                  <w:pPr>
                    <w:pStyle w:val="124"/>
                    <w:rPr>
                      <w:rFonts w:hint="eastAsia"/>
                      <w:color w:val="auto"/>
                    </w:rPr>
                  </w:pPr>
                </w:p>
              </w:tc>
              <w:tc>
                <w:tcPr>
                  <w:tcW w:w="3599" w:type="dxa"/>
                  <w:gridSpan w:val="3"/>
                  <w:noWrap w:val="0"/>
                  <w:vAlign w:val="center"/>
                </w:tcPr>
                <w:p>
                  <w:pPr>
                    <w:pStyle w:val="124"/>
                    <w:rPr>
                      <w:rFonts w:hint="eastAsia" w:eastAsia="宋体"/>
                      <w:color w:val="auto"/>
                      <w:lang w:eastAsia="zh-CN"/>
                    </w:rPr>
                  </w:pPr>
                  <w:r>
                    <w:rPr>
                      <w:rFonts w:hint="eastAsia"/>
                      <w:color w:val="auto"/>
                      <w:lang w:eastAsia="zh-CN"/>
                    </w:rPr>
                    <w:t>污水处理器污泥</w:t>
                  </w:r>
                  <w:r>
                    <w:rPr>
                      <w:rFonts w:hint="eastAsia"/>
                      <w:color w:val="auto"/>
                      <w:lang w:val="en-US" w:eastAsia="zh-CN"/>
                    </w:rPr>
                    <w:t>HW01  841-001-01</w:t>
                  </w:r>
                </w:p>
              </w:tc>
              <w:tc>
                <w:tcPr>
                  <w:tcW w:w="971" w:type="dxa"/>
                  <w:noWrap w:val="0"/>
                  <w:vAlign w:val="center"/>
                </w:tcPr>
                <w:p>
                  <w:pPr>
                    <w:pStyle w:val="176"/>
                    <w:bidi w:val="0"/>
                    <w:rPr>
                      <w:rFonts w:hint="default" w:eastAsia="宋体"/>
                      <w:color w:val="auto"/>
                      <w:lang w:val="en-US" w:eastAsia="zh-CN"/>
                    </w:rPr>
                  </w:pPr>
                  <w:r>
                    <w:rPr>
                      <w:rFonts w:hint="eastAsia"/>
                      <w:color w:val="auto"/>
                      <w:lang w:val="en-US" w:eastAsia="zh-CN"/>
                    </w:rPr>
                    <w:t>0.01</w:t>
                  </w:r>
                </w:p>
              </w:tc>
              <w:tc>
                <w:tcPr>
                  <w:tcW w:w="2619" w:type="dxa"/>
                  <w:vMerge w:val="continue"/>
                  <w:noWrap w:val="0"/>
                  <w:vAlign w:val="center"/>
                </w:tcPr>
                <w:p>
                  <w:pPr>
                    <w:pStyle w:val="124"/>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6" w:type="dxa"/>
                  <w:gridSpan w:val="4"/>
                  <w:noWrap w:val="0"/>
                  <w:vAlign w:val="center"/>
                </w:tcPr>
                <w:p>
                  <w:pPr>
                    <w:pStyle w:val="124"/>
                    <w:rPr>
                      <w:rFonts w:hint="eastAsia"/>
                      <w:color w:val="auto"/>
                    </w:rPr>
                  </w:pPr>
                  <w:r>
                    <w:rPr>
                      <w:rFonts w:hint="eastAsia"/>
                      <w:color w:val="auto"/>
                    </w:rPr>
                    <w:t>合计</w:t>
                  </w:r>
                </w:p>
              </w:tc>
              <w:tc>
                <w:tcPr>
                  <w:tcW w:w="971" w:type="dxa"/>
                  <w:noWrap w:val="0"/>
                  <w:vAlign w:val="center"/>
                </w:tcPr>
                <w:p>
                  <w:pPr>
                    <w:pStyle w:val="124"/>
                    <w:rPr>
                      <w:rFonts w:hint="default" w:eastAsia="宋体"/>
                      <w:color w:val="auto"/>
                      <w:lang w:val="en-US" w:eastAsia="zh-CN"/>
                    </w:rPr>
                  </w:pPr>
                  <w:r>
                    <w:rPr>
                      <w:rFonts w:hint="eastAsia"/>
                      <w:color w:val="auto"/>
                      <w:lang w:val="en-US" w:eastAsia="zh-CN"/>
                    </w:rPr>
                    <w:t>1.953</w:t>
                  </w:r>
                </w:p>
              </w:tc>
              <w:tc>
                <w:tcPr>
                  <w:tcW w:w="2619" w:type="dxa"/>
                  <w:vMerge w:val="continue"/>
                  <w:noWrap w:val="0"/>
                  <w:vAlign w:val="center"/>
                </w:tcPr>
                <w:p>
                  <w:pPr>
                    <w:pStyle w:val="124"/>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17" w:type="dxa"/>
                  <w:vMerge w:val="restart"/>
                  <w:noWrap w:val="0"/>
                  <w:vAlign w:val="center"/>
                </w:tcPr>
                <w:p>
                  <w:pPr>
                    <w:pStyle w:val="124"/>
                    <w:rPr>
                      <w:rFonts w:hint="eastAsia"/>
                      <w:color w:val="auto"/>
                    </w:rPr>
                  </w:pPr>
                  <w:r>
                    <w:rPr>
                      <w:rFonts w:hint="eastAsia"/>
                      <w:color w:val="auto"/>
                    </w:rPr>
                    <w:t>一般固废</w:t>
                  </w:r>
                </w:p>
              </w:tc>
              <w:tc>
                <w:tcPr>
                  <w:tcW w:w="1324" w:type="dxa"/>
                  <w:gridSpan w:val="2"/>
                  <w:noWrap w:val="0"/>
                  <w:vAlign w:val="center"/>
                </w:tcPr>
                <w:p>
                  <w:pPr>
                    <w:pStyle w:val="176"/>
                    <w:bidi w:val="0"/>
                    <w:rPr>
                      <w:rFonts w:hint="eastAsia"/>
                      <w:color w:val="auto"/>
                    </w:rPr>
                  </w:pPr>
                  <w:r>
                    <w:rPr>
                      <w:rFonts w:hint="eastAsia"/>
                      <w:color w:val="auto"/>
                    </w:rPr>
                    <w:t>生活垃圾</w:t>
                  </w:r>
                </w:p>
              </w:tc>
              <w:tc>
                <w:tcPr>
                  <w:tcW w:w="2275" w:type="dxa"/>
                  <w:vMerge w:val="restart"/>
                  <w:noWrap w:val="0"/>
                  <w:vAlign w:val="center"/>
                </w:tcPr>
                <w:p>
                  <w:pPr>
                    <w:pStyle w:val="176"/>
                    <w:bidi w:val="0"/>
                    <w:rPr>
                      <w:rFonts w:hint="eastAsia"/>
                      <w:color w:val="auto"/>
                    </w:rPr>
                  </w:pPr>
                  <w:r>
                    <w:rPr>
                      <w:rFonts w:hint="eastAsia"/>
                      <w:color w:val="auto"/>
                    </w:rPr>
                    <w:t>900-999-99</w:t>
                  </w:r>
                </w:p>
              </w:tc>
              <w:tc>
                <w:tcPr>
                  <w:tcW w:w="971" w:type="dxa"/>
                  <w:noWrap w:val="0"/>
                  <w:vAlign w:val="center"/>
                </w:tcPr>
                <w:p>
                  <w:pPr>
                    <w:pStyle w:val="176"/>
                    <w:bidi w:val="0"/>
                    <w:rPr>
                      <w:rFonts w:hint="default" w:eastAsia="宋体"/>
                      <w:color w:val="auto"/>
                      <w:lang w:val="en-US" w:eastAsia="zh-CN"/>
                    </w:rPr>
                  </w:pPr>
                  <w:r>
                    <w:rPr>
                      <w:rFonts w:hint="eastAsia"/>
                      <w:color w:val="auto"/>
                      <w:lang w:val="en-US" w:eastAsia="zh-CN"/>
                    </w:rPr>
                    <w:t>2.52</w:t>
                  </w:r>
                </w:p>
              </w:tc>
              <w:tc>
                <w:tcPr>
                  <w:tcW w:w="2619" w:type="dxa"/>
                  <w:vMerge w:val="restart"/>
                  <w:noWrap w:val="0"/>
                  <w:vAlign w:val="center"/>
                </w:tcPr>
                <w:p>
                  <w:pPr>
                    <w:pStyle w:val="176"/>
                    <w:bidi w:val="0"/>
                    <w:rPr>
                      <w:rFonts w:hint="eastAsia" w:eastAsia="宋体"/>
                      <w:color w:val="auto"/>
                      <w:lang w:eastAsia="zh-CN"/>
                    </w:rPr>
                  </w:pPr>
                  <w:r>
                    <w:rPr>
                      <w:rFonts w:hint="eastAsia"/>
                      <w:color w:val="auto"/>
                    </w:rPr>
                    <w:t>生活垃圾</w:t>
                  </w:r>
                  <w:r>
                    <w:rPr>
                      <w:rFonts w:hint="eastAsia"/>
                      <w:color w:val="auto"/>
                      <w:lang w:eastAsia="zh-CN"/>
                    </w:rPr>
                    <w:t>及废活性炭</w:t>
                  </w:r>
                  <w:r>
                    <w:rPr>
                      <w:rFonts w:hint="eastAsia"/>
                      <w:color w:val="auto"/>
                    </w:rPr>
                    <w:t>收集后放置于社区生活垃圾暂存点待环卫部门转运处置；宠物毛发</w:t>
                  </w:r>
                  <w:r>
                    <w:rPr>
                      <w:rFonts w:hint="eastAsia"/>
                      <w:color w:val="auto"/>
                      <w:lang w:eastAsia="zh-CN"/>
                    </w:rPr>
                    <w:t>、</w:t>
                  </w:r>
                  <w:r>
                    <w:rPr>
                      <w:rFonts w:hint="eastAsia"/>
                      <w:color w:val="auto"/>
                    </w:rPr>
                    <w:t>粪便</w:t>
                  </w:r>
                  <w:r>
                    <w:rPr>
                      <w:rFonts w:hint="eastAsia"/>
                      <w:color w:val="auto"/>
                      <w:lang w:eastAsia="zh-CN"/>
                    </w:rPr>
                    <w:t>及垫料</w:t>
                  </w:r>
                  <w:r>
                    <w:rPr>
                      <w:rFonts w:hint="eastAsia"/>
                      <w:color w:val="auto"/>
                    </w:rPr>
                    <w:t>集中收集，喷洒消毒剂后同生活垃圾交由市环卫部门统一收集清运和处理</w:t>
                  </w:r>
                  <w:r>
                    <w:rPr>
                      <w:rFonts w:hint="eastAsia"/>
                      <w:color w:val="auto"/>
                      <w:lang w:eastAsia="zh-CN"/>
                    </w:rPr>
                    <w:t>；</w:t>
                  </w:r>
                  <w:r>
                    <w:rPr>
                      <w:rFonts w:hint="eastAsia"/>
                      <w:color w:val="auto"/>
                      <w:lang w:val="en-US" w:eastAsia="zh-CN"/>
                    </w:rPr>
                    <w:t>废外包材集中收集后定期外售废品收购站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117" w:type="dxa"/>
                  <w:vMerge w:val="continue"/>
                  <w:noWrap w:val="0"/>
                  <w:vAlign w:val="center"/>
                </w:tcPr>
                <w:p>
                  <w:pPr>
                    <w:pStyle w:val="124"/>
                    <w:rPr>
                      <w:rFonts w:hint="eastAsia"/>
                      <w:color w:val="auto"/>
                    </w:rPr>
                  </w:pPr>
                </w:p>
              </w:tc>
              <w:tc>
                <w:tcPr>
                  <w:tcW w:w="1324" w:type="dxa"/>
                  <w:gridSpan w:val="2"/>
                  <w:noWrap w:val="0"/>
                  <w:vAlign w:val="center"/>
                </w:tcPr>
                <w:p>
                  <w:pPr>
                    <w:pStyle w:val="176"/>
                    <w:bidi w:val="0"/>
                    <w:rPr>
                      <w:rFonts w:hint="eastAsia"/>
                      <w:color w:val="auto"/>
                    </w:rPr>
                  </w:pPr>
                  <w:r>
                    <w:rPr>
                      <w:rFonts w:hint="eastAsia"/>
                      <w:color w:val="auto"/>
                    </w:rPr>
                    <w:t>宠物毛发</w:t>
                  </w:r>
                </w:p>
              </w:tc>
              <w:tc>
                <w:tcPr>
                  <w:tcW w:w="2275" w:type="dxa"/>
                  <w:vMerge w:val="continue"/>
                  <w:noWrap w:val="0"/>
                  <w:vAlign w:val="center"/>
                </w:tcPr>
                <w:p>
                  <w:pPr>
                    <w:pStyle w:val="176"/>
                    <w:bidi w:val="0"/>
                    <w:rPr>
                      <w:rFonts w:hint="eastAsia"/>
                      <w:color w:val="auto"/>
                    </w:rPr>
                  </w:pPr>
                </w:p>
              </w:tc>
              <w:tc>
                <w:tcPr>
                  <w:tcW w:w="971" w:type="dxa"/>
                  <w:noWrap w:val="0"/>
                  <w:vAlign w:val="center"/>
                </w:tcPr>
                <w:p>
                  <w:pPr>
                    <w:pStyle w:val="176"/>
                    <w:bidi w:val="0"/>
                    <w:rPr>
                      <w:rFonts w:hint="default" w:eastAsia="宋体"/>
                      <w:color w:val="auto"/>
                      <w:lang w:val="en-US" w:eastAsia="zh-CN"/>
                    </w:rPr>
                  </w:pPr>
                  <w:r>
                    <w:rPr>
                      <w:rFonts w:hint="eastAsia"/>
                      <w:color w:val="auto"/>
                      <w:lang w:val="en-US" w:eastAsia="zh-CN"/>
                    </w:rPr>
                    <w:t>0.002</w:t>
                  </w:r>
                </w:p>
              </w:tc>
              <w:tc>
                <w:tcPr>
                  <w:tcW w:w="2619" w:type="dxa"/>
                  <w:vMerge w:val="continue"/>
                  <w:noWrap w:val="0"/>
                  <w:vAlign w:val="center"/>
                </w:tcPr>
                <w:p>
                  <w:pPr>
                    <w:pStyle w:val="124"/>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117" w:type="dxa"/>
                  <w:vMerge w:val="continue"/>
                  <w:noWrap w:val="0"/>
                  <w:vAlign w:val="center"/>
                </w:tcPr>
                <w:p>
                  <w:pPr>
                    <w:pStyle w:val="124"/>
                    <w:rPr>
                      <w:rFonts w:hint="eastAsia"/>
                      <w:color w:val="auto"/>
                    </w:rPr>
                  </w:pPr>
                </w:p>
              </w:tc>
              <w:tc>
                <w:tcPr>
                  <w:tcW w:w="1324" w:type="dxa"/>
                  <w:gridSpan w:val="2"/>
                  <w:noWrap w:val="0"/>
                  <w:vAlign w:val="center"/>
                </w:tcPr>
                <w:p>
                  <w:pPr>
                    <w:pStyle w:val="176"/>
                    <w:bidi w:val="0"/>
                    <w:rPr>
                      <w:rFonts w:hint="eastAsia" w:eastAsia="宋体"/>
                      <w:color w:val="auto"/>
                      <w:lang w:eastAsia="zh-CN"/>
                    </w:rPr>
                  </w:pPr>
                  <w:r>
                    <w:rPr>
                      <w:rFonts w:hint="eastAsia"/>
                      <w:color w:val="auto"/>
                    </w:rPr>
                    <w:t>宠物粪便</w:t>
                  </w:r>
                  <w:r>
                    <w:rPr>
                      <w:rFonts w:hint="eastAsia"/>
                      <w:color w:val="auto"/>
                      <w:lang w:eastAsia="zh-CN"/>
                    </w:rPr>
                    <w:t>及垫料</w:t>
                  </w:r>
                </w:p>
              </w:tc>
              <w:tc>
                <w:tcPr>
                  <w:tcW w:w="2275" w:type="dxa"/>
                  <w:vMerge w:val="continue"/>
                  <w:noWrap w:val="0"/>
                  <w:vAlign w:val="center"/>
                </w:tcPr>
                <w:p>
                  <w:pPr>
                    <w:pStyle w:val="176"/>
                    <w:bidi w:val="0"/>
                    <w:rPr>
                      <w:rFonts w:hint="eastAsia"/>
                      <w:color w:val="auto"/>
                    </w:rPr>
                  </w:pPr>
                </w:p>
              </w:tc>
              <w:tc>
                <w:tcPr>
                  <w:tcW w:w="971" w:type="dxa"/>
                  <w:noWrap w:val="0"/>
                  <w:vAlign w:val="center"/>
                </w:tcPr>
                <w:p>
                  <w:pPr>
                    <w:pStyle w:val="176"/>
                    <w:bidi w:val="0"/>
                    <w:rPr>
                      <w:rFonts w:hint="default" w:eastAsia="宋体"/>
                      <w:color w:val="auto"/>
                      <w:lang w:val="en-US" w:eastAsia="zh-CN"/>
                    </w:rPr>
                  </w:pPr>
                  <w:r>
                    <w:rPr>
                      <w:rFonts w:hint="eastAsia"/>
                      <w:color w:val="auto"/>
                      <w:lang w:val="en-US" w:eastAsia="zh-CN"/>
                    </w:rPr>
                    <w:t>0.5</w:t>
                  </w:r>
                </w:p>
              </w:tc>
              <w:tc>
                <w:tcPr>
                  <w:tcW w:w="2619" w:type="dxa"/>
                  <w:vMerge w:val="continue"/>
                  <w:noWrap w:val="0"/>
                  <w:vAlign w:val="center"/>
                </w:tcPr>
                <w:p>
                  <w:pPr>
                    <w:pStyle w:val="124"/>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1117" w:type="dxa"/>
                  <w:vMerge w:val="continue"/>
                  <w:noWrap w:val="0"/>
                  <w:vAlign w:val="center"/>
                </w:tcPr>
                <w:p>
                  <w:pPr>
                    <w:pStyle w:val="124"/>
                    <w:rPr>
                      <w:rFonts w:hint="eastAsia"/>
                      <w:color w:val="auto"/>
                    </w:rPr>
                  </w:pPr>
                </w:p>
              </w:tc>
              <w:tc>
                <w:tcPr>
                  <w:tcW w:w="1324" w:type="dxa"/>
                  <w:gridSpan w:val="2"/>
                  <w:noWrap w:val="0"/>
                  <w:vAlign w:val="center"/>
                </w:tcPr>
                <w:p>
                  <w:pPr>
                    <w:pStyle w:val="176"/>
                    <w:bidi w:val="0"/>
                    <w:rPr>
                      <w:rFonts w:hint="eastAsia"/>
                      <w:color w:val="auto"/>
                    </w:rPr>
                  </w:pPr>
                  <w:r>
                    <w:rPr>
                      <w:rFonts w:hint="eastAsia"/>
                      <w:color w:val="auto"/>
                      <w:lang w:val="en-US" w:eastAsia="zh-CN"/>
                    </w:rPr>
                    <w:t>废外包材</w:t>
                  </w:r>
                </w:p>
              </w:tc>
              <w:tc>
                <w:tcPr>
                  <w:tcW w:w="2275" w:type="dxa"/>
                  <w:vMerge w:val="continue"/>
                  <w:noWrap w:val="0"/>
                  <w:vAlign w:val="center"/>
                </w:tcPr>
                <w:p>
                  <w:pPr>
                    <w:pStyle w:val="176"/>
                    <w:bidi w:val="0"/>
                    <w:rPr>
                      <w:rFonts w:hint="eastAsia"/>
                      <w:color w:val="auto"/>
                    </w:rPr>
                  </w:pPr>
                </w:p>
              </w:tc>
              <w:tc>
                <w:tcPr>
                  <w:tcW w:w="971" w:type="dxa"/>
                  <w:noWrap w:val="0"/>
                  <w:vAlign w:val="center"/>
                </w:tcPr>
                <w:p>
                  <w:pPr>
                    <w:pStyle w:val="176"/>
                    <w:bidi w:val="0"/>
                    <w:rPr>
                      <w:rFonts w:hint="default" w:eastAsia="宋体"/>
                      <w:color w:val="auto"/>
                      <w:lang w:val="en-US" w:eastAsia="zh-CN"/>
                    </w:rPr>
                  </w:pPr>
                  <w:r>
                    <w:rPr>
                      <w:rFonts w:hint="eastAsia"/>
                      <w:color w:val="auto"/>
                      <w:lang w:val="en-US" w:eastAsia="zh-CN"/>
                    </w:rPr>
                    <w:t>0.2</w:t>
                  </w:r>
                </w:p>
              </w:tc>
              <w:tc>
                <w:tcPr>
                  <w:tcW w:w="2619" w:type="dxa"/>
                  <w:vMerge w:val="continue"/>
                  <w:noWrap w:val="0"/>
                  <w:vAlign w:val="center"/>
                </w:tcPr>
                <w:p>
                  <w:pPr>
                    <w:pStyle w:val="124"/>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117" w:type="dxa"/>
                  <w:vMerge w:val="continue"/>
                  <w:noWrap w:val="0"/>
                  <w:vAlign w:val="center"/>
                </w:tcPr>
                <w:p>
                  <w:pPr>
                    <w:pStyle w:val="124"/>
                    <w:rPr>
                      <w:rFonts w:hint="eastAsia"/>
                      <w:color w:val="auto"/>
                    </w:rPr>
                  </w:pPr>
                </w:p>
              </w:tc>
              <w:tc>
                <w:tcPr>
                  <w:tcW w:w="1324" w:type="dxa"/>
                  <w:gridSpan w:val="2"/>
                  <w:noWrap w:val="0"/>
                  <w:vAlign w:val="center"/>
                </w:tcPr>
                <w:p>
                  <w:pPr>
                    <w:pStyle w:val="176"/>
                    <w:bidi w:val="0"/>
                    <w:rPr>
                      <w:rFonts w:hint="default"/>
                      <w:color w:val="auto"/>
                      <w:lang w:val="en-US" w:eastAsia="zh-CN"/>
                    </w:rPr>
                  </w:pPr>
                  <w:r>
                    <w:rPr>
                      <w:rFonts w:hint="eastAsia"/>
                      <w:color w:val="auto"/>
                      <w:lang w:val="en-US" w:eastAsia="zh-CN"/>
                    </w:rPr>
                    <w:t>废活性炭</w:t>
                  </w:r>
                </w:p>
              </w:tc>
              <w:tc>
                <w:tcPr>
                  <w:tcW w:w="2275" w:type="dxa"/>
                  <w:vMerge w:val="continue"/>
                  <w:noWrap w:val="0"/>
                  <w:vAlign w:val="center"/>
                </w:tcPr>
                <w:p>
                  <w:pPr>
                    <w:pStyle w:val="176"/>
                    <w:bidi w:val="0"/>
                    <w:rPr>
                      <w:rFonts w:hint="eastAsia"/>
                      <w:color w:val="auto"/>
                    </w:rPr>
                  </w:pPr>
                </w:p>
              </w:tc>
              <w:tc>
                <w:tcPr>
                  <w:tcW w:w="971" w:type="dxa"/>
                  <w:noWrap w:val="0"/>
                  <w:vAlign w:val="center"/>
                </w:tcPr>
                <w:p>
                  <w:pPr>
                    <w:pStyle w:val="176"/>
                    <w:bidi w:val="0"/>
                    <w:rPr>
                      <w:rFonts w:hint="default"/>
                      <w:color w:val="auto"/>
                      <w:lang w:val="en-US" w:eastAsia="zh-CN"/>
                    </w:rPr>
                  </w:pPr>
                  <w:r>
                    <w:rPr>
                      <w:rFonts w:hint="eastAsia"/>
                      <w:color w:val="auto"/>
                      <w:lang w:val="en-US" w:eastAsia="zh-CN"/>
                    </w:rPr>
                    <w:t>0.04</w:t>
                  </w:r>
                </w:p>
              </w:tc>
              <w:tc>
                <w:tcPr>
                  <w:tcW w:w="2619" w:type="dxa"/>
                  <w:vMerge w:val="continue"/>
                  <w:noWrap w:val="0"/>
                  <w:vAlign w:val="center"/>
                </w:tcPr>
                <w:p>
                  <w:pPr>
                    <w:pStyle w:val="124"/>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6" w:type="dxa"/>
                  <w:gridSpan w:val="4"/>
                  <w:noWrap w:val="0"/>
                  <w:vAlign w:val="center"/>
                </w:tcPr>
                <w:p>
                  <w:pPr>
                    <w:pStyle w:val="176"/>
                    <w:bidi w:val="0"/>
                    <w:rPr>
                      <w:rFonts w:hint="eastAsia" w:eastAsia="宋体"/>
                      <w:color w:val="auto"/>
                      <w:lang w:eastAsia="zh-CN"/>
                    </w:rPr>
                  </w:pPr>
                  <w:r>
                    <w:rPr>
                      <w:rFonts w:hint="eastAsia"/>
                      <w:color w:val="auto"/>
                      <w:lang w:eastAsia="zh-CN"/>
                    </w:rPr>
                    <w:t>合计</w:t>
                  </w:r>
                </w:p>
              </w:tc>
              <w:tc>
                <w:tcPr>
                  <w:tcW w:w="971" w:type="dxa"/>
                  <w:noWrap w:val="0"/>
                  <w:vAlign w:val="center"/>
                </w:tcPr>
                <w:p>
                  <w:pPr>
                    <w:pStyle w:val="176"/>
                    <w:bidi w:val="0"/>
                    <w:rPr>
                      <w:rFonts w:hint="default" w:eastAsia="宋体"/>
                      <w:color w:val="auto"/>
                      <w:lang w:val="en-US" w:eastAsia="zh-CN"/>
                    </w:rPr>
                  </w:pPr>
                </w:p>
              </w:tc>
              <w:tc>
                <w:tcPr>
                  <w:tcW w:w="2619" w:type="dxa"/>
                  <w:vMerge w:val="continue"/>
                  <w:noWrap w:val="0"/>
                  <w:vAlign w:val="center"/>
                </w:tcPr>
                <w:p>
                  <w:pPr>
                    <w:pStyle w:val="124"/>
                    <w:rPr>
                      <w:rFonts w:hint="eastAsia"/>
                      <w:color w:val="auto"/>
                    </w:rPr>
                  </w:pPr>
                </w:p>
              </w:tc>
            </w:tr>
          </w:tbl>
          <w:p>
            <w:pPr>
              <w:pStyle w:val="110"/>
              <w:ind w:firstLine="480"/>
              <w:rPr>
                <w:rFonts w:hint="eastAsia"/>
                <w:color w:val="auto"/>
              </w:rPr>
            </w:pPr>
            <w:r>
              <w:rPr>
                <w:rFonts w:hint="eastAsia"/>
                <w:color w:val="auto"/>
              </w:rPr>
              <w:t>由上表可知，本项目产生的固体废弃物按照要求分类处理，去向明确，均能得到妥善处置，不会产生二次污染。</w:t>
            </w:r>
          </w:p>
          <w:p>
            <w:pPr>
              <w:pStyle w:val="5"/>
              <w:spacing w:after="120"/>
              <w:rPr>
                <w:color w:val="auto"/>
              </w:rPr>
            </w:pPr>
            <w:r>
              <w:rPr>
                <w:rFonts w:hint="eastAsia"/>
                <w:color w:val="auto"/>
                <w:lang w:val="en-US" w:eastAsia="zh-CN"/>
              </w:rPr>
              <w:t>5</w:t>
            </w:r>
            <w:r>
              <w:rPr>
                <w:color w:val="auto"/>
              </w:rPr>
              <w:t>、地下水、土壤环境分析</w:t>
            </w:r>
          </w:p>
          <w:p>
            <w:pPr>
              <w:pStyle w:val="110"/>
              <w:ind w:firstLine="480"/>
              <w:rPr>
                <w:rFonts w:hint="eastAsia"/>
                <w:color w:val="auto"/>
                <w:lang w:eastAsia="zh-CN"/>
              </w:rPr>
            </w:pPr>
            <w:r>
              <w:rPr>
                <w:rFonts w:hint="eastAsia"/>
                <w:color w:val="auto"/>
                <w:lang w:eastAsia="zh-CN"/>
              </w:rPr>
              <w:t>本项目运营期不取用地下水，也不向地下注水和排水，所有建筑均已采取防渗漏的地面硬化措施，危险废物经暂存间收集后交由资质单位处理，项目产生的所有废水均得到有效处理，正常情况下，项目不会对地下水及土壤环境造成污染影响。</w:t>
            </w:r>
          </w:p>
          <w:p>
            <w:pPr>
              <w:pStyle w:val="110"/>
              <w:ind w:firstLine="480"/>
              <w:rPr>
                <w:rFonts w:hint="eastAsia"/>
                <w:color w:val="auto"/>
                <w:lang w:eastAsia="zh-CN"/>
              </w:rPr>
            </w:pPr>
            <w:r>
              <w:rPr>
                <w:rFonts w:hint="eastAsia"/>
                <w:color w:val="auto"/>
                <w:lang w:eastAsia="zh-CN"/>
              </w:rPr>
              <w:t>项目地下水与土壤污染防治措施和对策，应坚持“源头控制、分区防治、污染监控、应急响应”的原则。</w:t>
            </w:r>
          </w:p>
          <w:p>
            <w:pPr>
              <w:pStyle w:val="6"/>
              <w:bidi w:val="0"/>
              <w:rPr>
                <w:rFonts w:hint="eastAsia"/>
                <w:lang w:val="en-US" w:eastAsia="zh-CN"/>
              </w:rPr>
            </w:pPr>
            <w:r>
              <w:rPr>
                <w:rFonts w:hint="eastAsia"/>
                <w:lang w:val="en-US" w:eastAsia="zh-CN"/>
              </w:rPr>
              <w:t>5.1项目现有治理措施</w:t>
            </w:r>
          </w:p>
          <w:p>
            <w:pPr>
              <w:pStyle w:val="110"/>
              <w:bidi w:val="0"/>
              <w:rPr>
                <w:rFonts w:hint="eastAsia"/>
                <w:color w:val="auto"/>
                <w:lang w:eastAsia="zh-CN"/>
              </w:rPr>
            </w:pPr>
            <w:r>
              <w:rPr>
                <w:rFonts w:hint="eastAsia"/>
                <w:color w:val="auto"/>
                <w:lang w:eastAsia="zh-CN"/>
              </w:rPr>
              <w:t>本项目已建成投产，租赁的小区商业设施进行项目生产经营，且项目已对地面进行了混凝土硬化防渗处理。</w:t>
            </w:r>
          </w:p>
          <w:p>
            <w:pPr>
              <w:pStyle w:val="6"/>
              <w:numPr>
                <w:ilvl w:val="0"/>
                <w:numId w:val="0"/>
              </w:numPr>
              <w:bidi w:val="0"/>
              <w:ind w:leftChars="200"/>
              <w:rPr>
                <w:rFonts w:hint="eastAsia"/>
                <w:color w:val="auto"/>
                <w:lang w:val="en-US" w:eastAsia="zh-CN"/>
              </w:rPr>
            </w:pPr>
            <w:r>
              <w:rPr>
                <w:rFonts w:hint="eastAsia"/>
                <w:color w:val="auto"/>
                <w:lang w:val="en-US" w:eastAsia="zh-CN"/>
              </w:rPr>
              <w:t>5.2存在问题及整改措施</w:t>
            </w:r>
          </w:p>
          <w:p>
            <w:pPr>
              <w:pStyle w:val="110"/>
              <w:numPr>
                <w:ilvl w:val="0"/>
                <w:numId w:val="11"/>
              </w:numPr>
              <w:bidi w:val="0"/>
              <w:rPr>
                <w:rFonts w:hint="eastAsia"/>
                <w:b/>
                <w:bCs/>
                <w:color w:val="auto"/>
                <w:lang w:val="en-US" w:eastAsia="zh-CN"/>
              </w:rPr>
            </w:pPr>
            <w:r>
              <w:rPr>
                <w:rFonts w:hint="eastAsia"/>
                <w:b/>
                <w:bCs/>
                <w:color w:val="auto"/>
                <w:lang w:val="en-US" w:eastAsia="zh-CN"/>
              </w:rPr>
              <w:t>存在问题</w:t>
            </w:r>
          </w:p>
          <w:p>
            <w:pPr>
              <w:pStyle w:val="110"/>
              <w:bidi w:val="0"/>
              <w:rPr>
                <w:rFonts w:hint="eastAsia" w:cs="Times New Roman"/>
                <w:color w:val="auto"/>
                <w:vertAlign w:val="baseline"/>
                <w:lang w:val="en-US" w:eastAsia="zh-CN"/>
              </w:rPr>
            </w:pPr>
            <w:r>
              <w:rPr>
                <w:rFonts w:hint="eastAsia"/>
                <w:color w:val="auto"/>
                <w:lang w:val="en-US" w:eastAsia="zh-CN"/>
              </w:rPr>
              <w:t>目前项目地面已采取20cm厚P6抗渗混凝土+地砖，等效黏土防渗层Mb≥1.5m，K≤1.0</w:t>
            </w:r>
            <w:r>
              <w:rPr>
                <w:rFonts w:hint="default"/>
                <w:color w:val="auto"/>
                <w:lang w:val="en-US" w:eastAsia="zh-CN"/>
              </w:rPr>
              <w:t>×</w:t>
            </w:r>
            <w:r>
              <w:rPr>
                <w:rFonts w:hint="eastAsia"/>
                <w:color w:val="auto"/>
                <w:lang w:val="en-US" w:eastAsia="zh-CN"/>
              </w:rPr>
              <w:t>10</w:t>
            </w:r>
            <w:r>
              <w:rPr>
                <w:rFonts w:hint="eastAsia"/>
                <w:color w:val="auto"/>
                <w:vertAlign w:val="superscript"/>
                <w:lang w:val="en-US" w:eastAsia="zh-CN"/>
              </w:rPr>
              <w:t>-7</w:t>
            </w:r>
            <w:r>
              <w:rPr>
                <w:rFonts w:hint="eastAsia"/>
                <w:color w:val="auto"/>
                <w:lang w:val="en-US" w:eastAsia="zh-CN"/>
              </w:rPr>
              <w:t>cm/s，满足一般防渗区和简单防渗区要求，但不能满足“源头控制和过程防控”的要求。</w:t>
            </w:r>
          </w:p>
          <w:p>
            <w:pPr>
              <w:pStyle w:val="110"/>
              <w:numPr>
                <w:ilvl w:val="0"/>
                <w:numId w:val="11"/>
              </w:numPr>
              <w:bidi w:val="0"/>
              <w:ind w:left="0" w:leftChars="0" w:firstLine="482" w:firstLineChars="200"/>
              <w:rPr>
                <w:rFonts w:hint="eastAsia" w:cs="Times New Roman"/>
                <w:b/>
                <w:bCs/>
                <w:color w:val="auto"/>
                <w:vertAlign w:val="baseline"/>
                <w:lang w:val="en-US" w:eastAsia="zh-CN"/>
              </w:rPr>
            </w:pPr>
            <w:r>
              <w:rPr>
                <w:rFonts w:hint="eastAsia" w:cs="Times New Roman"/>
                <w:b/>
                <w:bCs/>
                <w:color w:val="auto"/>
                <w:vertAlign w:val="baseline"/>
                <w:lang w:val="en-US" w:eastAsia="zh-CN"/>
              </w:rPr>
              <w:t>整改措施</w:t>
            </w:r>
          </w:p>
          <w:p>
            <w:pPr>
              <w:pStyle w:val="110"/>
              <w:numPr>
                <w:ilvl w:val="0"/>
                <w:numId w:val="0"/>
              </w:numPr>
              <w:bidi w:val="0"/>
              <w:ind w:leftChars="200"/>
              <w:rPr>
                <w:rFonts w:hint="eastAsia" w:cs="Times New Roman"/>
                <w:b/>
                <w:bCs/>
                <w:color w:val="auto"/>
                <w:vertAlign w:val="baseline"/>
                <w:lang w:val="en-US" w:eastAsia="zh-CN"/>
              </w:rPr>
            </w:pPr>
            <w:r>
              <w:rPr>
                <w:rFonts w:hint="eastAsia" w:cs="Times New Roman"/>
                <w:b/>
                <w:bCs/>
                <w:color w:val="auto"/>
                <w:vertAlign w:val="baseline"/>
                <w:lang w:val="en-US" w:eastAsia="zh-CN"/>
              </w:rPr>
              <w:t>①源头控制措施：</w:t>
            </w:r>
          </w:p>
          <w:p>
            <w:pPr>
              <w:pStyle w:val="110"/>
              <w:numPr>
                <w:ilvl w:val="0"/>
                <w:numId w:val="12"/>
              </w:numPr>
              <w:bidi w:val="0"/>
              <w:rPr>
                <w:rFonts w:hint="eastAsia"/>
                <w:color w:val="auto"/>
                <w:lang w:val="en-US" w:eastAsia="zh-CN"/>
              </w:rPr>
            </w:pPr>
            <w:r>
              <w:rPr>
                <w:rFonts w:hint="eastAsia"/>
                <w:color w:val="auto"/>
                <w:lang w:val="en-US" w:eastAsia="zh-CN"/>
              </w:rPr>
              <w:t>加强环境管理，采取防止和降低污染物跑、冒、滴、漏的措施。正常运营期间应加强对医疗废物暂存间及设施危险物品区域的检查，及时处理污染物跑、冒、滴、漏，同时应加强对防渗工程的检查，若发现防渗层密封材料老化或损坏，应及时维修和更换。</w:t>
            </w:r>
          </w:p>
          <w:p>
            <w:pPr>
              <w:pStyle w:val="110"/>
              <w:numPr>
                <w:ilvl w:val="0"/>
                <w:numId w:val="12"/>
              </w:numPr>
              <w:bidi w:val="0"/>
              <w:rPr>
                <w:rFonts w:hint="default"/>
                <w:color w:val="auto"/>
                <w:lang w:val="en-US" w:eastAsia="zh-CN"/>
              </w:rPr>
            </w:pPr>
            <w:r>
              <w:rPr>
                <w:rFonts w:hint="eastAsia"/>
                <w:color w:val="auto"/>
                <w:lang w:val="en-US" w:eastAsia="zh-CN"/>
              </w:rPr>
              <w:t>对工艺、管道、设备、污水储存及处理构筑物采取控制措施，防止污染物的跑、冒、滴、漏，将污染物泄漏的环境风险事故降到最低限度。</w:t>
            </w:r>
          </w:p>
          <w:p>
            <w:pPr>
              <w:pStyle w:val="110"/>
              <w:bidi w:val="0"/>
              <w:rPr>
                <w:rFonts w:hint="eastAsia"/>
                <w:b/>
                <w:bCs/>
                <w:color w:val="auto"/>
                <w:lang w:val="en-US" w:eastAsia="zh-CN"/>
              </w:rPr>
            </w:pPr>
            <w:r>
              <w:rPr>
                <w:rFonts w:hint="eastAsia"/>
                <w:b/>
                <w:bCs/>
                <w:color w:val="auto"/>
                <w:lang w:val="en-US" w:eastAsia="zh-CN"/>
              </w:rPr>
              <w:t>②分区防渗措施：</w:t>
            </w:r>
          </w:p>
          <w:p>
            <w:pPr>
              <w:pStyle w:val="110"/>
              <w:bidi w:val="0"/>
              <w:rPr>
                <w:rFonts w:hint="eastAsia"/>
                <w:b w:val="0"/>
                <w:bCs w:val="0"/>
                <w:color w:val="auto"/>
                <w:lang w:val="en-US" w:eastAsia="zh-CN"/>
              </w:rPr>
            </w:pPr>
            <w:r>
              <w:rPr>
                <w:rFonts w:hint="eastAsia"/>
                <w:b w:val="0"/>
                <w:bCs w:val="0"/>
                <w:color w:val="auto"/>
                <w:lang w:val="en-US" w:eastAsia="zh-CN"/>
              </w:rPr>
              <w:t>结合本项目实际情况，将项目运营场所涉及危险物品的功能单元所处的位置划分为重点防渗区、一般防渗区和简单防渗区域。</w:t>
            </w:r>
          </w:p>
          <w:p>
            <w:pPr>
              <w:pStyle w:val="110"/>
              <w:bidi w:val="0"/>
              <w:rPr>
                <w:rFonts w:hint="eastAsia"/>
                <w:b w:val="0"/>
                <w:bCs w:val="0"/>
                <w:color w:val="auto"/>
                <w:lang w:val="en-US" w:eastAsia="zh-CN"/>
              </w:rPr>
            </w:pPr>
            <w:r>
              <w:rPr>
                <w:rFonts w:hint="eastAsia"/>
                <w:b/>
                <w:bCs/>
                <w:color w:val="auto"/>
                <w:lang w:val="en-US" w:eastAsia="zh-CN"/>
              </w:rPr>
              <w:t>重点防渗区</w:t>
            </w:r>
            <w:r>
              <w:rPr>
                <w:rFonts w:hint="eastAsia"/>
                <w:b w:val="0"/>
                <w:bCs w:val="0"/>
                <w:color w:val="auto"/>
                <w:lang w:val="en-US" w:eastAsia="zh-CN"/>
              </w:rPr>
              <w:t>主要为：医疗废物暂存间、污水处理设施区域；</w:t>
            </w:r>
          </w:p>
          <w:p>
            <w:pPr>
              <w:pStyle w:val="110"/>
              <w:bidi w:val="0"/>
              <w:rPr>
                <w:rFonts w:hint="eastAsia"/>
                <w:b w:val="0"/>
                <w:bCs w:val="0"/>
                <w:color w:val="auto"/>
                <w:lang w:val="en-US" w:eastAsia="zh-CN"/>
              </w:rPr>
            </w:pPr>
            <w:r>
              <w:rPr>
                <w:rFonts w:hint="eastAsia"/>
                <w:b/>
                <w:bCs/>
                <w:color w:val="auto"/>
                <w:lang w:val="en-US" w:eastAsia="zh-CN"/>
              </w:rPr>
              <w:t>一般防渗区</w:t>
            </w:r>
            <w:r>
              <w:rPr>
                <w:rFonts w:hint="eastAsia"/>
                <w:b w:val="0"/>
                <w:bCs w:val="0"/>
                <w:color w:val="auto"/>
                <w:lang w:val="en-US" w:eastAsia="zh-CN"/>
              </w:rPr>
              <w:t>主要为：化验室、宠物住院病房、DR室、手术室、库房及门诊室；</w:t>
            </w:r>
          </w:p>
          <w:p>
            <w:pPr>
              <w:pStyle w:val="110"/>
              <w:bidi w:val="0"/>
              <w:rPr>
                <w:rFonts w:hint="eastAsia"/>
                <w:b w:val="0"/>
                <w:bCs w:val="0"/>
                <w:color w:val="auto"/>
                <w:lang w:val="en-US" w:eastAsia="zh-CN"/>
              </w:rPr>
            </w:pPr>
            <w:r>
              <w:rPr>
                <w:rFonts w:hint="eastAsia"/>
                <w:b/>
                <w:bCs/>
                <w:color w:val="auto"/>
                <w:lang w:val="en-US" w:eastAsia="zh-CN"/>
              </w:rPr>
              <w:t>简单防渗区</w:t>
            </w:r>
            <w:r>
              <w:rPr>
                <w:rFonts w:hint="eastAsia"/>
                <w:b w:val="0"/>
                <w:bCs w:val="0"/>
                <w:color w:val="auto"/>
                <w:lang w:val="en-US" w:eastAsia="zh-CN"/>
              </w:rPr>
              <w:t>主要为：前台接待区域、大厅、走廊过道。</w:t>
            </w:r>
          </w:p>
          <w:p>
            <w:pPr>
              <w:pStyle w:val="123"/>
              <w:bidi w:val="0"/>
              <w:rPr>
                <w:rFonts w:hint="eastAsia"/>
                <w:color w:val="auto"/>
                <w:lang w:val="en-US" w:eastAsia="zh-CN"/>
              </w:rPr>
            </w:pPr>
            <w:r>
              <w:rPr>
                <w:rFonts w:hint="eastAsia"/>
                <w:color w:val="auto"/>
                <w:lang w:val="en-US" w:eastAsia="zh-CN"/>
              </w:rPr>
              <w:t>表4-9 项目分区防渗一览表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8"/>
              <w:gridCol w:w="1072"/>
              <w:gridCol w:w="1827"/>
              <w:gridCol w:w="1373"/>
              <w:gridCol w:w="1373"/>
              <w:gridCol w:w="1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noWrap w:val="0"/>
                  <w:vAlign w:val="center"/>
                </w:tcPr>
                <w:p>
                  <w:pPr>
                    <w:pStyle w:val="176"/>
                    <w:bidi w:val="0"/>
                    <w:jc w:val="center"/>
                    <w:rPr>
                      <w:rFonts w:hint="default"/>
                      <w:b/>
                      <w:bCs/>
                      <w:color w:val="auto"/>
                      <w:vertAlign w:val="baseline"/>
                      <w:lang w:val="en-US" w:eastAsia="zh-CN"/>
                    </w:rPr>
                  </w:pPr>
                  <w:r>
                    <w:rPr>
                      <w:rFonts w:hint="eastAsia"/>
                      <w:b/>
                      <w:bCs/>
                      <w:color w:val="auto"/>
                      <w:vertAlign w:val="baseline"/>
                      <w:lang w:val="en-US" w:eastAsia="zh-CN"/>
                    </w:rPr>
                    <w:t>地下水污染隐患单元</w:t>
                  </w:r>
                </w:p>
              </w:tc>
              <w:tc>
                <w:tcPr>
                  <w:tcW w:w="1072" w:type="dxa"/>
                  <w:noWrap w:val="0"/>
                  <w:vAlign w:val="center"/>
                </w:tcPr>
                <w:p>
                  <w:pPr>
                    <w:pStyle w:val="176"/>
                    <w:bidi w:val="0"/>
                    <w:jc w:val="center"/>
                    <w:rPr>
                      <w:rFonts w:hint="default"/>
                      <w:b/>
                      <w:bCs/>
                      <w:color w:val="auto"/>
                      <w:vertAlign w:val="baseline"/>
                      <w:lang w:val="en-US" w:eastAsia="zh-CN"/>
                    </w:rPr>
                  </w:pPr>
                  <w:r>
                    <w:rPr>
                      <w:rFonts w:hint="eastAsia"/>
                      <w:b/>
                      <w:bCs/>
                      <w:color w:val="auto"/>
                      <w:vertAlign w:val="baseline"/>
                      <w:lang w:val="en-US" w:eastAsia="zh-CN"/>
                    </w:rPr>
                    <w:t>防渗区域</w:t>
                  </w:r>
                </w:p>
              </w:tc>
              <w:tc>
                <w:tcPr>
                  <w:tcW w:w="1827" w:type="dxa"/>
                  <w:noWrap w:val="0"/>
                  <w:vAlign w:val="center"/>
                </w:tcPr>
                <w:p>
                  <w:pPr>
                    <w:pStyle w:val="176"/>
                    <w:bidi w:val="0"/>
                    <w:jc w:val="center"/>
                    <w:rPr>
                      <w:rFonts w:hint="default"/>
                      <w:b/>
                      <w:bCs/>
                      <w:color w:val="auto"/>
                      <w:vertAlign w:val="baseline"/>
                      <w:lang w:val="en-US" w:eastAsia="zh-CN"/>
                    </w:rPr>
                  </w:pPr>
                  <w:r>
                    <w:rPr>
                      <w:rFonts w:hint="eastAsia"/>
                      <w:b/>
                      <w:bCs/>
                      <w:color w:val="auto"/>
                      <w:vertAlign w:val="baseline"/>
                      <w:lang w:val="en-US" w:eastAsia="zh-CN"/>
                    </w:rPr>
                    <w:t>防渗技术要求</w:t>
                  </w:r>
                </w:p>
              </w:tc>
              <w:tc>
                <w:tcPr>
                  <w:tcW w:w="1373" w:type="dxa"/>
                  <w:noWrap w:val="0"/>
                  <w:vAlign w:val="center"/>
                </w:tcPr>
                <w:p>
                  <w:pPr>
                    <w:pStyle w:val="176"/>
                    <w:bidi w:val="0"/>
                    <w:jc w:val="center"/>
                    <w:rPr>
                      <w:rFonts w:hint="default"/>
                      <w:b/>
                      <w:bCs/>
                      <w:color w:val="auto"/>
                      <w:vertAlign w:val="baseline"/>
                      <w:lang w:val="en-US" w:eastAsia="zh-CN"/>
                    </w:rPr>
                  </w:pPr>
                  <w:r>
                    <w:rPr>
                      <w:rFonts w:hint="eastAsia"/>
                      <w:b/>
                      <w:bCs/>
                      <w:color w:val="auto"/>
                      <w:vertAlign w:val="baseline"/>
                      <w:lang w:val="en-US" w:eastAsia="zh-CN"/>
                    </w:rPr>
                    <w:t>现有防渗措施</w:t>
                  </w:r>
                </w:p>
              </w:tc>
              <w:tc>
                <w:tcPr>
                  <w:tcW w:w="1373" w:type="dxa"/>
                  <w:noWrap w:val="0"/>
                  <w:vAlign w:val="center"/>
                </w:tcPr>
                <w:p>
                  <w:pPr>
                    <w:pStyle w:val="176"/>
                    <w:bidi w:val="0"/>
                    <w:jc w:val="center"/>
                    <w:rPr>
                      <w:rFonts w:hint="default"/>
                      <w:b/>
                      <w:bCs/>
                      <w:color w:val="auto"/>
                      <w:vertAlign w:val="baseline"/>
                      <w:lang w:val="en-US" w:eastAsia="zh-CN"/>
                    </w:rPr>
                  </w:pPr>
                  <w:r>
                    <w:rPr>
                      <w:rFonts w:hint="eastAsia"/>
                      <w:b/>
                      <w:bCs/>
                      <w:color w:val="auto"/>
                      <w:vertAlign w:val="baseline"/>
                      <w:lang w:val="en-US" w:eastAsia="zh-CN"/>
                    </w:rPr>
                    <w:t>是否满足防渗要求</w:t>
                  </w:r>
                </w:p>
              </w:tc>
              <w:tc>
                <w:tcPr>
                  <w:tcW w:w="1373" w:type="dxa"/>
                  <w:noWrap w:val="0"/>
                  <w:vAlign w:val="center"/>
                </w:tcPr>
                <w:p>
                  <w:pPr>
                    <w:pStyle w:val="176"/>
                    <w:bidi w:val="0"/>
                    <w:jc w:val="center"/>
                    <w:rPr>
                      <w:rFonts w:hint="default"/>
                      <w:b/>
                      <w:bCs/>
                      <w:color w:val="auto"/>
                      <w:vertAlign w:val="baseline"/>
                      <w:lang w:val="en-US" w:eastAsia="zh-CN"/>
                    </w:rPr>
                  </w:pPr>
                  <w:r>
                    <w:rPr>
                      <w:rFonts w:hint="eastAsia"/>
                      <w:b/>
                      <w:bCs/>
                      <w:color w:val="auto"/>
                      <w:vertAlign w:val="baseline"/>
                      <w:lang w:val="en-US" w:eastAsia="zh-CN"/>
                    </w:rPr>
                    <w:t>整改措施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noWrap w:val="0"/>
                  <w:vAlign w:val="center"/>
                </w:tcPr>
                <w:p>
                  <w:pPr>
                    <w:pStyle w:val="176"/>
                    <w:bidi w:val="0"/>
                    <w:jc w:val="center"/>
                    <w:rPr>
                      <w:rFonts w:hint="eastAsia"/>
                      <w:color w:val="auto"/>
                      <w:vertAlign w:val="baseline"/>
                      <w:lang w:val="en-US" w:eastAsia="zh-CN"/>
                    </w:rPr>
                  </w:pPr>
                </w:p>
                <w:p>
                  <w:pPr>
                    <w:pStyle w:val="176"/>
                    <w:bidi w:val="0"/>
                    <w:jc w:val="center"/>
                    <w:rPr>
                      <w:rFonts w:hint="eastAsia"/>
                      <w:color w:val="auto"/>
                      <w:vertAlign w:val="baseline"/>
                      <w:lang w:val="en-US" w:eastAsia="zh-CN"/>
                    </w:rPr>
                  </w:pPr>
                </w:p>
                <w:p>
                  <w:pPr>
                    <w:pStyle w:val="176"/>
                    <w:bidi w:val="0"/>
                    <w:jc w:val="center"/>
                    <w:rPr>
                      <w:rFonts w:hint="eastAsia"/>
                      <w:color w:val="auto"/>
                      <w:vertAlign w:val="baseline"/>
                      <w:lang w:val="en-US" w:eastAsia="zh-CN"/>
                    </w:rPr>
                  </w:pPr>
                </w:p>
                <w:p>
                  <w:pPr>
                    <w:pStyle w:val="176"/>
                    <w:bidi w:val="0"/>
                    <w:jc w:val="center"/>
                    <w:rPr>
                      <w:rFonts w:hint="eastAsia"/>
                      <w:color w:val="auto"/>
                      <w:vertAlign w:val="baseline"/>
                      <w:lang w:val="en-US" w:eastAsia="zh-CN"/>
                    </w:rPr>
                  </w:pPr>
                </w:p>
                <w:p>
                  <w:pPr>
                    <w:pStyle w:val="176"/>
                    <w:bidi w:val="0"/>
                    <w:jc w:val="center"/>
                    <w:rPr>
                      <w:rFonts w:hint="default"/>
                      <w:color w:val="auto"/>
                      <w:vertAlign w:val="baseline"/>
                      <w:lang w:val="en-US" w:eastAsia="zh-CN"/>
                    </w:rPr>
                  </w:pPr>
                  <w:r>
                    <w:rPr>
                      <w:rFonts w:hint="eastAsia"/>
                      <w:color w:val="auto"/>
                      <w:vertAlign w:val="baseline"/>
                      <w:lang w:val="en-US" w:eastAsia="zh-CN"/>
                    </w:rPr>
                    <w:t>医疗废物暂存间、污水处理器区域</w:t>
                  </w:r>
                </w:p>
              </w:tc>
              <w:tc>
                <w:tcPr>
                  <w:tcW w:w="1072" w:type="dxa"/>
                  <w:noWrap w:val="0"/>
                  <w:vAlign w:val="center"/>
                </w:tcPr>
                <w:p>
                  <w:pPr>
                    <w:pStyle w:val="176"/>
                    <w:bidi w:val="0"/>
                    <w:jc w:val="center"/>
                    <w:rPr>
                      <w:rFonts w:hint="eastAsia"/>
                      <w:color w:val="auto"/>
                      <w:vertAlign w:val="baseline"/>
                      <w:lang w:val="en-US" w:eastAsia="zh-CN"/>
                    </w:rPr>
                  </w:pPr>
                </w:p>
                <w:p>
                  <w:pPr>
                    <w:pStyle w:val="176"/>
                    <w:bidi w:val="0"/>
                    <w:jc w:val="center"/>
                    <w:rPr>
                      <w:rFonts w:hint="eastAsia"/>
                      <w:color w:val="auto"/>
                      <w:vertAlign w:val="baseline"/>
                      <w:lang w:val="en-US" w:eastAsia="zh-CN"/>
                    </w:rPr>
                  </w:pPr>
                </w:p>
                <w:p>
                  <w:pPr>
                    <w:pStyle w:val="176"/>
                    <w:bidi w:val="0"/>
                    <w:jc w:val="center"/>
                    <w:rPr>
                      <w:rFonts w:hint="eastAsia"/>
                      <w:color w:val="auto"/>
                      <w:vertAlign w:val="baseline"/>
                      <w:lang w:val="en-US" w:eastAsia="zh-CN"/>
                    </w:rPr>
                  </w:pPr>
                </w:p>
                <w:p>
                  <w:pPr>
                    <w:pStyle w:val="176"/>
                    <w:bidi w:val="0"/>
                    <w:jc w:val="center"/>
                    <w:rPr>
                      <w:rFonts w:hint="eastAsia"/>
                      <w:color w:val="auto"/>
                      <w:vertAlign w:val="baseline"/>
                      <w:lang w:val="en-US" w:eastAsia="zh-CN"/>
                    </w:rPr>
                  </w:pPr>
                </w:p>
                <w:p>
                  <w:pPr>
                    <w:pStyle w:val="176"/>
                    <w:bidi w:val="0"/>
                    <w:jc w:val="center"/>
                    <w:rPr>
                      <w:rFonts w:hint="eastAsia"/>
                      <w:color w:val="auto"/>
                      <w:vertAlign w:val="baseline"/>
                      <w:lang w:val="en-US" w:eastAsia="zh-CN"/>
                    </w:rPr>
                  </w:pPr>
                </w:p>
                <w:p>
                  <w:pPr>
                    <w:pStyle w:val="176"/>
                    <w:bidi w:val="0"/>
                    <w:jc w:val="center"/>
                    <w:rPr>
                      <w:rFonts w:hint="default"/>
                      <w:color w:val="auto"/>
                      <w:vertAlign w:val="baseline"/>
                      <w:lang w:val="en-US" w:eastAsia="zh-CN"/>
                    </w:rPr>
                  </w:pPr>
                  <w:r>
                    <w:rPr>
                      <w:rFonts w:hint="eastAsia"/>
                      <w:color w:val="auto"/>
                      <w:vertAlign w:val="baseline"/>
                      <w:lang w:val="en-US" w:eastAsia="zh-CN"/>
                    </w:rPr>
                    <w:t>重点防渗区</w:t>
                  </w:r>
                </w:p>
              </w:tc>
              <w:tc>
                <w:tcPr>
                  <w:tcW w:w="1827" w:type="dxa"/>
                  <w:noWrap w:val="0"/>
                  <w:vAlign w:val="center"/>
                </w:tcPr>
                <w:p>
                  <w:pPr>
                    <w:pStyle w:val="176"/>
                    <w:bidi w:val="0"/>
                    <w:jc w:val="center"/>
                    <w:rPr>
                      <w:rFonts w:hint="eastAsia"/>
                      <w:color w:val="auto"/>
                      <w:vertAlign w:val="baseline"/>
                      <w:lang w:val="en-US" w:eastAsia="zh-CN"/>
                    </w:rPr>
                  </w:pPr>
                </w:p>
                <w:p>
                  <w:pPr>
                    <w:pStyle w:val="176"/>
                    <w:bidi w:val="0"/>
                    <w:jc w:val="center"/>
                    <w:rPr>
                      <w:rFonts w:hint="eastAsia"/>
                      <w:color w:val="auto"/>
                      <w:vertAlign w:val="baseline"/>
                      <w:lang w:val="en-US" w:eastAsia="zh-CN"/>
                    </w:rPr>
                  </w:pPr>
                </w:p>
                <w:p>
                  <w:pPr>
                    <w:pStyle w:val="176"/>
                    <w:bidi w:val="0"/>
                    <w:jc w:val="center"/>
                    <w:rPr>
                      <w:rFonts w:hint="eastAsia"/>
                      <w:color w:val="auto"/>
                      <w:vertAlign w:val="baseline"/>
                      <w:lang w:val="en-US" w:eastAsia="zh-CN"/>
                    </w:rPr>
                  </w:pPr>
                </w:p>
                <w:p>
                  <w:pPr>
                    <w:pStyle w:val="176"/>
                    <w:bidi w:val="0"/>
                    <w:jc w:val="center"/>
                    <w:rPr>
                      <w:rFonts w:hint="default"/>
                      <w:color w:val="auto"/>
                      <w:vertAlign w:val="baseline"/>
                      <w:lang w:val="en-US" w:eastAsia="zh-CN"/>
                    </w:rPr>
                  </w:pPr>
                  <w:r>
                    <w:rPr>
                      <w:rFonts w:hint="eastAsia"/>
                      <w:color w:val="auto"/>
                      <w:vertAlign w:val="baseline"/>
                      <w:lang w:val="en-US" w:eastAsia="zh-CN"/>
                    </w:rPr>
                    <w:t>确保防渗层等效黏土防渗层Mb</w:t>
                  </w:r>
                  <w:r>
                    <w:rPr>
                      <w:rFonts w:hint="default" w:ascii="Times New Roman" w:hAnsi="Times New Roman" w:cs="Times New Roman"/>
                      <w:color w:val="auto"/>
                      <w:vertAlign w:val="baseline"/>
                      <w:lang w:val="en-US" w:eastAsia="zh-CN"/>
                    </w:rPr>
                    <w:t>≥</w:t>
                  </w:r>
                  <w:r>
                    <w:rPr>
                      <w:rFonts w:hint="eastAsia"/>
                      <w:color w:val="auto"/>
                      <w:vertAlign w:val="baseline"/>
                      <w:lang w:val="en-US" w:eastAsia="zh-CN"/>
                    </w:rPr>
                    <w:t>6.0m，渗透系数</w:t>
                  </w:r>
                  <w:r>
                    <w:rPr>
                      <w:rFonts w:hint="default" w:ascii="Times New Roman" w:hAnsi="Times New Roman" w:cs="Times New Roman"/>
                      <w:color w:val="auto"/>
                      <w:lang w:val="en-US" w:eastAsia="zh-CN"/>
                    </w:rPr>
                    <w:t>≤</w:t>
                  </w:r>
                  <w:r>
                    <w:rPr>
                      <w:rFonts w:hint="eastAsia"/>
                      <w:color w:val="auto"/>
                      <w:lang w:val="en-US" w:eastAsia="zh-CN"/>
                    </w:rPr>
                    <w:t>1.0</w:t>
                  </w:r>
                  <w:r>
                    <w:rPr>
                      <w:rFonts w:hint="default"/>
                      <w:color w:val="auto"/>
                      <w:lang w:val="en-US" w:eastAsia="zh-CN"/>
                    </w:rPr>
                    <w:t>×</w:t>
                  </w:r>
                  <w:r>
                    <w:rPr>
                      <w:rFonts w:hint="eastAsia"/>
                      <w:color w:val="auto"/>
                      <w:lang w:val="en-US" w:eastAsia="zh-CN"/>
                    </w:rPr>
                    <w:t>10</w:t>
                  </w:r>
                  <w:r>
                    <w:rPr>
                      <w:rFonts w:hint="eastAsia"/>
                      <w:color w:val="auto"/>
                      <w:vertAlign w:val="superscript"/>
                      <w:lang w:val="en-US" w:eastAsia="zh-CN"/>
                    </w:rPr>
                    <w:t>-7</w:t>
                  </w:r>
                  <w:r>
                    <w:rPr>
                      <w:rFonts w:hint="eastAsia"/>
                      <w:color w:val="auto"/>
                      <w:lang w:val="en-US" w:eastAsia="zh-CN"/>
                    </w:rPr>
                    <w:t>cm/s，或执行参照GB18598执行</w:t>
                  </w:r>
                </w:p>
              </w:tc>
              <w:tc>
                <w:tcPr>
                  <w:tcW w:w="1373" w:type="dxa"/>
                  <w:noWrap w:val="0"/>
                  <w:vAlign w:val="center"/>
                </w:tcPr>
                <w:p>
                  <w:pPr>
                    <w:pStyle w:val="176"/>
                    <w:bidi w:val="0"/>
                    <w:jc w:val="center"/>
                    <w:rPr>
                      <w:rFonts w:hint="eastAsia"/>
                      <w:color w:val="auto"/>
                      <w:vertAlign w:val="baseline"/>
                      <w:lang w:val="en-US" w:eastAsia="zh-CN"/>
                    </w:rPr>
                  </w:pPr>
                </w:p>
                <w:p>
                  <w:pPr>
                    <w:pStyle w:val="176"/>
                    <w:bidi w:val="0"/>
                    <w:jc w:val="center"/>
                    <w:rPr>
                      <w:rFonts w:hint="default"/>
                      <w:color w:val="auto"/>
                      <w:vertAlign w:val="baseline"/>
                      <w:lang w:val="en-US" w:eastAsia="zh-CN"/>
                    </w:rPr>
                  </w:pPr>
                  <w:r>
                    <w:rPr>
                      <w:rFonts w:hint="eastAsia"/>
                      <w:color w:val="auto"/>
                      <w:vertAlign w:val="baseline"/>
                      <w:lang w:val="en-US" w:eastAsia="zh-CN"/>
                    </w:rPr>
                    <w:t>水泥硬化+地砖</w:t>
                  </w:r>
                </w:p>
              </w:tc>
              <w:tc>
                <w:tcPr>
                  <w:tcW w:w="1373" w:type="dxa"/>
                  <w:noWrap w:val="0"/>
                  <w:vAlign w:val="center"/>
                </w:tcPr>
                <w:p>
                  <w:pPr>
                    <w:pStyle w:val="176"/>
                    <w:bidi w:val="0"/>
                    <w:jc w:val="center"/>
                    <w:rPr>
                      <w:rFonts w:hint="eastAsia"/>
                      <w:color w:val="auto"/>
                      <w:vertAlign w:val="baseline"/>
                      <w:lang w:val="en-US" w:eastAsia="zh-CN"/>
                    </w:rPr>
                  </w:pPr>
                </w:p>
                <w:p>
                  <w:pPr>
                    <w:pStyle w:val="176"/>
                    <w:bidi w:val="0"/>
                    <w:jc w:val="center"/>
                    <w:rPr>
                      <w:rFonts w:hint="default"/>
                      <w:color w:val="auto"/>
                      <w:vertAlign w:val="baseline"/>
                      <w:lang w:val="en-US" w:eastAsia="zh-CN"/>
                    </w:rPr>
                  </w:pPr>
                  <w:r>
                    <w:rPr>
                      <w:rFonts w:hint="eastAsia"/>
                      <w:color w:val="auto"/>
                      <w:vertAlign w:val="baseline"/>
                      <w:lang w:val="en-US" w:eastAsia="zh-CN"/>
                    </w:rPr>
                    <w:t>不满足</w:t>
                  </w:r>
                </w:p>
              </w:tc>
              <w:tc>
                <w:tcPr>
                  <w:tcW w:w="1373" w:type="dxa"/>
                  <w:noWrap w:val="0"/>
                  <w:vAlign w:val="center"/>
                </w:tcPr>
                <w:p>
                  <w:pPr>
                    <w:pStyle w:val="176"/>
                    <w:bidi w:val="0"/>
                    <w:jc w:val="center"/>
                    <w:rPr>
                      <w:rFonts w:hint="default"/>
                      <w:color w:val="auto"/>
                      <w:vertAlign w:val="baseline"/>
                      <w:lang w:val="en-US" w:eastAsia="zh-CN"/>
                    </w:rPr>
                  </w:pPr>
                  <w:r>
                    <w:rPr>
                      <w:rFonts w:hint="eastAsia"/>
                      <w:color w:val="auto"/>
                      <w:vertAlign w:val="baseline"/>
                      <w:lang w:val="en-US" w:eastAsia="zh-CN"/>
                    </w:rPr>
                    <w:t>新增医疗废物暂存间，在现有防渗措施上，污水处理设施和医疗废物暂存间液体危废收集桶下方设置托盘，并密封设施。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noWrap w:val="0"/>
                  <w:vAlign w:val="center"/>
                </w:tcPr>
                <w:p>
                  <w:pPr>
                    <w:pStyle w:val="176"/>
                    <w:bidi w:val="0"/>
                    <w:jc w:val="center"/>
                    <w:rPr>
                      <w:rFonts w:hint="default"/>
                      <w:color w:val="auto"/>
                      <w:vertAlign w:val="baseline"/>
                      <w:lang w:val="en-US" w:eastAsia="zh-CN"/>
                    </w:rPr>
                  </w:pPr>
                  <w:r>
                    <w:rPr>
                      <w:rFonts w:hint="eastAsia"/>
                      <w:color w:val="auto"/>
                      <w:vertAlign w:val="baseline"/>
                      <w:lang w:val="en-US" w:eastAsia="zh-CN"/>
                    </w:rPr>
                    <w:t>化验室、宠物住院病房、手术室、DR室、库房及门诊室</w:t>
                  </w:r>
                </w:p>
              </w:tc>
              <w:tc>
                <w:tcPr>
                  <w:tcW w:w="1072" w:type="dxa"/>
                  <w:noWrap w:val="0"/>
                  <w:vAlign w:val="center"/>
                </w:tcPr>
                <w:p>
                  <w:pPr>
                    <w:pStyle w:val="176"/>
                    <w:bidi w:val="0"/>
                    <w:jc w:val="center"/>
                    <w:rPr>
                      <w:rFonts w:hint="default"/>
                      <w:color w:val="auto"/>
                      <w:vertAlign w:val="baseline"/>
                      <w:lang w:val="en-US" w:eastAsia="zh-CN"/>
                    </w:rPr>
                  </w:pPr>
                  <w:r>
                    <w:rPr>
                      <w:rFonts w:hint="eastAsia"/>
                      <w:color w:val="auto"/>
                      <w:vertAlign w:val="baseline"/>
                      <w:lang w:val="en-US" w:eastAsia="zh-CN"/>
                    </w:rPr>
                    <w:t>一般防渗区</w:t>
                  </w:r>
                </w:p>
              </w:tc>
              <w:tc>
                <w:tcPr>
                  <w:tcW w:w="1827" w:type="dxa"/>
                  <w:noWrap w:val="0"/>
                  <w:vAlign w:val="center"/>
                </w:tcPr>
                <w:p>
                  <w:pPr>
                    <w:pStyle w:val="176"/>
                    <w:bidi w:val="0"/>
                    <w:jc w:val="center"/>
                    <w:rPr>
                      <w:rFonts w:hint="default"/>
                      <w:color w:val="auto"/>
                      <w:vertAlign w:val="baseline"/>
                      <w:lang w:val="en-US" w:eastAsia="zh-CN"/>
                    </w:rPr>
                  </w:pPr>
                  <w:r>
                    <w:rPr>
                      <w:rFonts w:hint="eastAsia"/>
                      <w:color w:val="auto"/>
                      <w:vertAlign w:val="baseline"/>
                      <w:lang w:val="en-US" w:eastAsia="zh-CN"/>
                    </w:rPr>
                    <w:t>等效黏土防渗层Mb</w:t>
                  </w:r>
                  <w:r>
                    <w:rPr>
                      <w:rFonts w:hint="default" w:ascii="Times New Roman" w:hAnsi="Times New Roman" w:cs="Times New Roman"/>
                      <w:color w:val="auto"/>
                      <w:vertAlign w:val="baseline"/>
                      <w:lang w:val="en-US" w:eastAsia="zh-CN"/>
                    </w:rPr>
                    <w:t>≥</w:t>
                  </w:r>
                  <w:r>
                    <w:rPr>
                      <w:rFonts w:hint="eastAsia"/>
                      <w:color w:val="auto"/>
                      <w:vertAlign w:val="baseline"/>
                      <w:lang w:val="en-US" w:eastAsia="zh-CN"/>
                    </w:rPr>
                    <w:t>1.5m，渗透系数</w:t>
                  </w:r>
                  <w:r>
                    <w:rPr>
                      <w:rFonts w:hint="default" w:ascii="Times New Roman" w:hAnsi="Times New Roman" w:cs="Times New Roman"/>
                      <w:color w:val="auto"/>
                      <w:lang w:val="en-US" w:eastAsia="zh-CN"/>
                    </w:rPr>
                    <w:t>≤</w:t>
                  </w:r>
                  <w:r>
                    <w:rPr>
                      <w:rFonts w:hint="eastAsia"/>
                      <w:color w:val="auto"/>
                      <w:lang w:val="en-US" w:eastAsia="zh-CN"/>
                    </w:rPr>
                    <w:t>1.0</w:t>
                  </w:r>
                  <w:r>
                    <w:rPr>
                      <w:rFonts w:hint="default"/>
                      <w:color w:val="auto"/>
                      <w:lang w:val="en-US" w:eastAsia="zh-CN"/>
                    </w:rPr>
                    <w:t>×</w:t>
                  </w:r>
                  <w:r>
                    <w:rPr>
                      <w:rFonts w:hint="eastAsia"/>
                      <w:color w:val="auto"/>
                      <w:lang w:val="en-US" w:eastAsia="zh-CN"/>
                    </w:rPr>
                    <w:t>10</w:t>
                  </w:r>
                  <w:r>
                    <w:rPr>
                      <w:rFonts w:hint="eastAsia"/>
                      <w:color w:val="auto"/>
                      <w:vertAlign w:val="superscript"/>
                      <w:lang w:val="en-US" w:eastAsia="zh-CN"/>
                    </w:rPr>
                    <w:t>-7</w:t>
                  </w:r>
                  <w:r>
                    <w:rPr>
                      <w:rFonts w:hint="eastAsia"/>
                      <w:color w:val="auto"/>
                      <w:lang w:val="en-US" w:eastAsia="zh-CN"/>
                    </w:rPr>
                    <w:t>cm/s，或执行参照GB18598执行</w:t>
                  </w:r>
                </w:p>
              </w:tc>
              <w:tc>
                <w:tcPr>
                  <w:tcW w:w="1373" w:type="dxa"/>
                  <w:noWrap w:val="0"/>
                  <w:vAlign w:val="center"/>
                </w:tcPr>
                <w:p>
                  <w:pPr>
                    <w:pStyle w:val="176"/>
                    <w:bidi w:val="0"/>
                    <w:jc w:val="center"/>
                    <w:rPr>
                      <w:rFonts w:hint="default"/>
                      <w:color w:val="auto"/>
                      <w:vertAlign w:val="baseline"/>
                      <w:lang w:val="en-US" w:eastAsia="zh-CN"/>
                    </w:rPr>
                  </w:pPr>
                  <w:r>
                    <w:rPr>
                      <w:rFonts w:hint="eastAsia"/>
                      <w:color w:val="auto"/>
                      <w:vertAlign w:val="baseline"/>
                      <w:lang w:val="en-US" w:eastAsia="zh-CN"/>
                    </w:rPr>
                    <w:t>水泥硬化+地砖</w:t>
                  </w:r>
                </w:p>
              </w:tc>
              <w:tc>
                <w:tcPr>
                  <w:tcW w:w="1373" w:type="dxa"/>
                  <w:noWrap w:val="0"/>
                  <w:vAlign w:val="center"/>
                </w:tcPr>
                <w:p>
                  <w:pPr>
                    <w:pStyle w:val="176"/>
                    <w:bidi w:val="0"/>
                    <w:jc w:val="center"/>
                    <w:rPr>
                      <w:rFonts w:hint="default"/>
                      <w:color w:val="auto"/>
                      <w:vertAlign w:val="baseline"/>
                      <w:lang w:val="en-US" w:eastAsia="zh-CN"/>
                    </w:rPr>
                  </w:pPr>
                  <w:r>
                    <w:rPr>
                      <w:rFonts w:hint="eastAsia"/>
                      <w:color w:val="auto"/>
                      <w:vertAlign w:val="baseline"/>
                      <w:lang w:val="en-US" w:eastAsia="zh-CN"/>
                    </w:rPr>
                    <w:t>满足</w:t>
                  </w:r>
                </w:p>
              </w:tc>
              <w:tc>
                <w:tcPr>
                  <w:tcW w:w="1373" w:type="dxa"/>
                  <w:noWrap w:val="0"/>
                  <w:vAlign w:val="center"/>
                </w:tcPr>
                <w:p>
                  <w:pPr>
                    <w:pStyle w:val="176"/>
                    <w:bidi w:val="0"/>
                    <w:jc w:val="center"/>
                    <w:rPr>
                      <w:rFonts w:hint="default"/>
                      <w:color w:val="auto"/>
                      <w:vertAlign w:val="baseline"/>
                      <w:lang w:val="en-US" w:eastAsia="zh-CN"/>
                    </w:rPr>
                  </w:pPr>
                  <w:r>
                    <w:rPr>
                      <w:rFonts w:hint="eastAsia"/>
                      <w:color w:val="auto"/>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noWrap w:val="0"/>
                  <w:vAlign w:val="center"/>
                </w:tcPr>
                <w:p>
                  <w:pPr>
                    <w:pStyle w:val="176"/>
                    <w:bidi w:val="0"/>
                    <w:jc w:val="center"/>
                    <w:rPr>
                      <w:rFonts w:hint="default"/>
                      <w:color w:val="auto"/>
                      <w:vertAlign w:val="baseline"/>
                      <w:lang w:val="en-US" w:eastAsia="zh-CN"/>
                    </w:rPr>
                  </w:pPr>
                  <w:r>
                    <w:rPr>
                      <w:rFonts w:hint="eastAsia"/>
                      <w:color w:val="auto"/>
                      <w:vertAlign w:val="baseline"/>
                      <w:lang w:val="en-US" w:eastAsia="zh-CN"/>
                    </w:rPr>
                    <w:t>前台接待区域、大厅、走廊过道</w:t>
                  </w:r>
                </w:p>
              </w:tc>
              <w:tc>
                <w:tcPr>
                  <w:tcW w:w="1072" w:type="dxa"/>
                  <w:noWrap w:val="0"/>
                  <w:vAlign w:val="center"/>
                </w:tcPr>
                <w:p>
                  <w:pPr>
                    <w:pStyle w:val="176"/>
                    <w:bidi w:val="0"/>
                    <w:jc w:val="center"/>
                    <w:rPr>
                      <w:rFonts w:hint="default"/>
                      <w:color w:val="auto"/>
                      <w:vertAlign w:val="baseline"/>
                      <w:lang w:val="en-US" w:eastAsia="zh-CN"/>
                    </w:rPr>
                  </w:pPr>
                  <w:r>
                    <w:rPr>
                      <w:rFonts w:hint="eastAsia"/>
                      <w:color w:val="auto"/>
                      <w:vertAlign w:val="baseline"/>
                      <w:lang w:val="en-US" w:eastAsia="zh-CN"/>
                    </w:rPr>
                    <w:t>简单防渗区</w:t>
                  </w:r>
                </w:p>
              </w:tc>
              <w:tc>
                <w:tcPr>
                  <w:tcW w:w="1827" w:type="dxa"/>
                  <w:noWrap w:val="0"/>
                  <w:vAlign w:val="center"/>
                </w:tcPr>
                <w:p>
                  <w:pPr>
                    <w:pStyle w:val="176"/>
                    <w:bidi w:val="0"/>
                    <w:jc w:val="center"/>
                    <w:rPr>
                      <w:rFonts w:hint="default"/>
                      <w:color w:val="auto"/>
                      <w:vertAlign w:val="baseline"/>
                      <w:lang w:val="en-US" w:eastAsia="zh-CN"/>
                    </w:rPr>
                  </w:pPr>
                  <w:r>
                    <w:rPr>
                      <w:rFonts w:hint="eastAsia"/>
                      <w:color w:val="auto"/>
                      <w:vertAlign w:val="baseline"/>
                      <w:lang w:val="en-US" w:eastAsia="zh-CN"/>
                    </w:rPr>
                    <w:t>一般地面硬化</w:t>
                  </w:r>
                </w:p>
              </w:tc>
              <w:tc>
                <w:tcPr>
                  <w:tcW w:w="1373" w:type="dxa"/>
                  <w:noWrap w:val="0"/>
                  <w:vAlign w:val="center"/>
                </w:tcPr>
                <w:p>
                  <w:pPr>
                    <w:pStyle w:val="176"/>
                    <w:bidi w:val="0"/>
                    <w:jc w:val="center"/>
                    <w:rPr>
                      <w:rFonts w:hint="default"/>
                      <w:color w:val="auto"/>
                      <w:vertAlign w:val="baseline"/>
                      <w:lang w:val="en-US" w:eastAsia="zh-CN"/>
                    </w:rPr>
                  </w:pPr>
                  <w:r>
                    <w:rPr>
                      <w:rFonts w:hint="eastAsia"/>
                      <w:color w:val="auto"/>
                      <w:vertAlign w:val="baseline"/>
                      <w:lang w:val="en-US" w:eastAsia="zh-CN"/>
                    </w:rPr>
                    <w:t>水泥硬化+地砖</w:t>
                  </w:r>
                </w:p>
              </w:tc>
              <w:tc>
                <w:tcPr>
                  <w:tcW w:w="1373" w:type="dxa"/>
                  <w:noWrap w:val="0"/>
                  <w:vAlign w:val="center"/>
                </w:tcPr>
                <w:p>
                  <w:pPr>
                    <w:pStyle w:val="176"/>
                    <w:bidi w:val="0"/>
                    <w:jc w:val="center"/>
                    <w:rPr>
                      <w:rFonts w:hint="default"/>
                      <w:color w:val="auto"/>
                      <w:vertAlign w:val="baseline"/>
                      <w:lang w:val="en-US" w:eastAsia="zh-CN"/>
                    </w:rPr>
                  </w:pPr>
                  <w:r>
                    <w:rPr>
                      <w:rFonts w:hint="eastAsia"/>
                      <w:color w:val="auto"/>
                      <w:vertAlign w:val="baseline"/>
                      <w:lang w:val="en-US" w:eastAsia="zh-CN"/>
                    </w:rPr>
                    <w:t>满足</w:t>
                  </w:r>
                </w:p>
              </w:tc>
              <w:tc>
                <w:tcPr>
                  <w:tcW w:w="1373" w:type="dxa"/>
                  <w:noWrap w:val="0"/>
                  <w:vAlign w:val="center"/>
                </w:tcPr>
                <w:p>
                  <w:pPr>
                    <w:pStyle w:val="176"/>
                    <w:bidi w:val="0"/>
                    <w:jc w:val="center"/>
                    <w:rPr>
                      <w:rFonts w:hint="default"/>
                      <w:color w:val="auto"/>
                      <w:vertAlign w:val="baseline"/>
                      <w:lang w:val="en-US" w:eastAsia="zh-CN"/>
                    </w:rPr>
                  </w:pPr>
                  <w:r>
                    <w:rPr>
                      <w:rFonts w:hint="eastAsia"/>
                      <w:color w:val="auto"/>
                      <w:vertAlign w:val="baseline"/>
                      <w:lang w:val="en-US" w:eastAsia="zh-CN"/>
                    </w:rPr>
                    <w:t>/</w:t>
                  </w:r>
                </w:p>
              </w:tc>
            </w:tr>
          </w:tbl>
          <w:p>
            <w:pPr>
              <w:pStyle w:val="110"/>
              <w:bidi w:val="0"/>
              <w:rPr>
                <w:rFonts w:hint="default"/>
                <w:color w:val="auto"/>
                <w:lang w:val="en-US" w:eastAsia="zh-CN"/>
              </w:rPr>
            </w:pPr>
            <w:r>
              <w:rPr>
                <w:rFonts w:hint="eastAsia"/>
                <w:color w:val="auto"/>
                <w:lang w:val="en-US" w:eastAsia="zh-CN"/>
              </w:rPr>
              <w:t>综上，在确保各项防渗措施得以落实，并加强维护和项目环境管理的前提下，可有效控制项目的污染物泄漏渗透现象，有效防止污染物渗漏污染地下水及土壤。</w:t>
            </w:r>
          </w:p>
          <w:p>
            <w:pPr>
              <w:pStyle w:val="5"/>
              <w:spacing w:after="120"/>
              <w:rPr>
                <w:color w:val="auto"/>
              </w:rPr>
            </w:pPr>
            <w:r>
              <w:rPr>
                <w:rFonts w:hint="eastAsia"/>
                <w:color w:val="auto"/>
                <w:lang w:val="en-US" w:eastAsia="zh-CN"/>
              </w:rPr>
              <w:t>6</w:t>
            </w:r>
            <w:r>
              <w:rPr>
                <w:color w:val="auto"/>
              </w:rPr>
              <w:t>、生态环境影响分析</w:t>
            </w:r>
          </w:p>
          <w:p>
            <w:pPr>
              <w:pStyle w:val="108"/>
              <w:ind w:firstLine="480"/>
              <w:rPr>
                <w:rFonts w:hint="eastAsia"/>
                <w:color w:val="auto"/>
              </w:rPr>
            </w:pPr>
            <w:r>
              <w:rPr>
                <w:rFonts w:hint="eastAsia"/>
                <w:color w:val="auto"/>
              </w:rPr>
              <w:t>本项目为新建项目，项目的建设地位于</w:t>
            </w:r>
            <w:r>
              <w:rPr>
                <w:rFonts w:hint="eastAsia"/>
                <w:color w:val="auto"/>
                <w:lang w:eastAsia="zh-CN"/>
              </w:rPr>
              <w:t>乐山市市中区凤洲路2028号2楼2号</w:t>
            </w:r>
            <w:r>
              <w:rPr>
                <w:rFonts w:hint="eastAsia"/>
                <w:color w:val="auto"/>
              </w:rPr>
              <w:t>，项目所在区域植被类型为人工植被，区域属于城市环境，其自然生态环境已很大程度上收到人类的干扰，周围无生态环境敏感点，不涉及野生动植物，对生态影响较小。</w:t>
            </w:r>
          </w:p>
          <w:p>
            <w:pPr>
              <w:pStyle w:val="5"/>
              <w:spacing w:after="120"/>
              <w:rPr>
                <w:color w:val="auto"/>
              </w:rPr>
            </w:pPr>
            <w:r>
              <w:rPr>
                <w:rFonts w:hint="eastAsia"/>
                <w:color w:val="auto"/>
                <w:lang w:val="en-US" w:eastAsia="zh-CN"/>
              </w:rPr>
              <w:t>7</w:t>
            </w:r>
            <w:r>
              <w:rPr>
                <w:color w:val="auto"/>
              </w:rPr>
              <w:t>、环境风险分析</w:t>
            </w:r>
          </w:p>
          <w:p>
            <w:pPr>
              <w:pStyle w:val="110"/>
              <w:ind w:firstLine="480"/>
              <w:rPr>
                <w:rFonts w:hint="eastAsia"/>
                <w:color w:val="auto"/>
              </w:rPr>
            </w:pPr>
            <w:r>
              <w:rPr>
                <w:rFonts w:hint="eastAsia"/>
                <w:color w:val="auto"/>
              </w:rPr>
              <w:t xml:space="preserve">环境风险是指突发性事故造成的重大环境污染的事件，其特点是危害大、影响范围广、发生概率具有很大的不确定性。环境风险评价的目的是分析和预测本项目存在的潜在危险、有害因素，本期工程建设和运行期间可能发生的突发性事件或事故（一般不包括人为破坏及自然灾害），引起有毒有害和易燃易爆等物质泄漏，所造成的人身安全、环境影响及其损害程度，提出合理可行的防范、应急与减缓措施，以使建设项目事故率、损失和环境影响达到可接受水平。 </w:t>
            </w:r>
          </w:p>
          <w:p>
            <w:pPr>
              <w:pStyle w:val="6"/>
              <w:ind w:firstLine="482"/>
              <w:rPr>
                <w:color w:val="auto"/>
              </w:rPr>
            </w:pPr>
            <w:r>
              <w:rPr>
                <w:rFonts w:hint="eastAsia"/>
                <w:color w:val="auto"/>
                <w:lang w:val="en-US" w:eastAsia="zh-CN"/>
              </w:rPr>
              <w:t xml:space="preserve">7.1 </w:t>
            </w:r>
            <w:r>
              <w:rPr>
                <w:rFonts w:hint="eastAsia"/>
                <w:color w:val="auto"/>
              </w:rPr>
              <w:t>本项目危险物质调查</w:t>
            </w:r>
          </w:p>
          <w:p>
            <w:pPr>
              <w:pStyle w:val="110"/>
              <w:ind w:firstLine="480"/>
              <w:rPr>
                <w:rFonts w:hint="eastAsia"/>
                <w:color w:val="auto"/>
              </w:rPr>
            </w:pPr>
            <w:r>
              <w:rPr>
                <w:rFonts w:hint="eastAsia"/>
                <w:color w:val="auto"/>
              </w:rPr>
              <w:t>本项目为宠物医院，不涉及高温高压等会导致火灾、爆炸、中毒等重点监管的危险工艺过程，根据《建设项目环境风险评价技术导则》（HJ169-2018）及《企业突发环境事件风险分级方法》(HJ 941-2018)对本项目环境风险源进行调查，本项目建成后，运营期涉及的风险物质为二氧化氯泡腾片（溶解后释放的二氧化氯纯度≥98%）、医用酒精，风险物质均储存于药房。本项目的危险物质的储存情况见下表：</w:t>
            </w:r>
          </w:p>
          <w:p>
            <w:pPr>
              <w:pStyle w:val="123"/>
              <w:rPr>
                <w:rFonts w:hint="eastAsia"/>
                <w:color w:val="auto"/>
              </w:rPr>
            </w:pPr>
            <w:r>
              <w:rPr>
                <w:rFonts w:hint="eastAsia"/>
                <w:color w:val="auto"/>
              </w:rPr>
              <w:t>表4-</w:t>
            </w:r>
            <w:r>
              <w:rPr>
                <w:rFonts w:hint="eastAsia"/>
                <w:color w:val="auto"/>
                <w:lang w:val="en-US" w:eastAsia="zh-CN"/>
              </w:rPr>
              <w:t>10</w:t>
            </w:r>
            <w:r>
              <w:rPr>
                <w:rFonts w:hint="eastAsia"/>
                <w:color w:val="auto"/>
              </w:rPr>
              <w:t xml:space="preserve"> 本项目危险物质的储存情况一览表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1923"/>
              <w:gridCol w:w="2139"/>
              <w:gridCol w:w="2564"/>
              <w:gridCol w:w="1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pct"/>
                  <w:noWrap w:val="0"/>
                  <w:vAlign w:val="top"/>
                </w:tcPr>
                <w:p>
                  <w:pPr>
                    <w:pStyle w:val="176"/>
                    <w:rPr>
                      <w:rFonts w:hint="eastAsia"/>
                      <w:b/>
                      <w:bCs/>
                      <w:color w:val="auto"/>
                    </w:rPr>
                  </w:pPr>
                  <w:r>
                    <w:rPr>
                      <w:rFonts w:hint="eastAsia"/>
                      <w:b/>
                      <w:bCs/>
                      <w:color w:val="auto"/>
                    </w:rPr>
                    <w:t>序号</w:t>
                  </w:r>
                </w:p>
              </w:tc>
              <w:tc>
                <w:tcPr>
                  <w:tcW w:w="1122" w:type="pct"/>
                  <w:noWrap w:val="0"/>
                  <w:vAlign w:val="top"/>
                </w:tcPr>
                <w:p>
                  <w:pPr>
                    <w:pStyle w:val="176"/>
                    <w:rPr>
                      <w:rFonts w:hint="eastAsia"/>
                      <w:b/>
                      <w:bCs/>
                      <w:color w:val="auto"/>
                    </w:rPr>
                  </w:pPr>
                  <w:r>
                    <w:rPr>
                      <w:rFonts w:hint="eastAsia"/>
                      <w:b/>
                      <w:bCs/>
                      <w:color w:val="auto"/>
                    </w:rPr>
                    <w:t>危险物质名称</w:t>
                  </w:r>
                </w:p>
              </w:tc>
              <w:tc>
                <w:tcPr>
                  <w:tcW w:w="1248" w:type="pct"/>
                  <w:noWrap w:val="0"/>
                  <w:vAlign w:val="top"/>
                </w:tcPr>
                <w:p>
                  <w:pPr>
                    <w:pStyle w:val="176"/>
                    <w:rPr>
                      <w:rFonts w:hint="eastAsia"/>
                      <w:b/>
                      <w:bCs/>
                      <w:color w:val="auto"/>
                    </w:rPr>
                  </w:pPr>
                  <w:r>
                    <w:rPr>
                      <w:rFonts w:hint="eastAsia"/>
                      <w:b/>
                      <w:bCs/>
                      <w:color w:val="auto"/>
                    </w:rPr>
                    <w:t>实际存储量（t）</w:t>
                  </w:r>
                </w:p>
              </w:tc>
              <w:tc>
                <w:tcPr>
                  <w:tcW w:w="1496" w:type="pct"/>
                  <w:noWrap w:val="0"/>
                  <w:vAlign w:val="top"/>
                </w:tcPr>
                <w:p>
                  <w:pPr>
                    <w:pStyle w:val="176"/>
                    <w:rPr>
                      <w:rFonts w:hint="eastAsia"/>
                      <w:b/>
                      <w:bCs/>
                      <w:color w:val="auto"/>
                    </w:rPr>
                  </w:pPr>
                  <w:r>
                    <w:rPr>
                      <w:rFonts w:hint="eastAsia"/>
                      <w:b/>
                      <w:bCs/>
                      <w:color w:val="auto"/>
                    </w:rPr>
                    <w:t>储存位置</w:t>
                  </w:r>
                </w:p>
              </w:tc>
              <w:tc>
                <w:tcPr>
                  <w:tcW w:w="695" w:type="pct"/>
                  <w:noWrap w:val="0"/>
                  <w:vAlign w:val="top"/>
                </w:tcPr>
                <w:p>
                  <w:pPr>
                    <w:pStyle w:val="176"/>
                    <w:rPr>
                      <w:rFonts w:hint="eastAsia"/>
                      <w:b/>
                      <w:bCs/>
                      <w:color w:val="auto"/>
                    </w:rPr>
                  </w:pPr>
                  <w:r>
                    <w:rPr>
                      <w:rFonts w:hint="eastAsia"/>
                      <w:b/>
                      <w:bCs/>
                      <w:color w:val="auto"/>
                    </w:rPr>
                    <w:t>储存方式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pct"/>
                  <w:noWrap w:val="0"/>
                  <w:vAlign w:val="top"/>
                </w:tcPr>
                <w:p>
                  <w:pPr>
                    <w:pStyle w:val="176"/>
                    <w:rPr>
                      <w:rFonts w:hint="eastAsia"/>
                      <w:color w:val="auto"/>
                    </w:rPr>
                  </w:pPr>
                  <w:r>
                    <w:rPr>
                      <w:rFonts w:hint="eastAsia"/>
                      <w:color w:val="auto"/>
                    </w:rPr>
                    <w:t>1</w:t>
                  </w:r>
                </w:p>
              </w:tc>
              <w:tc>
                <w:tcPr>
                  <w:tcW w:w="1122" w:type="pct"/>
                  <w:noWrap w:val="0"/>
                  <w:vAlign w:val="top"/>
                </w:tcPr>
                <w:p>
                  <w:pPr>
                    <w:pStyle w:val="176"/>
                    <w:rPr>
                      <w:rFonts w:hint="eastAsia"/>
                      <w:color w:val="auto"/>
                    </w:rPr>
                  </w:pPr>
                  <w:r>
                    <w:rPr>
                      <w:rFonts w:hint="eastAsia"/>
                      <w:color w:val="auto"/>
                    </w:rPr>
                    <w:t>二氧化氯泡腾片</w:t>
                  </w:r>
                </w:p>
              </w:tc>
              <w:tc>
                <w:tcPr>
                  <w:tcW w:w="1248" w:type="pct"/>
                  <w:noWrap w:val="0"/>
                  <w:vAlign w:val="top"/>
                </w:tcPr>
                <w:p>
                  <w:pPr>
                    <w:pStyle w:val="176"/>
                    <w:rPr>
                      <w:color w:val="auto"/>
                    </w:rPr>
                  </w:pPr>
                  <w:r>
                    <w:rPr>
                      <w:rFonts w:hint="eastAsia"/>
                      <w:color w:val="auto"/>
                    </w:rPr>
                    <w:t>0.2</w:t>
                  </w:r>
                </w:p>
              </w:tc>
              <w:tc>
                <w:tcPr>
                  <w:tcW w:w="1496" w:type="pct"/>
                  <w:noWrap w:val="0"/>
                  <w:vAlign w:val="top"/>
                </w:tcPr>
                <w:p>
                  <w:pPr>
                    <w:pStyle w:val="176"/>
                    <w:rPr>
                      <w:rFonts w:hint="eastAsia"/>
                      <w:color w:val="auto"/>
                    </w:rPr>
                  </w:pPr>
                  <w:r>
                    <w:rPr>
                      <w:rFonts w:hint="eastAsia"/>
                      <w:color w:val="auto"/>
                    </w:rPr>
                    <w:t>药房</w:t>
                  </w:r>
                </w:p>
              </w:tc>
              <w:tc>
                <w:tcPr>
                  <w:tcW w:w="695" w:type="pct"/>
                  <w:noWrap w:val="0"/>
                  <w:vAlign w:val="top"/>
                </w:tcPr>
                <w:p>
                  <w:pPr>
                    <w:pStyle w:val="176"/>
                    <w:rPr>
                      <w:rFonts w:hint="eastAsia"/>
                      <w:color w:val="auto"/>
                    </w:rPr>
                  </w:pPr>
                  <w:r>
                    <w:rPr>
                      <w:rFonts w:hint="eastAsia"/>
                      <w:color w:val="auto"/>
                    </w:rPr>
                    <w:t>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7" w:type="pct"/>
                  <w:noWrap w:val="0"/>
                  <w:vAlign w:val="top"/>
                </w:tcPr>
                <w:p>
                  <w:pPr>
                    <w:pStyle w:val="176"/>
                    <w:rPr>
                      <w:rFonts w:hint="eastAsia"/>
                      <w:color w:val="auto"/>
                    </w:rPr>
                  </w:pPr>
                  <w:r>
                    <w:rPr>
                      <w:rFonts w:hint="eastAsia"/>
                      <w:color w:val="auto"/>
                    </w:rPr>
                    <w:t>2</w:t>
                  </w:r>
                </w:p>
              </w:tc>
              <w:tc>
                <w:tcPr>
                  <w:tcW w:w="1122" w:type="pct"/>
                  <w:noWrap w:val="0"/>
                  <w:vAlign w:val="top"/>
                </w:tcPr>
                <w:p>
                  <w:pPr>
                    <w:pStyle w:val="176"/>
                    <w:rPr>
                      <w:rFonts w:hint="eastAsia"/>
                      <w:color w:val="auto"/>
                    </w:rPr>
                  </w:pPr>
                  <w:r>
                    <w:rPr>
                      <w:rFonts w:hint="eastAsia"/>
                      <w:color w:val="auto"/>
                    </w:rPr>
                    <w:t>酒精（乙醇）</w:t>
                  </w:r>
                </w:p>
              </w:tc>
              <w:tc>
                <w:tcPr>
                  <w:tcW w:w="1248" w:type="pct"/>
                  <w:noWrap w:val="0"/>
                  <w:vAlign w:val="top"/>
                </w:tcPr>
                <w:p>
                  <w:pPr>
                    <w:pStyle w:val="176"/>
                    <w:rPr>
                      <w:color w:val="auto"/>
                    </w:rPr>
                  </w:pPr>
                  <w:r>
                    <w:rPr>
                      <w:rFonts w:hint="eastAsia"/>
                      <w:color w:val="auto"/>
                    </w:rPr>
                    <w:t>0.05</w:t>
                  </w:r>
                </w:p>
              </w:tc>
              <w:tc>
                <w:tcPr>
                  <w:tcW w:w="1496" w:type="pct"/>
                  <w:noWrap w:val="0"/>
                  <w:vAlign w:val="top"/>
                </w:tcPr>
                <w:p>
                  <w:pPr>
                    <w:pStyle w:val="176"/>
                    <w:rPr>
                      <w:rFonts w:hint="eastAsia"/>
                      <w:color w:val="auto"/>
                    </w:rPr>
                  </w:pPr>
                  <w:r>
                    <w:rPr>
                      <w:rFonts w:hint="eastAsia"/>
                      <w:color w:val="auto"/>
                    </w:rPr>
                    <w:t>药房</w:t>
                  </w:r>
                </w:p>
              </w:tc>
              <w:tc>
                <w:tcPr>
                  <w:tcW w:w="695" w:type="pct"/>
                  <w:noWrap w:val="0"/>
                  <w:vAlign w:val="top"/>
                </w:tcPr>
                <w:p>
                  <w:pPr>
                    <w:pStyle w:val="176"/>
                    <w:rPr>
                      <w:rFonts w:hint="eastAsia"/>
                      <w:color w:val="auto"/>
                    </w:rPr>
                  </w:pPr>
                  <w:r>
                    <w:rPr>
                      <w:rFonts w:hint="eastAsia"/>
                      <w:color w:val="auto"/>
                    </w:rPr>
                    <w:t>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noWrap w:val="0"/>
                  <w:vAlign w:val="top"/>
                </w:tcPr>
                <w:p>
                  <w:pPr>
                    <w:pStyle w:val="176"/>
                    <w:rPr>
                      <w:color w:val="auto"/>
                    </w:rPr>
                  </w:pPr>
                  <w:r>
                    <w:rPr>
                      <w:rFonts w:hint="eastAsia"/>
                      <w:color w:val="auto"/>
                    </w:rPr>
                    <w:t>*注：二氧化氯泡腾片的储存量按1片≈1000ml来折算</w:t>
                  </w:r>
                </w:p>
              </w:tc>
            </w:tr>
          </w:tbl>
          <w:p>
            <w:pPr>
              <w:pStyle w:val="6"/>
              <w:bidi w:val="0"/>
              <w:rPr>
                <w:rFonts w:hint="eastAsia"/>
              </w:rPr>
            </w:pPr>
            <w:r>
              <w:rPr>
                <w:rFonts w:hint="eastAsia"/>
                <w:lang w:val="en-US" w:eastAsia="zh-CN"/>
              </w:rPr>
              <w:t xml:space="preserve">7.2 </w:t>
            </w:r>
            <w:r>
              <w:rPr>
                <w:rFonts w:hint="eastAsia"/>
              </w:rPr>
              <w:t>环境风险识别及影响途径</w:t>
            </w:r>
          </w:p>
          <w:p>
            <w:pPr>
              <w:pStyle w:val="110"/>
              <w:ind w:firstLine="480"/>
              <w:rPr>
                <w:rFonts w:hint="eastAsia"/>
                <w:color w:val="auto"/>
              </w:rPr>
            </w:pPr>
            <w:r>
              <w:rPr>
                <w:rFonts w:hint="eastAsia"/>
                <w:color w:val="auto"/>
              </w:rPr>
              <w:t>本项目涉及乙醇、二氧化氯泡腾片储存于药房内，药房内地面已采取硬化措施，化学药品泄漏造成地表水、土壤和地下水污染的风险事故较小；医疗废物暂存间拟设置于医院二层，不存在泄漏造成土壤、地下水污染的环境风险事故。</w:t>
            </w:r>
          </w:p>
          <w:p>
            <w:pPr>
              <w:pStyle w:val="110"/>
              <w:ind w:firstLine="480"/>
              <w:rPr>
                <w:rFonts w:hint="eastAsia"/>
                <w:color w:val="auto"/>
              </w:rPr>
            </w:pPr>
            <w:r>
              <w:rPr>
                <w:rFonts w:hint="eastAsia"/>
                <w:color w:val="auto"/>
              </w:rPr>
              <w:t>由于本项目单次储存的试剂存放量较小，日常由专人负责监管，项目发生化学品泄漏事故概率较低，对环境产生的影响较小。</w:t>
            </w:r>
          </w:p>
          <w:p>
            <w:pPr>
              <w:pStyle w:val="110"/>
              <w:ind w:firstLine="482"/>
              <w:rPr>
                <w:color w:val="auto"/>
              </w:rPr>
            </w:pPr>
            <w:r>
              <w:rPr>
                <w:b/>
                <w:bCs/>
                <w:color w:val="auto"/>
              </w:rPr>
              <w:t>营运期环境风险主要包括：</w:t>
            </w:r>
            <w:r>
              <w:rPr>
                <w:color w:val="auto"/>
              </w:rPr>
              <w:t xml:space="preserve"> </w:t>
            </w:r>
          </w:p>
          <w:p>
            <w:pPr>
              <w:pStyle w:val="110"/>
              <w:ind w:firstLine="480"/>
              <w:rPr>
                <w:color w:val="auto"/>
              </w:rPr>
            </w:pPr>
            <w:r>
              <w:rPr>
                <w:color w:val="auto"/>
              </w:rPr>
              <w:t xml:space="preserve">①污水处理器出现故障时，外排的医疗废水对受纳水体的污染。 </w:t>
            </w:r>
          </w:p>
          <w:p>
            <w:pPr>
              <w:pStyle w:val="110"/>
              <w:ind w:firstLine="480"/>
              <w:rPr>
                <w:color w:val="auto"/>
              </w:rPr>
            </w:pPr>
            <w:r>
              <w:rPr>
                <w:color w:val="auto"/>
              </w:rPr>
              <w:t xml:space="preserve">②各类医用化学品存储、使用过程中的环境风险。 </w:t>
            </w:r>
          </w:p>
          <w:p>
            <w:pPr>
              <w:pStyle w:val="110"/>
              <w:ind w:firstLine="480"/>
              <w:rPr>
                <w:color w:val="auto"/>
              </w:rPr>
            </w:pPr>
            <w:r>
              <w:rPr>
                <w:color w:val="auto"/>
              </w:rPr>
              <w:t xml:space="preserve">③医疗废物发生泄漏，本项目产生的医疗废物主要为药物性废物属危险废物，如处置不当，可能对人群健康造成危害。 </w:t>
            </w:r>
          </w:p>
          <w:p>
            <w:pPr>
              <w:pStyle w:val="110"/>
              <w:ind w:firstLine="480"/>
              <w:rPr>
                <w:color w:val="auto"/>
              </w:rPr>
            </w:pPr>
            <w:r>
              <w:rPr>
                <w:color w:val="auto"/>
              </w:rPr>
              <w:t>④医院涉及的动物可能发生的传染病/疫情等对周边人群的影响。</w:t>
            </w:r>
          </w:p>
          <w:p>
            <w:pPr>
              <w:pStyle w:val="110"/>
              <w:ind w:firstLine="480"/>
              <w:rPr>
                <w:color w:val="auto"/>
              </w:rPr>
            </w:pPr>
            <w:r>
              <w:rPr>
                <w:color w:val="auto"/>
              </w:rPr>
              <w:t>在上述风险中，考虑到项目各类医用化学品存储、使用量均较小，故评价主要针对废水事故性外排和可能涉及的动物发生的狂犬病等对周边人群的风险影响提出相关风险防范措施，并对危险化学品管理提出相关管理措施。</w:t>
            </w:r>
          </w:p>
          <w:p>
            <w:pPr>
              <w:pStyle w:val="6"/>
              <w:ind w:firstLine="482"/>
              <w:rPr>
                <w:color w:val="auto"/>
              </w:rPr>
            </w:pPr>
            <w:r>
              <w:rPr>
                <w:rFonts w:hint="eastAsia"/>
                <w:color w:val="auto"/>
                <w:lang w:val="en-US" w:eastAsia="zh-CN"/>
              </w:rPr>
              <w:t>7.3</w:t>
            </w:r>
            <w:r>
              <w:rPr>
                <w:rFonts w:hint="eastAsia"/>
                <w:color w:val="auto"/>
              </w:rPr>
              <w:t>环境风险防范措施及应急要求</w:t>
            </w:r>
          </w:p>
          <w:p>
            <w:pPr>
              <w:pStyle w:val="108"/>
              <w:ind w:firstLine="482"/>
              <w:rPr>
                <w:rFonts w:hint="eastAsia"/>
                <w:b/>
                <w:bCs/>
                <w:color w:val="auto"/>
              </w:rPr>
            </w:pPr>
            <w:r>
              <w:rPr>
                <w:rFonts w:hint="eastAsia"/>
                <w:b/>
                <w:bCs/>
                <w:color w:val="auto"/>
              </w:rPr>
              <w:t>①</w:t>
            </w:r>
            <w:r>
              <w:rPr>
                <w:rFonts w:hint="eastAsia"/>
                <w:b/>
                <w:bCs/>
                <w:color w:val="auto"/>
                <w:lang w:val="en-US" w:eastAsia="zh-CN"/>
              </w:rPr>
              <w:t xml:space="preserve"> </w:t>
            </w:r>
            <w:r>
              <w:rPr>
                <w:rFonts w:hint="eastAsia"/>
                <w:b/>
                <w:bCs/>
                <w:color w:val="auto"/>
              </w:rPr>
              <w:t xml:space="preserve">污水处理器的风险防范措施 </w:t>
            </w:r>
          </w:p>
          <w:p>
            <w:pPr>
              <w:pStyle w:val="108"/>
              <w:ind w:firstLine="480"/>
              <w:rPr>
                <w:rFonts w:hint="eastAsia"/>
                <w:color w:val="auto"/>
              </w:rPr>
            </w:pPr>
            <w:r>
              <w:rPr>
                <w:rFonts w:hint="eastAsia"/>
                <w:color w:val="auto"/>
              </w:rPr>
              <w:t>A、建设单位必须防止医疗废物事故性外排，</w:t>
            </w:r>
            <w:r>
              <w:rPr>
                <w:rFonts w:hint="eastAsia"/>
                <w:b/>
                <w:bCs/>
                <w:color w:val="auto"/>
              </w:rPr>
              <w:t>环评要求建设单位设置事故废水应急收集池（桶）</w:t>
            </w:r>
            <w:r>
              <w:rPr>
                <w:rFonts w:hint="eastAsia"/>
                <w:color w:val="auto"/>
              </w:rPr>
              <w:t xml:space="preserve">。安排专人定期对污水处理器进行维修，确保其正常运行，严防污水事故性排放。一旦污水处理器出现故障时，立即通知相应科室停止用水，减少废水产生量，同时切断消毒设施和污水管网的接口，未处理废水收集至应急收集池（桶）后待设备恢复正常运行再由污水处理器进行处理，防止医疗废水未经有效处理直接排入市政污水管网。 </w:t>
            </w:r>
          </w:p>
          <w:p>
            <w:pPr>
              <w:pStyle w:val="108"/>
              <w:ind w:firstLine="480"/>
              <w:rPr>
                <w:rFonts w:hint="eastAsia"/>
                <w:color w:val="auto"/>
              </w:rPr>
            </w:pPr>
            <w:r>
              <w:rPr>
                <w:rFonts w:hint="eastAsia"/>
                <w:color w:val="auto"/>
              </w:rPr>
              <w:t xml:space="preserve">B、加强污水处理器的日常检查维护，医疗废水处理系统主要配件一旦设备出现故障应立即更换处理。 </w:t>
            </w:r>
          </w:p>
          <w:p>
            <w:pPr>
              <w:pStyle w:val="108"/>
              <w:ind w:firstLine="480"/>
              <w:rPr>
                <w:rFonts w:hint="eastAsia"/>
                <w:color w:val="auto"/>
              </w:rPr>
            </w:pPr>
            <w:r>
              <w:rPr>
                <w:rFonts w:hint="eastAsia"/>
                <w:color w:val="auto"/>
              </w:rPr>
              <w:t>C、要求加强项目污水处理器的日常管理工作，定期检查污水处理器内的药剂。</w:t>
            </w:r>
          </w:p>
          <w:p>
            <w:pPr>
              <w:pStyle w:val="108"/>
              <w:ind w:firstLine="480"/>
              <w:rPr>
                <w:color w:val="auto"/>
              </w:rPr>
            </w:pPr>
            <w:r>
              <w:rPr>
                <w:color w:val="auto"/>
              </w:rPr>
              <w:t>D、在污水处理实施恢复使用后，建设单位应将污水处理器处理池内暂存的未经处理的污水有效处理，再达标外排。</w:t>
            </w:r>
          </w:p>
          <w:p>
            <w:pPr>
              <w:pStyle w:val="108"/>
              <w:ind w:firstLine="482"/>
              <w:rPr>
                <w:b/>
                <w:bCs/>
                <w:color w:val="auto"/>
              </w:rPr>
            </w:pPr>
            <w:r>
              <w:rPr>
                <w:b/>
                <w:bCs/>
                <w:color w:val="auto"/>
              </w:rPr>
              <w:t>②</w:t>
            </w:r>
            <w:r>
              <w:rPr>
                <w:rFonts w:hint="eastAsia"/>
                <w:b/>
                <w:bCs/>
                <w:color w:val="auto"/>
                <w:lang w:val="en-US" w:eastAsia="zh-CN"/>
              </w:rPr>
              <w:t xml:space="preserve"> </w:t>
            </w:r>
            <w:r>
              <w:rPr>
                <w:b/>
                <w:bCs/>
                <w:color w:val="auto"/>
              </w:rPr>
              <w:t xml:space="preserve">化学品管理 </w:t>
            </w:r>
          </w:p>
          <w:p>
            <w:pPr>
              <w:pStyle w:val="108"/>
              <w:ind w:firstLine="480"/>
              <w:rPr>
                <w:color w:val="auto"/>
              </w:rPr>
            </w:pPr>
            <w:r>
              <w:rPr>
                <w:color w:val="auto"/>
              </w:rPr>
              <w:t xml:space="preserve">对于化学品的购买、储存、保管、使用等需要按照《危险化学品安全管理条例》的规定管理，化学品出入库，必须进行核查登记，并定期监测库存。做好化学品的存储及使用的安全防范措施，具体如下： </w:t>
            </w:r>
          </w:p>
          <w:p>
            <w:pPr>
              <w:pStyle w:val="108"/>
              <w:ind w:firstLine="480"/>
              <w:rPr>
                <w:color w:val="auto"/>
              </w:rPr>
            </w:pPr>
            <w:r>
              <w:rPr>
                <w:color w:val="auto"/>
              </w:rPr>
              <w:t xml:space="preserve">A、化学品必须储存在专用储存柜内，其储存方式、方法与储存量必须符合国家标准，并由专人管理。 </w:t>
            </w:r>
          </w:p>
          <w:p>
            <w:pPr>
              <w:pStyle w:val="108"/>
              <w:ind w:firstLine="480"/>
              <w:rPr>
                <w:color w:val="auto"/>
              </w:rPr>
            </w:pPr>
            <w:r>
              <w:rPr>
                <w:color w:val="auto"/>
              </w:rPr>
              <w:t>B、化学品设有专用存储柜，应当符合国家标准对安全、消防的要求，设置明显标志。</w:t>
            </w:r>
          </w:p>
          <w:p>
            <w:pPr>
              <w:pStyle w:val="108"/>
              <w:ind w:firstLine="482"/>
              <w:rPr>
                <w:b/>
                <w:bCs/>
                <w:color w:val="auto"/>
              </w:rPr>
            </w:pPr>
            <w:r>
              <w:rPr>
                <w:b/>
                <w:bCs/>
                <w:color w:val="auto"/>
              </w:rPr>
              <w:t>③</w:t>
            </w:r>
            <w:r>
              <w:rPr>
                <w:rFonts w:hint="eastAsia"/>
                <w:b/>
                <w:bCs/>
                <w:color w:val="auto"/>
                <w:lang w:val="en-US" w:eastAsia="zh-CN"/>
              </w:rPr>
              <w:t xml:space="preserve"> </w:t>
            </w:r>
            <w:r>
              <w:rPr>
                <w:b/>
                <w:bCs/>
                <w:color w:val="auto"/>
              </w:rPr>
              <w:t xml:space="preserve">医疗废物储存风险防范措施 </w:t>
            </w:r>
          </w:p>
          <w:p>
            <w:pPr>
              <w:pStyle w:val="108"/>
              <w:ind w:firstLine="480"/>
              <w:rPr>
                <w:color w:val="auto"/>
              </w:rPr>
            </w:pPr>
            <w:r>
              <w:rPr>
                <w:color w:val="auto"/>
              </w:rPr>
              <w:t>A、应当使用防渗漏、房抛洒的专用储存工具，做好医疗废物存储地周围的防渗措施。</w:t>
            </w:r>
          </w:p>
          <w:p>
            <w:pPr>
              <w:pStyle w:val="108"/>
              <w:ind w:firstLine="480"/>
              <w:rPr>
                <w:color w:val="auto"/>
              </w:rPr>
            </w:pPr>
            <w:r>
              <w:rPr>
                <w:color w:val="auto"/>
              </w:rPr>
              <w:t xml:space="preserve">B、医疗废物储存工具应定期进行消毒和清洁。 </w:t>
            </w:r>
          </w:p>
          <w:p>
            <w:pPr>
              <w:pStyle w:val="108"/>
              <w:ind w:firstLine="480"/>
              <w:rPr>
                <w:color w:val="auto"/>
              </w:rPr>
            </w:pPr>
            <w:r>
              <w:rPr>
                <w:color w:val="auto"/>
              </w:rPr>
              <w:t>C、医疗废物应分类收集、贮存，贴上醒目标签，不得与生活垃圾混合堆放；发生危险废物与生活垃圾混合的现象，应将所有被污染的生活垃圾当做危险废物处理。</w:t>
            </w:r>
          </w:p>
          <w:p>
            <w:pPr>
              <w:pStyle w:val="108"/>
              <w:ind w:firstLine="482"/>
              <w:rPr>
                <w:b/>
                <w:bCs/>
                <w:color w:val="auto"/>
              </w:rPr>
            </w:pPr>
            <w:r>
              <w:rPr>
                <w:b/>
                <w:bCs/>
                <w:color w:val="auto"/>
              </w:rPr>
              <w:t>④</w:t>
            </w:r>
            <w:r>
              <w:rPr>
                <w:rFonts w:hint="eastAsia"/>
                <w:b/>
                <w:bCs/>
                <w:color w:val="auto"/>
                <w:lang w:val="en-US" w:eastAsia="zh-CN"/>
              </w:rPr>
              <w:t xml:space="preserve"> </w:t>
            </w:r>
            <w:r>
              <w:rPr>
                <w:b/>
                <w:bCs/>
                <w:color w:val="auto"/>
              </w:rPr>
              <w:t>可能发生的传染病/疫情等对周边人群的风险防范措施</w:t>
            </w:r>
          </w:p>
          <w:p>
            <w:pPr>
              <w:pStyle w:val="110"/>
              <w:ind w:firstLine="480"/>
              <w:rPr>
                <w:color w:val="auto"/>
              </w:rPr>
            </w:pPr>
            <w:r>
              <w:rPr>
                <w:color w:val="auto"/>
              </w:rPr>
              <w:t xml:space="preserve">A、在项目营业过程中，动物病防治服务范围仅针对猫、狗，不准涉及动物传染病，不涉及人畜共生病治疗科目。在检查过程中如发现传染病及人畜共生病，医院要采取隔离措施并立即将患病动物转移至专业的动物传染病防治医院。 </w:t>
            </w:r>
          </w:p>
          <w:p>
            <w:pPr>
              <w:pStyle w:val="110"/>
              <w:ind w:firstLine="480"/>
              <w:rPr>
                <w:color w:val="auto"/>
              </w:rPr>
            </w:pPr>
            <w:r>
              <w:rPr>
                <w:color w:val="auto"/>
              </w:rPr>
              <w:t xml:space="preserve">B、做好医院内部消毒、杀虫、灭鼠工作；严格遵守《中华人民共和国动物防疫法》、《重大动物疫情应急条例》、《动物疫情报告管理办法》等法律法规，一旦发现宠物传染病或疑似宠物疫情的，及时按规定程序上报，不得接受患传染病或疫情的宠物，并制定相应的环境风险事故应急预案。 </w:t>
            </w:r>
          </w:p>
          <w:p>
            <w:pPr>
              <w:pStyle w:val="110"/>
              <w:ind w:firstLine="480"/>
              <w:rPr>
                <w:color w:val="auto"/>
              </w:rPr>
            </w:pPr>
            <w:r>
              <w:rPr>
                <w:color w:val="auto"/>
              </w:rPr>
              <w:t xml:space="preserve">C、项目在营业过程中，要有针对性地开展消毒和污染物清除工作，对宠物的排泄物要严格消毒处理。 </w:t>
            </w:r>
          </w:p>
          <w:p>
            <w:pPr>
              <w:pStyle w:val="110"/>
              <w:ind w:firstLine="480"/>
              <w:rPr>
                <w:color w:val="auto"/>
              </w:rPr>
            </w:pPr>
            <w:r>
              <w:rPr>
                <w:color w:val="auto"/>
              </w:rPr>
              <w:t>D、在营业过程中，加强管理，防止宠物外逃，与人群保持一定的安全距离，严禁出现宠物伤人事件。</w:t>
            </w:r>
          </w:p>
          <w:p>
            <w:pPr>
              <w:pStyle w:val="6"/>
              <w:ind w:firstLine="482"/>
              <w:rPr>
                <w:rFonts w:hint="eastAsia"/>
                <w:color w:val="auto"/>
              </w:rPr>
            </w:pPr>
            <w:r>
              <w:rPr>
                <w:rFonts w:hint="eastAsia"/>
                <w:color w:val="auto"/>
                <w:lang w:val="en-US" w:eastAsia="zh-CN"/>
              </w:rPr>
              <w:t xml:space="preserve">7.4 </w:t>
            </w:r>
            <w:r>
              <w:rPr>
                <w:rFonts w:hint="eastAsia"/>
                <w:color w:val="auto"/>
              </w:rPr>
              <w:t>环境风险分析结论</w:t>
            </w:r>
          </w:p>
          <w:p>
            <w:pPr>
              <w:pStyle w:val="110"/>
              <w:ind w:firstLine="480"/>
              <w:rPr>
                <w:color w:val="auto"/>
              </w:rPr>
            </w:pPr>
            <w:r>
              <w:rPr>
                <w:rFonts w:hint="eastAsia"/>
                <w:color w:val="auto"/>
              </w:rPr>
              <w:t>项目涉及医用酒精、二氧化氯等危险化学品，具有一定的危险性。本项目运营过程中涉及的危险物质不构成重大危险源，本环评要求建设单位严格落实环评报告中提出的风险防范措施，配备必要的防范设施，加强对设备</w:t>
            </w:r>
            <w:r>
              <w:rPr>
                <w:rFonts w:hint="eastAsia"/>
                <w:color w:val="auto"/>
                <w:lang w:eastAsia="zh-CN"/>
              </w:rPr>
              <w:t>设施</w:t>
            </w:r>
            <w:r>
              <w:rPr>
                <w:rFonts w:hint="eastAsia"/>
                <w:color w:val="auto"/>
              </w:rPr>
              <w:t>的管理和维护，使之保持良好状况，该项目环境风险处于可接受水平。</w:t>
            </w:r>
          </w:p>
          <w:p>
            <w:pPr>
              <w:pStyle w:val="5"/>
              <w:spacing w:after="120"/>
              <w:rPr>
                <w:color w:val="auto"/>
              </w:rPr>
            </w:pPr>
            <w:r>
              <w:rPr>
                <w:rFonts w:hint="eastAsia"/>
                <w:color w:val="auto"/>
                <w:lang w:val="en-US" w:eastAsia="zh-CN"/>
              </w:rPr>
              <w:t>8</w:t>
            </w:r>
            <w:r>
              <w:rPr>
                <w:color w:val="auto"/>
              </w:rPr>
              <w:t>、环保投资估算</w:t>
            </w:r>
          </w:p>
          <w:p>
            <w:pPr>
              <w:pStyle w:val="108"/>
              <w:ind w:firstLine="480"/>
              <w:rPr>
                <w:color w:val="auto"/>
              </w:rPr>
            </w:pPr>
            <w:r>
              <w:rPr>
                <w:color w:val="auto"/>
              </w:rPr>
              <w:t>本项目总投资</w:t>
            </w:r>
            <w:r>
              <w:rPr>
                <w:rFonts w:hint="eastAsia"/>
                <w:color w:val="auto"/>
                <w:lang w:val="en-US" w:eastAsia="zh-CN"/>
              </w:rPr>
              <w:t>30.0</w:t>
            </w:r>
            <w:r>
              <w:rPr>
                <w:color w:val="auto"/>
              </w:rPr>
              <w:t>万元，其中环保投资</w:t>
            </w:r>
            <w:r>
              <w:rPr>
                <w:rFonts w:hint="eastAsia"/>
                <w:color w:val="auto"/>
                <w:lang w:val="en-US" w:eastAsia="zh-CN"/>
              </w:rPr>
              <w:t>9.3</w:t>
            </w:r>
            <w:r>
              <w:rPr>
                <w:color w:val="auto"/>
              </w:rPr>
              <w:t>万元，环保投资占总投资的</w:t>
            </w:r>
            <w:r>
              <w:rPr>
                <w:rFonts w:hint="eastAsia"/>
                <w:color w:val="auto"/>
                <w:lang w:val="en-US" w:eastAsia="zh-CN"/>
              </w:rPr>
              <w:t>31</w:t>
            </w:r>
            <w:r>
              <w:rPr>
                <w:color w:val="auto"/>
              </w:rPr>
              <w:t>%。项目环保治理措施及投资见表</w:t>
            </w:r>
            <w:r>
              <w:rPr>
                <w:rFonts w:hint="eastAsia"/>
                <w:color w:val="auto"/>
              </w:rPr>
              <w:t>4</w:t>
            </w:r>
            <w:r>
              <w:rPr>
                <w:color w:val="auto"/>
              </w:rPr>
              <w:t>-</w:t>
            </w:r>
            <w:r>
              <w:rPr>
                <w:rFonts w:hint="eastAsia"/>
                <w:color w:val="auto"/>
                <w:lang w:val="en-US" w:eastAsia="zh-CN"/>
              </w:rPr>
              <w:t>11</w:t>
            </w:r>
            <w:r>
              <w:rPr>
                <w:color w:val="auto"/>
              </w:rPr>
              <w:t>：</w:t>
            </w:r>
          </w:p>
          <w:p>
            <w:pPr>
              <w:pStyle w:val="123"/>
              <w:rPr>
                <w:color w:val="auto"/>
              </w:rPr>
            </w:pPr>
            <w:r>
              <w:rPr>
                <w:color w:val="auto"/>
              </w:rPr>
              <w:t>表</w:t>
            </w:r>
            <w:r>
              <w:rPr>
                <w:rFonts w:hint="eastAsia"/>
                <w:color w:val="auto"/>
              </w:rPr>
              <w:t>4</w:t>
            </w:r>
            <w:r>
              <w:rPr>
                <w:color w:val="auto"/>
              </w:rPr>
              <w:t>-</w:t>
            </w:r>
            <w:r>
              <w:rPr>
                <w:rFonts w:hint="eastAsia"/>
                <w:color w:val="auto"/>
                <w:lang w:val="en-US" w:eastAsia="zh-CN"/>
              </w:rPr>
              <w:t>11</w:t>
            </w:r>
            <w:r>
              <w:rPr>
                <w:color w:val="auto"/>
              </w:rPr>
              <w:t xml:space="preserve"> 环保投资一览表</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1526"/>
              <w:gridCol w:w="3874"/>
              <w:gridCol w:w="1195"/>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412" w:type="pct"/>
                  <w:noWrap w:val="0"/>
                  <w:vAlign w:val="center"/>
                </w:tcPr>
                <w:p>
                  <w:pPr>
                    <w:pStyle w:val="176"/>
                    <w:rPr>
                      <w:b/>
                      <w:bCs/>
                      <w:color w:val="auto"/>
                    </w:rPr>
                  </w:pPr>
                  <w:r>
                    <w:rPr>
                      <w:b/>
                      <w:bCs/>
                      <w:color w:val="auto"/>
                    </w:rPr>
                    <w:t>类型</w:t>
                  </w:r>
                </w:p>
              </w:tc>
              <w:tc>
                <w:tcPr>
                  <w:tcW w:w="980" w:type="pct"/>
                  <w:noWrap w:val="0"/>
                  <w:vAlign w:val="center"/>
                </w:tcPr>
                <w:p>
                  <w:pPr>
                    <w:pStyle w:val="176"/>
                    <w:rPr>
                      <w:b/>
                      <w:bCs/>
                      <w:color w:val="auto"/>
                    </w:rPr>
                  </w:pPr>
                  <w:r>
                    <w:rPr>
                      <w:b/>
                      <w:bCs/>
                      <w:color w:val="auto"/>
                    </w:rPr>
                    <w:t>污染源</w:t>
                  </w:r>
                </w:p>
              </w:tc>
              <w:tc>
                <w:tcPr>
                  <w:tcW w:w="2350" w:type="pct"/>
                  <w:noWrap w:val="0"/>
                  <w:vAlign w:val="center"/>
                </w:tcPr>
                <w:p>
                  <w:pPr>
                    <w:pStyle w:val="176"/>
                    <w:rPr>
                      <w:b/>
                      <w:bCs/>
                      <w:color w:val="auto"/>
                    </w:rPr>
                  </w:pPr>
                  <w:r>
                    <w:rPr>
                      <w:b/>
                      <w:bCs/>
                      <w:color w:val="auto"/>
                    </w:rPr>
                    <w:t>治理措施</w:t>
                  </w:r>
                </w:p>
              </w:tc>
              <w:tc>
                <w:tcPr>
                  <w:tcW w:w="786" w:type="pct"/>
                  <w:noWrap w:val="0"/>
                  <w:vAlign w:val="center"/>
                </w:tcPr>
                <w:p>
                  <w:pPr>
                    <w:pStyle w:val="176"/>
                    <w:rPr>
                      <w:rFonts w:hint="eastAsia"/>
                      <w:b/>
                      <w:bCs/>
                      <w:color w:val="auto"/>
                    </w:rPr>
                  </w:pPr>
                  <w:r>
                    <w:rPr>
                      <w:b/>
                      <w:bCs/>
                      <w:color w:val="auto"/>
                    </w:rPr>
                    <w:t>投资</w:t>
                  </w:r>
                  <w:r>
                    <w:rPr>
                      <w:rFonts w:hint="eastAsia"/>
                      <w:b/>
                      <w:bCs/>
                      <w:color w:val="auto"/>
                    </w:rPr>
                    <w:t>（</w:t>
                  </w:r>
                  <w:r>
                    <w:rPr>
                      <w:b/>
                      <w:bCs/>
                      <w:color w:val="auto"/>
                    </w:rPr>
                    <w:t>万元</w:t>
                  </w:r>
                  <w:r>
                    <w:rPr>
                      <w:rFonts w:hint="eastAsia"/>
                      <w:b/>
                      <w:bCs/>
                      <w:color w:val="auto"/>
                    </w:rPr>
                    <w:t>）</w:t>
                  </w:r>
                </w:p>
              </w:tc>
              <w:tc>
                <w:tcPr>
                  <w:tcW w:w="469" w:type="pct"/>
                  <w:noWrap w:val="0"/>
                  <w:vAlign w:val="center"/>
                </w:tcPr>
                <w:p>
                  <w:pPr>
                    <w:pStyle w:val="176"/>
                    <w:rPr>
                      <w:b/>
                      <w:bCs/>
                      <w:color w:val="auto"/>
                    </w:rPr>
                  </w:pPr>
                  <w:r>
                    <w:rPr>
                      <w:b/>
                      <w:bCs/>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12" w:type="pct"/>
                  <w:vMerge w:val="restart"/>
                  <w:noWrap w:val="0"/>
                  <w:vAlign w:val="center"/>
                </w:tcPr>
                <w:p>
                  <w:pPr>
                    <w:pStyle w:val="176"/>
                    <w:rPr>
                      <w:color w:val="auto"/>
                    </w:rPr>
                  </w:pPr>
                  <w:r>
                    <w:rPr>
                      <w:color w:val="auto"/>
                    </w:rPr>
                    <w:t>废水</w:t>
                  </w:r>
                </w:p>
                <w:p>
                  <w:pPr>
                    <w:pStyle w:val="176"/>
                    <w:rPr>
                      <w:color w:val="auto"/>
                    </w:rPr>
                  </w:pPr>
                  <w:r>
                    <w:rPr>
                      <w:color w:val="auto"/>
                    </w:rPr>
                    <w:t>治理</w:t>
                  </w:r>
                </w:p>
              </w:tc>
              <w:tc>
                <w:tcPr>
                  <w:tcW w:w="980" w:type="pct"/>
                  <w:noWrap w:val="0"/>
                  <w:vAlign w:val="center"/>
                </w:tcPr>
                <w:p>
                  <w:pPr>
                    <w:pStyle w:val="176"/>
                    <w:rPr>
                      <w:rFonts w:hint="eastAsia"/>
                      <w:color w:val="auto"/>
                    </w:rPr>
                  </w:pPr>
                  <w:r>
                    <w:rPr>
                      <w:rFonts w:hint="eastAsia"/>
                      <w:color w:val="auto"/>
                    </w:rPr>
                    <w:t>医疗废水</w:t>
                  </w:r>
                </w:p>
              </w:tc>
              <w:tc>
                <w:tcPr>
                  <w:tcW w:w="2350" w:type="pct"/>
                  <w:noWrap w:val="0"/>
                  <w:vAlign w:val="center"/>
                </w:tcPr>
                <w:p>
                  <w:pPr>
                    <w:pStyle w:val="176"/>
                    <w:rPr>
                      <w:rFonts w:hint="eastAsia"/>
                      <w:color w:val="auto"/>
                    </w:rPr>
                  </w:pPr>
                  <w:r>
                    <w:rPr>
                      <w:rFonts w:hint="eastAsia"/>
                      <w:color w:val="auto"/>
                    </w:rPr>
                    <w:t>设置一台一体化污水处理设施，进行</w:t>
                  </w:r>
                  <w:r>
                    <w:rPr>
                      <w:rFonts w:hint="eastAsia"/>
                      <w:color w:val="auto"/>
                      <w:lang w:eastAsia="zh-CN"/>
                    </w:rPr>
                    <w:t>过滤沉淀</w:t>
                  </w:r>
                  <w:r>
                    <w:rPr>
                      <w:rFonts w:hint="eastAsia"/>
                      <w:color w:val="auto"/>
                    </w:rPr>
                    <w:t>+消毒预处理后同生活污水排入</w:t>
                  </w:r>
                  <w:r>
                    <w:rPr>
                      <w:rFonts w:hint="eastAsia"/>
                      <w:color w:val="auto"/>
                      <w:lang w:eastAsia="zh-CN"/>
                    </w:rPr>
                    <w:t>邦泰国际社区</w:t>
                  </w:r>
                  <w:r>
                    <w:rPr>
                      <w:rFonts w:hint="eastAsia"/>
                      <w:color w:val="auto"/>
                    </w:rPr>
                    <w:t>小区预处理池</w:t>
                  </w:r>
                </w:p>
              </w:tc>
              <w:tc>
                <w:tcPr>
                  <w:tcW w:w="786" w:type="pct"/>
                  <w:noWrap w:val="0"/>
                  <w:vAlign w:val="center"/>
                </w:tcPr>
                <w:p>
                  <w:pPr>
                    <w:pStyle w:val="176"/>
                    <w:rPr>
                      <w:color w:val="auto"/>
                    </w:rPr>
                  </w:pPr>
                  <w:r>
                    <w:rPr>
                      <w:rFonts w:hint="eastAsia"/>
                      <w:color w:val="auto"/>
                    </w:rPr>
                    <w:t>1.2</w:t>
                  </w:r>
                </w:p>
              </w:tc>
              <w:tc>
                <w:tcPr>
                  <w:tcW w:w="469" w:type="pct"/>
                  <w:noWrap w:val="0"/>
                  <w:vAlign w:val="center"/>
                </w:tcPr>
                <w:p>
                  <w:pPr>
                    <w:pStyle w:val="176"/>
                    <w:rPr>
                      <w:rFonts w:hint="eastAsia"/>
                      <w:color w:val="auto"/>
                    </w:rPr>
                  </w:pPr>
                  <w:r>
                    <w:rPr>
                      <w:rFonts w:hint="eastAsia"/>
                      <w:color w:val="auto"/>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0" w:hRule="atLeast"/>
                <w:jc w:val="center"/>
              </w:trPr>
              <w:tc>
                <w:tcPr>
                  <w:tcW w:w="412" w:type="pct"/>
                  <w:vMerge w:val="continue"/>
                  <w:noWrap w:val="0"/>
                  <w:vAlign w:val="center"/>
                </w:tcPr>
                <w:p>
                  <w:pPr>
                    <w:pStyle w:val="176"/>
                    <w:rPr>
                      <w:color w:val="auto"/>
                    </w:rPr>
                  </w:pPr>
                </w:p>
              </w:tc>
              <w:tc>
                <w:tcPr>
                  <w:tcW w:w="980" w:type="pct"/>
                  <w:noWrap w:val="0"/>
                  <w:vAlign w:val="center"/>
                </w:tcPr>
                <w:p>
                  <w:pPr>
                    <w:pStyle w:val="176"/>
                    <w:rPr>
                      <w:rFonts w:hint="eastAsia"/>
                      <w:color w:val="auto"/>
                    </w:rPr>
                  </w:pPr>
                  <w:r>
                    <w:rPr>
                      <w:rFonts w:hint="eastAsia"/>
                      <w:color w:val="auto"/>
                    </w:rPr>
                    <w:t>职工生活污水</w:t>
                  </w:r>
                </w:p>
              </w:tc>
              <w:tc>
                <w:tcPr>
                  <w:tcW w:w="2350" w:type="pct"/>
                  <w:noWrap w:val="0"/>
                  <w:vAlign w:val="center"/>
                </w:tcPr>
                <w:p>
                  <w:pPr>
                    <w:pStyle w:val="176"/>
                    <w:rPr>
                      <w:rFonts w:hint="eastAsia"/>
                      <w:color w:val="auto"/>
                    </w:rPr>
                  </w:pPr>
                  <w:r>
                    <w:rPr>
                      <w:rFonts w:hint="eastAsia"/>
                      <w:color w:val="auto"/>
                    </w:rPr>
                    <w:t>经管道排入</w:t>
                  </w:r>
                  <w:r>
                    <w:rPr>
                      <w:rFonts w:hint="eastAsia"/>
                      <w:color w:val="auto"/>
                      <w:lang w:eastAsia="zh-CN"/>
                    </w:rPr>
                    <w:t>邦泰国际社区</w:t>
                  </w:r>
                  <w:r>
                    <w:rPr>
                      <w:rFonts w:hint="eastAsia"/>
                      <w:color w:val="auto"/>
                    </w:rPr>
                    <w:t>小区预处理池，处理后排入市政污水管网</w:t>
                  </w:r>
                </w:p>
              </w:tc>
              <w:tc>
                <w:tcPr>
                  <w:tcW w:w="786" w:type="pct"/>
                  <w:noWrap w:val="0"/>
                  <w:vAlign w:val="center"/>
                </w:tcPr>
                <w:p>
                  <w:pPr>
                    <w:pStyle w:val="176"/>
                    <w:rPr>
                      <w:rFonts w:hint="eastAsia"/>
                      <w:color w:val="auto"/>
                    </w:rPr>
                  </w:pPr>
                  <w:r>
                    <w:rPr>
                      <w:rFonts w:hint="eastAsia"/>
                      <w:color w:val="auto"/>
                    </w:rPr>
                    <w:t>/</w:t>
                  </w:r>
                </w:p>
              </w:tc>
              <w:tc>
                <w:tcPr>
                  <w:tcW w:w="469" w:type="pct"/>
                  <w:noWrap w:val="0"/>
                  <w:vAlign w:val="center"/>
                </w:tcPr>
                <w:p>
                  <w:pPr>
                    <w:pStyle w:val="176"/>
                    <w:rPr>
                      <w:rFonts w:hint="eastAsia"/>
                      <w:color w:val="auto"/>
                    </w:rPr>
                  </w:pPr>
                  <w:r>
                    <w:rPr>
                      <w:rFonts w:hint="eastAsia"/>
                      <w:color w:val="auto"/>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2" w:type="pct"/>
                  <w:vMerge w:val="restart"/>
                  <w:noWrap w:val="0"/>
                  <w:vAlign w:val="center"/>
                </w:tcPr>
                <w:p>
                  <w:pPr>
                    <w:pStyle w:val="176"/>
                    <w:rPr>
                      <w:color w:val="auto"/>
                    </w:rPr>
                  </w:pPr>
                  <w:r>
                    <w:rPr>
                      <w:color w:val="auto"/>
                    </w:rPr>
                    <w:t>废气</w:t>
                  </w:r>
                </w:p>
                <w:p>
                  <w:pPr>
                    <w:pStyle w:val="176"/>
                    <w:rPr>
                      <w:color w:val="auto"/>
                    </w:rPr>
                  </w:pPr>
                  <w:r>
                    <w:rPr>
                      <w:color w:val="auto"/>
                    </w:rPr>
                    <w:t>治理</w:t>
                  </w:r>
                </w:p>
              </w:tc>
              <w:tc>
                <w:tcPr>
                  <w:tcW w:w="980" w:type="pct"/>
                  <w:noWrap w:val="0"/>
                  <w:vAlign w:val="center"/>
                </w:tcPr>
                <w:p>
                  <w:pPr>
                    <w:pStyle w:val="176"/>
                    <w:rPr>
                      <w:rFonts w:hint="eastAsia"/>
                      <w:color w:val="auto"/>
                    </w:rPr>
                  </w:pPr>
                  <w:r>
                    <w:rPr>
                      <w:rFonts w:hint="eastAsia"/>
                      <w:color w:val="auto"/>
                    </w:rPr>
                    <w:t>医疗废物暂存间异味</w:t>
                  </w:r>
                </w:p>
              </w:tc>
              <w:tc>
                <w:tcPr>
                  <w:tcW w:w="2350" w:type="pct"/>
                  <w:vMerge w:val="restart"/>
                  <w:noWrap w:val="0"/>
                  <w:vAlign w:val="center"/>
                </w:tcPr>
                <w:p>
                  <w:pPr>
                    <w:pStyle w:val="176"/>
                    <w:rPr>
                      <w:rFonts w:hint="eastAsia"/>
                      <w:color w:val="auto"/>
                    </w:rPr>
                  </w:pPr>
                  <w:r>
                    <w:rPr>
                      <w:rFonts w:hint="eastAsia"/>
                      <w:color w:val="auto"/>
                      <w:lang w:eastAsia="zh-CN"/>
                    </w:rPr>
                    <w:t>新风系统</w:t>
                  </w:r>
                  <w:r>
                    <w:rPr>
                      <w:rFonts w:hint="eastAsia"/>
                      <w:color w:val="auto"/>
                      <w:lang w:val="en-US" w:eastAsia="zh-CN"/>
                    </w:rPr>
                    <w:t>+紫外线等消毒+活性炭处理，</w:t>
                  </w:r>
                  <w:r>
                    <w:rPr>
                      <w:rFonts w:hint="eastAsia"/>
                      <w:color w:val="auto"/>
                    </w:rPr>
                    <w:t>日常采用移动式紫外线灯及臭氧消毒机加强对院内环境消毒来降低异味对周边环境的影响，定期清洁，定期开窗通风，加强院内空气流通</w:t>
                  </w:r>
                </w:p>
              </w:tc>
              <w:tc>
                <w:tcPr>
                  <w:tcW w:w="786" w:type="pct"/>
                  <w:vMerge w:val="restart"/>
                  <w:noWrap w:val="0"/>
                  <w:vAlign w:val="center"/>
                </w:tcPr>
                <w:p>
                  <w:pPr>
                    <w:pStyle w:val="176"/>
                    <w:rPr>
                      <w:rFonts w:hint="default" w:eastAsia="宋体"/>
                      <w:color w:val="auto"/>
                      <w:lang w:val="en-US" w:eastAsia="zh-CN"/>
                    </w:rPr>
                  </w:pPr>
                  <w:r>
                    <w:rPr>
                      <w:rFonts w:hint="eastAsia"/>
                      <w:color w:val="auto"/>
                      <w:lang w:val="en-US" w:eastAsia="zh-CN"/>
                    </w:rPr>
                    <w:t>5.0</w:t>
                  </w:r>
                </w:p>
              </w:tc>
              <w:tc>
                <w:tcPr>
                  <w:tcW w:w="469" w:type="pct"/>
                  <w:vMerge w:val="restart"/>
                  <w:noWrap w:val="0"/>
                  <w:vAlign w:val="center"/>
                </w:tcPr>
                <w:p>
                  <w:pPr>
                    <w:pStyle w:val="176"/>
                    <w:rPr>
                      <w:rFonts w:hint="eastAsia"/>
                      <w:color w:val="auto"/>
                    </w:rPr>
                  </w:pPr>
                  <w:r>
                    <w:rPr>
                      <w:rFonts w:hint="eastAsia"/>
                      <w:color w:val="auto"/>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9" w:hRule="atLeast"/>
                <w:jc w:val="center"/>
              </w:trPr>
              <w:tc>
                <w:tcPr>
                  <w:tcW w:w="412" w:type="pct"/>
                  <w:vMerge w:val="continue"/>
                  <w:noWrap w:val="0"/>
                  <w:vAlign w:val="center"/>
                </w:tcPr>
                <w:p>
                  <w:pPr>
                    <w:pStyle w:val="176"/>
                    <w:rPr>
                      <w:color w:val="auto"/>
                    </w:rPr>
                  </w:pPr>
                </w:p>
              </w:tc>
              <w:tc>
                <w:tcPr>
                  <w:tcW w:w="980" w:type="pct"/>
                  <w:noWrap w:val="0"/>
                  <w:vAlign w:val="center"/>
                </w:tcPr>
                <w:p>
                  <w:pPr>
                    <w:pStyle w:val="176"/>
                    <w:rPr>
                      <w:rFonts w:hint="eastAsia"/>
                      <w:color w:val="auto"/>
                    </w:rPr>
                  </w:pPr>
                  <w:r>
                    <w:rPr>
                      <w:rFonts w:hint="eastAsia"/>
                      <w:color w:val="auto"/>
                    </w:rPr>
                    <w:t>就诊区域宠物散发的异味</w:t>
                  </w:r>
                </w:p>
              </w:tc>
              <w:tc>
                <w:tcPr>
                  <w:tcW w:w="2350" w:type="pct"/>
                  <w:vMerge w:val="continue"/>
                  <w:noWrap w:val="0"/>
                  <w:vAlign w:val="center"/>
                </w:tcPr>
                <w:p>
                  <w:pPr>
                    <w:pStyle w:val="176"/>
                    <w:rPr>
                      <w:rFonts w:hint="eastAsia"/>
                      <w:color w:val="auto"/>
                    </w:rPr>
                  </w:pPr>
                </w:p>
              </w:tc>
              <w:tc>
                <w:tcPr>
                  <w:tcW w:w="786" w:type="pct"/>
                  <w:vMerge w:val="continue"/>
                  <w:noWrap w:val="0"/>
                  <w:vAlign w:val="center"/>
                </w:tcPr>
                <w:p>
                  <w:pPr>
                    <w:pStyle w:val="176"/>
                    <w:rPr>
                      <w:color w:val="auto"/>
                    </w:rPr>
                  </w:pPr>
                </w:p>
              </w:tc>
              <w:tc>
                <w:tcPr>
                  <w:tcW w:w="469" w:type="pct"/>
                  <w:vMerge w:val="continue"/>
                  <w:noWrap w:val="0"/>
                  <w:vAlign w:val="center"/>
                </w:tcPr>
                <w:p>
                  <w:pPr>
                    <w:pStyle w:val="176"/>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7" w:hRule="atLeast"/>
                <w:jc w:val="center"/>
              </w:trPr>
              <w:tc>
                <w:tcPr>
                  <w:tcW w:w="412" w:type="pct"/>
                  <w:vMerge w:val="continue"/>
                  <w:noWrap w:val="0"/>
                  <w:vAlign w:val="center"/>
                </w:tcPr>
                <w:p>
                  <w:pPr>
                    <w:pStyle w:val="176"/>
                    <w:rPr>
                      <w:color w:val="auto"/>
                    </w:rPr>
                  </w:pPr>
                </w:p>
              </w:tc>
              <w:tc>
                <w:tcPr>
                  <w:tcW w:w="980" w:type="pct"/>
                  <w:noWrap w:val="0"/>
                  <w:vAlign w:val="center"/>
                </w:tcPr>
                <w:p>
                  <w:pPr>
                    <w:pStyle w:val="176"/>
                    <w:rPr>
                      <w:rFonts w:hint="eastAsia"/>
                      <w:color w:val="auto"/>
                    </w:rPr>
                  </w:pPr>
                  <w:r>
                    <w:rPr>
                      <w:rFonts w:hint="eastAsia"/>
                      <w:color w:val="auto"/>
                    </w:rPr>
                    <w:t>院内带菌空气</w:t>
                  </w:r>
                </w:p>
              </w:tc>
              <w:tc>
                <w:tcPr>
                  <w:tcW w:w="2350" w:type="pct"/>
                  <w:vMerge w:val="continue"/>
                  <w:noWrap w:val="0"/>
                  <w:vAlign w:val="center"/>
                </w:tcPr>
                <w:p>
                  <w:pPr>
                    <w:pStyle w:val="176"/>
                    <w:rPr>
                      <w:rFonts w:hint="eastAsia"/>
                      <w:color w:val="auto"/>
                    </w:rPr>
                  </w:pPr>
                </w:p>
              </w:tc>
              <w:tc>
                <w:tcPr>
                  <w:tcW w:w="786" w:type="pct"/>
                  <w:vMerge w:val="continue"/>
                  <w:noWrap w:val="0"/>
                  <w:vAlign w:val="center"/>
                </w:tcPr>
                <w:p>
                  <w:pPr>
                    <w:pStyle w:val="176"/>
                    <w:rPr>
                      <w:color w:val="auto"/>
                    </w:rPr>
                  </w:pPr>
                </w:p>
              </w:tc>
              <w:tc>
                <w:tcPr>
                  <w:tcW w:w="469" w:type="pct"/>
                  <w:vMerge w:val="continue"/>
                  <w:noWrap w:val="0"/>
                  <w:vAlign w:val="center"/>
                </w:tcPr>
                <w:p>
                  <w:pPr>
                    <w:pStyle w:val="176"/>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12" w:type="pct"/>
                  <w:vMerge w:val="continue"/>
                  <w:noWrap w:val="0"/>
                  <w:vAlign w:val="center"/>
                </w:tcPr>
                <w:p>
                  <w:pPr>
                    <w:pStyle w:val="176"/>
                    <w:rPr>
                      <w:color w:val="auto"/>
                    </w:rPr>
                  </w:pPr>
                </w:p>
              </w:tc>
              <w:tc>
                <w:tcPr>
                  <w:tcW w:w="980" w:type="pct"/>
                  <w:noWrap w:val="0"/>
                  <w:vAlign w:val="center"/>
                </w:tcPr>
                <w:p>
                  <w:pPr>
                    <w:pStyle w:val="176"/>
                    <w:rPr>
                      <w:rFonts w:hint="eastAsia"/>
                      <w:color w:val="auto"/>
                    </w:rPr>
                  </w:pPr>
                  <w:r>
                    <w:rPr>
                      <w:rFonts w:hint="eastAsia"/>
                      <w:color w:val="auto"/>
                    </w:rPr>
                    <w:t>一体化污水处理设施臭气</w:t>
                  </w:r>
                </w:p>
              </w:tc>
              <w:tc>
                <w:tcPr>
                  <w:tcW w:w="2350" w:type="pct"/>
                  <w:vMerge w:val="continue"/>
                  <w:noWrap w:val="0"/>
                  <w:vAlign w:val="center"/>
                </w:tcPr>
                <w:p>
                  <w:pPr>
                    <w:pStyle w:val="176"/>
                    <w:rPr>
                      <w:rFonts w:hint="eastAsia"/>
                      <w:color w:val="auto"/>
                    </w:rPr>
                  </w:pPr>
                </w:p>
              </w:tc>
              <w:tc>
                <w:tcPr>
                  <w:tcW w:w="786" w:type="pct"/>
                  <w:vMerge w:val="continue"/>
                  <w:noWrap w:val="0"/>
                  <w:vAlign w:val="center"/>
                </w:tcPr>
                <w:p>
                  <w:pPr>
                    <w:pStyle w:val="176"/>
                    <w:rPr>
                      <w:color w:val="auto"/>
                    </w:rPr>
                  </w:pPr>
                </w:p>
              </w:tc>
              <w:tc>
                <w:tcPr>
                  <w:tcW w:w="469" w:type="pct"/>
                  <w:vMerge w:val="continue"/>
                  <w:noWrap w:val="0"/>
                  <w:vAlign w:val="center"/>
                </w:tcPr>
                <w:p>
                  <w:pPr>
                    <w:pStyle w:val="176"/>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2" w:hRule="atLeast"/>
                <w:jc w:val="center"/>
              </w:trPr>
              <w:tc>
                <w:tcPr>
                  <w:tcW w:w="412" w:type="pct"/>
                  <w:noWrap w:val="0"/>
                  <w:vAlign w:val="center"/>
                </w:tcPr>
                <w:p>
                  <w:pPr>
                    <w:pStyle w:val="176"/>
                    <w:rPr>
                      <w:color w:val="auto"/>
                    </w:rPr>
                  </w:pPr>
                  <w:r>
                    <w:rPr>
                      <w:color w:val="auto"/>
                    </w:rPr>
                    <w:t>噪声</w:t>
                  </w:r>
                </w:p>
                <w:p>
                  <w:pPr>
                    <w:pStyle w:val="176"/>
                    <w:rPr>
                      <w:color w:val="auto"/>
                    </w:rPr>
                  </w:pPr>
                  <w:r>
                    <w:rPr>
                      <w:color w:val="auto"/>
                    </w:rPr>
                    <w:t>治理</w:t>
                  </w:r>
                </w:p>
              </w:tc>
              <w:tc>
                <w:tcPr>
                  <w:tcW w:w="980" w:type="pct"/>
                  <w:noWrap w:val="0"/>
                  <w:vAlign w:val="center"/>
                </w:tcPr>
                <w:p>
                  <w:pPr>
                    <w:pStyle w:val="176"/>
                    <w:rPr>
                      <w:rFonts w:hint="eastAsia"/>
                      <w:color w:val="auto"/>
                    </w:rPr>
                  </w:pPr>
                  <w:r>
                    <w:rPr>
                      <w:color w:val="auto"/>
                    </w:rPr>
                    <w:t>设备噪声</w:t>
                  </w:r>
                  <w:r>
                    <w:rPr>
                      <w:rFonts w:hint="eastAsia"/>
                      <w:color w:val="auto"/>
                    </w:rPr>
                    <w:t>、宠物叫声</w:t>
                  </w:r>
                </w:p>
              </w:tc>
              <w:tc>
                <w:tcPr>
                  <w:tcW w:w="2350" w:type="pct"/>
                  <w:noWrap w:val="0"/>
                  <w:vAlign w:val="center"/>
                </w:tcPr>
                <w:p>
                  <w:pPr>
                    <w:pStyle w:val="176"/>
                    <w:rPr>
                      <w:rFonts w:hint="eastAsia"/>
                      <w:color w:val="auto"/>
                    </w:rPr>
                  </w:pPr>
                  <w:r>
                    <w:rPr>
                      <w:rFonts w:hint="eastAsia"/>
                      <w:color w:val="auto"/>
                    </w:rPr>
                    <w:t>距离衰减、宠物佩戴口罩和住院室采用隔声处理</w:t>
                  </w:r>
                </w:p>
              </w:tc>
              <w:tc>
                <w:tcPr>
                  <w:tcW w:w="786" w:type="pct"/>
                  <w:noWrap w:val="0"/>
                  <w:vAlign w:val="center"/>
                </w:tcPr>
                <w:p>
                  <w:pPr>
                    <w:pStyle w:val="176"/>
                    <w:rPr>
                      <w:color w:val="auto"/>
                    </w:rPr>
                  </w:pPr>
                  <w:r>
                    <w:rPr>
                      <w:rFonts w:hint="eastAsia"/>
                      <w:color w:val="auto"/>
                    </w:rPr>
                    <w:t>0.1</w:t>
                  </w:r>
                </w:p>
              </w:tc>
              <w:tc>
                <w:tcPr>
                  <w:tcW w:w="469" w:type="pct"/>
                  <w:noWrap w:val="0"/>
                  <w:vAlign w:val="center"/>
                </w:tcPr>
                <w:p>
                  <w:pPr>
                    <w:pStyle w:val="176"/>
                    <w:rPr>
                      <w:rFonts w:hint="eastAsia"/>
                      <w:color w:val="auto"/>
                    </w:rPr>
                  </w:pPr>
                  <w:r>
                    <w:rPr>
                      <w:rFonts w:hint="eastAsia"/>
                      <w:color w:val="auto"/>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7" w:hRule="atLeast"/>
                <w:jc w:val="center"/>
              </w:trPr>
              <w:tc>
                <w:tcPr>
                  <w:tcW w:w="412" w:type="pct"/>
                  <w:vMerge w:val="restart"/>
                  <w:noWrap w:val="0"/>
                  <w:vAlign w:val="center"/>
                </w:tcPr>
                <w:p>
                  <w:pPr>
                    <w:pStyle w:val="176"/>
                    <w:rPr>
                      <w:color w:val="auto"/>
                    </w:rPr>
                  </w:pPr>
                  <w:r>
                    <w:rPr>
                      <w:color w:val="auto"/>
                    </w:rPr>
                    <w:t>固废</w:t>
                  </w:r>
                </w:p>
                <w:p>
                  <w:pPr>
                    <w:pStyle w:val="176"/>
                    <w:rPr>
                      <w:color w:val="auto"/>
                    </w:rPr>
                  </w:pPr>
                  <w:r>
                    <w:rPr>
                      <w:color w:val="auto"/>
                    </w:rPr>
                    <w:t>治理</w:t>
                  </w:r>
                </w:p>
              </w:tc>
              <w:tc>
                <w:tcPr>
                  <w:tcW w:w="980" w:type="pct"/>
                  <w:noWrap w:val="0"/>
                  <w:vAlign w:val="center"/>
                </w:tcPr>
                <w:p>
                  <w:pPr>
                    <w:pStyle w:val="176"/>
                    <w:rPr>
                      <w:rFonts w:hint="eastAsia"/>
                      <w:color w:val="auto"/>
                    </w:rPr>
                  </w:pPr>
                  <w:r>
                    <w:rPr>
                      <w:rFonts w:hint="eastAsia"/>
                      <w:color w:val="auto"/>
                    </w:rPr>
                    <w:t>生活垃圾</w:t>
                  </w:r>
                </w:p>
              </w:tc>
              <w:tc>
                <w:tcPr>
                  <w:tcW w:w="2350" w:type="pct"/>
                  <w:noWrap w:val="0"/>
                  <w:vAlign w:val="center"/>
                </w:tcPr>
                <w:p>
                  <w:pPr>
                    <w:pStyle w:val="176"/>
                    <w:rPr>
                      <w:rFonts w:hint="eastAsia"/>
                      <w:color w:val="auto"/>
                    </w:rPr>
                  </w:pPr>
                  <w:r>
                    <w:rPr>
                      <w:rFonts w:hint="eastAsia"/>
                      <w:color w:val="auto"/>
                    </w:rPr>
                    <w:t>生活垃圾收集后放置于社区生活垃圾暂存点待环卫部门转运处置</w:t>
                  </w:r>
                </w:p>
              </w:tc>
              <w:tc>
                <w:tcPr>
                  <w:tcW w:w="786" w:type="pct"/>
                  <w:vMerge w:val="restart"/>
                  <w:noWrap w:val="0"/>
                  <w:vAlign w:val="center"/>
                </w:tcPr>
                <w:p>
                  <w:pPr>
                    <w:pStyle w:val="176"/>
                    <w:rPr>
                      <w:color w:val="auto"/>
                    </w:rPr>
                  </w:pPr>
                  <w:r>
                    <w:rPr>
                      <w:rFonts w:hint="eastAsia"/>
                      <w:color w:val="auto"/>
                    </w:rPr>
                    <w:t>0.2</w:t>
                  </w:r>
                </w:p>
              </w:tc>
              <w:tc>
                <w:tcPr>
                  <w:tcW w:w="469" w:type="pct"/>
                  <w:vMerge w:val="restart"/>
                  <w:noWrap w:val="0"/>
                  <w:vAlign w:val="center"/>
                </w:tcPr>
                <w:p>
                  <w:pPr>
                    <w:pStyle w:val="176"/>
                    <w:rPr>
                      <w:rFonts w:hint="eastAsia"/>
                      <w:color w:val="auto"/>
                    </w:rPr>
                  </w:pPr>
                  <w:r>
                    <w:rPr>
                      <w:rFonts w:hint="eastAsia"/>
                      <w:color w:val="auto"/>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12" w:type="pct"/>
                  <w:vMerge w:val="continue"/>
                  <w:noWrap w:val="0"/>
                  <w:vAlign w:val="center"/>
                </w:tcPr>
                <w:p>
                  <w:pPr>
                    <w:pStyle w:val="176"/>
                    <w:rPr>
                      <w:color w:val="auto"/>
                    </w:rPr>
                  </w:pPr>
                </w:p>
              </w:tc>
              <w:tc>
                <w:tcPr>
                  <w:tcW w:w="980" w:type="pct"/>
                  <w:noWrap w:val="0"/>
                  <w:vAlign w:val="center"/>
                </w:tcPr>
                <w:p>
                  <w:pPr>
                    <w:pStyle w:val="176"/>
                    <w:rPr>
                      <w:rFonts w:hint="eastAsia" w:eastAsia="宋体"/>
                      <w:color w:val="auto"/>
                      <w:lang w:eastAsia="zh-CN"/>
                    </w:rPr>
                  </w:pPr>
                  <w:r>
                    <w:rPr>
                      <w:rFonts w:hint="eastAsia"/>
                      <w:color w:val="auto"/>
                    </w:rPr>
                    <w:t>宠物粪便</w:t>
                  </w:r>
                  <w:r>
                    <w:rPr>
                      <w:rFonts w:hint="eastAsia"/>
                      <w:color w:val="auto"/>
                      <w:lang w:eastAsia="zh-CN"/>
                    </w:rPr>
                    <w:t>及垫料</w:t>
                  </w:r>
                </w:p>
              </w:tc>
              <w:tc>
                <w:tcPr>
                  <w:tcW w:w="2350" w:type="pct"/>
                  <w:vMerge w:val="restart"/>
                  <w:noWrap w:val="0"/>
                  <w:vAlign w:val="center"/>
                </w:tcPr>
                <w:p>
                  <w:pPr>
                    <w:pStyle w:val="176"/>
                    <w:rPr>
                      <w:rFonts w:hint="eastAsia"/>
                      <w:color w:val="auto"/>
                    </w:rPr>
                  </w:pPr>
                  <w:r>
                    <w:rPr>
                      <w:rFonts w:hint="eastAsia"/>
                      <w:color w:val="auto"/>
                    </w:rPr>
                    <w:t>宠物毛发</w:t>
                  </w:r>
                  <w:r>
                    <w:rPr>
                      <w:rFonts w:hint="eastAsia"/>
                      <w:color w:val="auto"/>
                      <w:lang w:eastAsia="zh-CN"/>
                    </w:rPr>
                    <w:t>、</w:t>
                  </w:r>
                  <w:r>
                    <w:rPr>
                      <w:rFonts w:hint="eastAsia"/>
                      <w:color w:val="auto"/>
                    </w:rPr>
                    <w:t>粪便</w:t>
                  </w:r>
                  <w:r>
                    <w:rPr>
                      <w:rFonts w:hint="eastAsia"/>
                      <w:color w:val="auto"/>
                      <w:lang w:eastAsia="zh-CN"/>
                    </w:rPr>
                    <w:t>及垫料</w:t>
                  </w:r>
                  <w:r>
                    <w:rPr>
                      <w:rFonts w:hint="eastAsia"/>
                      <w:color w:val="auto"/>
                    </w:rPr>
                    <w:t>集中收集，喷洒消毒剂后同生活垃圾交由市环卫部门统一收集清运和处理</w:t>
                  </w:r>
                </w:p>
              </w:tc>
              <w:tc>
                <w:tcPr>
                  <w:tcW w:w="786" w:type="pct"/>
                  <w:vMerge w:val="continue"/>
                  <w:noWrap w:val="0"/>
                  <w:vAlign w:val="center"/>
                </w:tcPr>
                <w:p>
                  <w:pPr>
                    <w:pStyle w:val="176"/>
                    <w:rPr>
                      <w:rFonts w:hint="eastAsia"/>
                      <w:color w:val="auto"/>
                    </w:rPr>
                  </w:pPr>
                </w:p>
              </w:tc>
              <w:tc>
                <w:tcPr>
                  <w:tcW w:w="469" w:type="pct"/>
                  <w:vMerge w:val="continue"/>
                  <w:noWrap w:val="0"/>
                  <w:vAlign w:val="center"/>
                </w:tcPr>
                <w:p>
                  <w:pPr>
                    <w:pStyle w:val="176"/>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9" w:hRule="atLeast"/>
                <w:jc w:val="center"/>
              </w:trPr>
              <w:tc>
                <w:tcPr>
                  <w:tcW w:w="412" w:type="pct"/>
                  <w:vMerge w:val="continue"/>
                  <w:noWrap w:val="0"/>
                  <w:vAlign w:val="center"/>
                </w:tcPr>
                <w:p>
                  <w:pPr>
                    <w:pStyle w:val="176"/>
                    <w:rPr>
                      <w:color w:val="auto"/>
                    </w:rPr>
                  </w:pPr>
                </w:p>
              </w:tc>
              <w:tc>
                <w:tcPr>
                  <w:tcW w:w="980" w:type="pct"/>
                  <w:noWrap w:val="0"/>
                  <w:vAlign w:val="center"/>
                </w:tcPr>
                <w:p>
                  <w:pPr>
                    <w:pStyle w:val="176"/>
                    <w:rPr>
                      <w:rFonts w:hint="eastAsia"/>
                      <w:color w:val="auto"/>
                    </w:rPr>
                  </w:pPr>
                  <w:r>
                    <w:rPr>
                      <w:rFonts w:hint="eastAsia"/>
                      <w:color w:val="auto"/>
                    </w:rPr>
                    <w:t>宠物毛发</w:t>
                  </w:r>
                </w:p>
              </w:tc>
              <w:tc>
                <w:tcPr>
                  <w:tcW w:w="2350" w:type="pct"/>
                  <w:vMerge w:val="continue"/>
                  <w:noWrap w:val="0"/>
                  <w:vAlign w:val="center"/>
                </w:tcPr>
                <w:p>
                  <w:pPr>
                    <w:pStyle w:val="176"/>
                    <w:rPr>
                      <w:rFonts w:hint="eastAsia"/>
                      <w:color w:val="auto"/>
                    </w:rPr>
                  </w:pPr>
                </w:p>
              </w:tc>
              <w:tc>
                <w:tcPr>
                  <w:tcW w:w="786" w:type="pct"/>
                  <w:vMerge w:val="continue"/>
                  <w:noWrap w:val="0"/>
                  <w:vAlign w:val="center"/>
                </w:tcPr>
                <w:p>
                  <w:pPr>
                    <w:pStyle w:val="176"/>
                    <w:rPr>
                      <w:color w:val="auto"/>
                    </w:rPr>
                  </w:pPr>
                </w:p>
              </w:tc>
              <w:tc>
                <w:tcPr>
                  <w:tcW w:w="469" w:type="pct"/>
                  <w:vMerge w:val="continue"/>
                  <w:noWrap w:val="0"/>
                  <w:vAlign w:val="center"/>
                </w:tcPr>
                <w:p>
                  <w:pPr>
                    <w:pStyle w:val="176"/>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3" w:hRule="atLeast"/>
                <w:jc w:val="center"/>
              </w:trPr>
              <w:tc>
                <w:tcPr>
                  <w:tcW w:w="412" w:type="pct"/>
                  <w:vMerge w:val="continue"/>
                  <w:noWrap w:val="0"/>
                  <w:vAlign w:val="center"/>
                </w:tcPr>
                <w:p>
                  <w:pPr>
                    <w:pStyle w:val="176"/>
                    <w:rPr>
                      <w:color w:val="auto"/>
                    </w:rPr>
                  </w:pPr>
                </w:p>
              </w:tc>
              <w:tc>
                <w:tcPr>
                  <w:tcW w:w="980" w:type="pct"/>
                  <w:noWrap w:val="0"/>
                  <w:vAlign w:val="center"/>
                </w:tcPr>
                <w:p>
                  <w:pPr>
                    <w:pStyle w:val="176"/>
                    <w:rPr>
                      <w:rFonts w:hint="eastAsia" w:eastAsia="宋体"/>
                      <w:color w:val="auto"/>
                      <w:lang w:eastAsia="zh-CN"/>
                    </w:rPr>
                  </w:pPr>
                  <w:r>
                    <w:rPr>
                      <w:rFonts w:hint="eastAsia"/>
                      <w:color w:val="auto"/>
                      <w:lang w:eastAsia="zh-CN"/>
                    </w:rPr>
                    <w:t>废外包材</w:t>
                  </w:r>
                </w:p>
              </w:tc>
              <w:tc>
                <w:tcPr>
                  <w:tcW w:w="2350" w:type="pct"/>
                  <w:noWrap w:val="0"/>
                  <w:vAlign w:val="center"/>
                </w:tcPr>
                <w:p>
                  <w:pPr>
                    <w:pStyle w:val="176"/>
                    <w:rPr>
                      <w:rFonts w:hint="eastAsia"/>
                      <w:color w:val="auto"/>
                    </w:rPr>
                  </w:pPr>
                  <w:r>
                    <w:rPr>
                      <w:rFonts w:hint="eastAsia"/>
                      <w:color w:val="auto"/>
                      <w:lang w:val="en-US" w:eastAsia="zh-CN"/>
                    </w:rPr>
                    <w:t>废外包材集中收集后定期外售废品收购站</w:t>
                  </w:r>
                </w:p>
              </w:tc>
              <w:tc>
                <w:tcPr>
                  <w:tcW w:w="786" w:type="pct"/>
                  <w:vMerge w:val="continue"/>
                  <w:noWrap w:val="0"/>
                  <w:vAlign w:val="center"/>
                </w:tcPr>
                <w:p>
                  <w:pPr>
                    <w:pStyle w:val="176"/>
                    <w:rPr>
                      <w:color w:val="auto"/>
                    </w:rPr>
                  </w:pPr>
                </w:p>
              </w:tc>
              <w:tc>
                <w:tcPr>
                  <w:tcW w:w="469" w:type="pct"/>
                  <w:vMerge w:val="continue"/>
                  <w:noWrap w:val="0"/>
                  <w:vAlign w:val="center"/>
                </w:tcPr>
                <w:p>
                  <w:pPr>
                    <w:pStyle w:val="176"/>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412" w:type="pct"/>
                  <w:vMerge w:val="continue"/>
                  <w:noWrap w:val="0"/>
                  <w:vAlign w:val="center"/>
                </w:tcPr>
                <w:p>
                  <w:pPr>
                    <w:pStyle w:val="176"/>
                    <w:rPr>
                      <w:color w:val="auto"/>
                    </w:rPr>
                  </w:pPr>
                </w:p>
              </w:tc>
              <w:tc>
                <w:tcPr>
                  <w:tcW w:w="980" w:type="pct"/>
                  <w:noWrap w:val="0"/>
                  <w:vAlign w:val="center"/>
                </w:tcPr>
                <w:p>
                  <w:pPr>
                    <w:pStyle w:val="176"/>
                    <w:rPr>
                      <w:rFonts w:hint="eastAsia"/>
                      <w:color w:val="auto"/>
                    </w:rPr>
                  </w:pPr>
                  <w:r>
                    <w:rPr>
                      <w:rFonts w:hint="eastAsia"/>
                      <w:color w:val="auto"/>
                    </w:rPr>
                    <w:t>宠物尸体</w:t>
                  </w:r>
                </w:p>
              </w:tc>
              <w:tc>
                <w:tcPr>
                  <w:tcW w:w="2350" w:type="pct"/>
                  <w:noWrap w:val="0"/>
                  <w:vAlign w:val="center"/>
                </w:tcPr>
                <w:p>
                  <w:pPr>
                    <w:pStyle w:val="176"/>
                    <w:rPr>
                      <w:rFonts w:hint="eastAsia"/>
                      <w:color w:val="auto"/>
                    </w:rPr>
                  </w:pPr>
                  <w:r>
                    <w:rPr>
                      <w:rFonts w:hint="eastAsia"/>
                      <w:color w:val="auto"/>
                      <w:lang w:eastAsia="zh-CN"/>
                    </w:rPr>
                    <w:t>宠物尸体</w:t>
                  </w:r>
                  <w:r>
                    <w:rPr>
                      <w:rFonts w:hint="eastAsia"/>
                      <w:color w:val="auto"/>
                      <w:lang w:val="en-US" w:eastAsia="zh-CN"/>
                    </w:rPr>
                    <w:t>喷洒消毒液或洒生石灰消毒密封后暂存于处置室设置的冰箱内，交由资质单位进行无害化处置</w:t>
                  </w:r>
                </w:p>
              </w:tc>
              <w:tc>
                <w:tcPr>
                  <w:tcW w:w="786" w:type="pct"/>
                  <w:vMerge w:val="restart"/>
                  <w:noWrap w:val="0"/>
                  <w:vAlign w:val="center"/>
                </w:tcPr>
                <w:p>
                  <w:pPr>
                    <w:pStyle w:val="176"/>
                    <w:rPr>
                      <w:rFonts w:hint="eastAsia"/>
                      <w:color w:val="auto"/>
                      <w:lang w:val="en-US" w:eastAsia="zh-CN"/>
                    </w:rPr>
                  </w:pPr>
                </w:p>
                <w:p>
                  <w:pPr>
                    <w:pStyle w:val="176"/>
                    <w:rPr>
                      <w:rFonts w:hint="eastAsia"/>
                      <w:color w:val="auto"/>
                      <w:lang w:val="en-US" w:eastAsia="zh-CN"/>
                    </w:rPr>
                  </w:pPr>
                </w:p>
                <w:p>
                  <w:pPr>
                    <w:pStyle w:val="176"/>
                    <w:rPr>
                      <w:rFonts w:hint="eastAsia"/>
                      <w:color w:val="auto"/>
                      <w:lang w:val="en-US" w:eastAsia="zh-CN"/>
                    </w:rPr>
                  </w:pPr>
                </w:p>
                <w:p>
                  <w:pPr>
                    <w:pStyle w:val="176"/>
                    <w:rPr>
                      <w:rFonts w:hint="default" w:eastAsia="宋体"/>
                      <w:color w:val="auto"/>
                      <w:lang w:val="en-US" w:eastAsia="zh-CN"/>
                    </w:rPr>
                  </w:pPr>
                  <w:r>
                    <w:rPr>
                      <w:rFonts w:hint="eastAsia"/>
                      <w:color w:val="auto"/>
                      <w:lang w:val="en-US" w:eastAsia="zh-CN"/>
                    </w:rPr>
                    <w:t>1.5</w:t>
                  </w:r>
                </w:p>
              </w:tc>
              <w:tc>
                <w:tcPr>
                  <w:tcW w:w="469" w:type="pct"/>
                  <w:noWrap w:val="0"/>
                  <w:vAlign w:val="center"/>
                </w:tcPr>
                <w:p>
                  <w:pPr>
                    <w:pStyle w:val="176"/>
                    <w:rPr>
                      <w:rFonts w:hint="eastAsia"/>
                      <w:color w:val="auto"/>
                    </w:rPr>
                  </w:pPr>
                  <w:r>
                    <w:rPr>
                      <w:rFonts w:hint="eastAsia"/>
                      <w:color w:val="auto"/>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6" w:hRule="atLeast"/>
                <w:jc w:val="center"/>
              </w:trPr>
              <w:tc>
                <w:tcPr>
                  <w:tcW w:w="412" w:type="pct"/>
                  <w:vMerge w:val="continue"/>
                  <w:noWrap w:val="0"/>
                  <w:vAlign w:val="center"/>
                </w:tcPr>
                <w:p>
                  <w:pPr>
                    <w:pStyle w:val="176"/>
                    <w:rPr>
                      <w:color w:val="auto"/>
                    </w:rPr>
                  </w:pPr>
                </w:p>
              </w:tc>
              <w:tc>
                <w:tcPr>
                  <w:tcW w:w="980" w:type="pct"/>
                  <w:noWrap w:val="0"/>
                  <w:vAlign w:val="center"/>
                </w:tcPr>
                <w:p>
                  <w:pPr>
                    <w:pStyle w:val="176"/>
                    <w:rPr>
                      <w:rFonts w:hint="eastAsia"/>
                      <w:color w:val="auto"/>
                    </w:rPr>
                  </w:pPr>
                  <w:r>
                    <w:rPr>
                      <w:rFonts w:hint="eastAsia"/>
                      <w:color w:val="auto"/>
                    </w:rPr>
                    <w:t>医疗废物</w:t>
                  </w:r>
                </w:p>
              </w:tc>
              <w:tc>
                <w:tcPr>
                  <w:tcW w:w="2350" w:type="pct"/>
                  <w:noWrap w:val="0"/>
                  <w:vAlign w:val="center"/>
                </w:tcPr>
                <w:p>
                  <w:pPr>
                    <w:pStyle w:val="176"/>
                    <w:rPr>
                      <w:rFonts w:hint="eastAsia" w:eastAsia="宋体"/>
                      <w:color w:val="auto"/>
                      <w:lang w:eastAsia="zh-CN"/>
                    </w:rPr>
                  </w:pPr>
                  <w:r>
                    <w:rPr>
                      <w:rFonts w:hint="eastAsia"/>
                      <w:color w:val="auto"/>
                    </w:rPr>
                    <w:t>收集</w:t>
                  </w:r>
                  <w:r>
                    <w:rPr>
                      <w:rFonts w:hint="eastAsia"/>
                      <w:color w:val="auto"/>
                      <w:lang w:eastAsia="zh-CN"/>
                    </w:rPr>
                    <w:t>后</w:t>
                  </w:r>
                  <w:r>
                    <w:rPr>
                      <w:rFonts w:hint="eastAsia"/>
                      <w:color w:val="auto"/>
                    </w:rPr>
                    <w:t>暂存于医疗废物暂存间，定期交由资质单位处置</w:t>
                  </w:r>
                  <w:r>
                    <w:rPr>
                      <w:rFonts w:hint="eastAsia"/>
                      <w:color w:val="auto"/>
                      <w:lang w:eastAsia="zh-CN"/>
                    </w:rPr>
                    <w:t>，医疗废物的收集周期不超过2天，并做好医疗废弃物的转运台账</w:t>
                  </w:r>
                </w:p>
              </w:tc>
              <w:tc>
                <w:tcPr>
                  <w:tcW w:w="786" w:type="pct"/>
                  <w:vMerge w:val="continue"/>
                  <w:noWrap w:val="0"/>
                  <w:vAlign w:val="center"/>
                </w:tcPr>
                <w:p>
                  <w:pPr>
                    <w:pStyle w:val="176"/>
                    <w:rPr>
                      <w:color w:val="auto"/>
                    </w:rPr>
                  </w:pPr>
                </w:p>
              </w:tc>
              <w:tc>
                <w:tcPr>
                  <w:tcW w:w="469" w:type="pct"/>
                  <w:noWrap w:val="0"/>
                  <w:vAlign w:val="center"/>
                </w:tcPr>
                <w:p>
                  <w:pPr>
                    <w:pStyle w:val="176"/>
                    <w:rPr>
                      <w:rFonts w:hint="eastAsia"/>
                      <w:color w:val="auto"/>
                    </w:rPr>
                  </w:pPr>
                  <w:r>
                    <w:rPr>
                      <w:rFonts w:hint="eastAsia"/>
                      <w:color w:val="auto"/>
                    </w:rPr>
                    <w:t>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jc w:val="center"/>
              </w:trPr>
              <w:tc>
                <w:tcPr>
                  <w:tcW w:w="412" w:type="pct"/>
                  <w:vMerge w:val="continue"/>
                  <w:noWrap w:val="0"/>
                  <w:vAlign w:val="center"/>
                </w:tcPr>
                <w:p>
                  <w:pPr>
                    <w:pStyle w:val="176"/>
                    <w:rPr>
                      <w:color w:val="auto"/>
                    </w:rPr>
                  </w:pPr>
                </w:p>
              </w:tc>
              <w:tc>
                <w:tcPr>
                  <w:tcW w:w="980" w:type="pct"/>
                  <w:noWrap w:val="0"/>
                  <w:vAlign w:val="center"/>
                </w:tcPr>
                <w:p>
                  <w:pPr>
                    <w:pStyle w:val="176"/>
                    <w:rPr>
                      <w:rFonts w:hint="eastAsia"/>
                      <w:color w:val="auto"/>
                    </w:rPr>
                  </w:pPr>
                  <w:r>
                    <w:rPr>
                      <w:rFonts w:hint="eastAsia"/>
                      <w:color w:val="auto"/>
                    </w:rPr>
                    <w:t>废紫外线灯管</w:t>
                  </w:r>
                </w:p>
              </w:tc>
              <w:tc>
                <w:tcPr>
                  <w:tcW w:w="2350" w:type="pct"/>
                  <w:noWrap w:val="0"/>
                  <w:vAlign w:val="center"/>
                </w:tcPr>
                <w:p>
                  <w:pPr>
                    <w:pStyle w:val="176"/>
                    <w:rPr>
                      <w:rFonts w:hint="eastAsia"/>
                      <w:color w:val="auto"/>
                    </w:rPr>
                  </w:pPr>
                  <w:r>
                    <w:rPr>
                      <w:rFonts w:hint="eastAsia"/>
                      <w:color w:val="auto"/>
                    </w:rPr>
                    <w:t>收集后暂存于医疗废物暂存间，定期交由资质单位处置</w:t>
                  </w:r>
                </w:p>
              </w:tc>
              <w:tc>
                <w:tcPr>
                  <w:tcW w:w="786" w:type="pct"/>
                  <w:vMerge w:val="continue"/>
                  <w:noWrap w:val="0"/>
                  <w:vAlign w:val="center"/>
                </w:tcPr>
                <w:p>
                  <w:pPr>
                    <w:pStyle w:val="176"/>
                    <w:rPr>
                      <w:color w:val="auto"/>
                    </w:rPr>
                  </w:pPr>
                </w:p>
              </w:tc>
              <w:tc>
                <w:tcPr>
                  <w:tcW w:w="469" w:type="pct"/>
                  <w:noWrap w:val="0"/>
                  <w:vAlign w:val="center"/>
                </w:tcPr>
                <w:p>
                  <w:pPr>
                    <w:pStyle w:val="176"/>
                    <w:rPr>
                      <w:rFonts w:hint="eastAsia"/>
                      <w:color w:val="auto"/>
                    </w:rPr>
                  </w:pPr>
                  <w:r>
                    <w:rPr>
                      <w:rFonts w:hint="eastAsia"/>
                      <w:color w:val="auto"/>
                    </w:rPr>
                    <w:t>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2" w:hRule="atLeast"/>
                <w:jc w:val="center"/>
              </w:trPr>
              <w:tc>
                <w:tcPr>
                  <w:tcW w:w="412" w:type="pct"/>
                  <w:vMerge w:val="continue"/>
                  <w:noWrap w:val="0"/>
                  <w:vAlign w:val="center"/>
                </w:tcPr>
                <w:p>
                  <w:pPr>
                    <w:pStyle w:val="176"/>
                    <w:rPr>
                      <w:color w:val="auto"/>
                    </w:rPr>
                  </w:pPr>
                </w:p>
              </w:tc>
              <w:tc>
                <w:tcPr>
                  <w:tcW w:w="980" w:type="pct"/>
                  <w:noWrap w:val="0"/>
                  <w:vAlign w:val="center"/>
                </w:tcPr>
                <w:p>
                  <w:pPr>
                    <w:pStyle w:val="176"/>
                    <w:rPr>
                      <w:rFonts w:hint="eastAsia" w:eastAsia="宋体"/>
                      <w:color w:val="auto"/>
                      <w:lang w:eastAsia="zh-CN"/>
                    </w:rPr>
                  </w:pPr>
                  <w:r>
                    <w:rPr>
                      <w:rFonts w:hint="eastAsia"/>
                      <w:color w:val="auto"/>
                      <w:lang w:eastAsia="zh-CN"/>
                    </w:rPr>
                    <w:t>废活性炭</w:t>
                  </w:r>
                </w:p>
              </w:tc>
              <w:tc>
                <w:tcPr>
                  <w:tcW w:w="2350" w:type="pct"/>
                  <w:noWrap w:val="0"/>
                  <w:vAlign w:val="center"/>
                </w:tcPr>
                <w:p>
                  <w:pPr>
                    <w:pStyle w:val="176"/>
                    <w:rPr>
                      <w:rFonts w:hint="eastAsia"/>
                      <w:color w:val="auto"/>
                    </w:rPr>
                  </w:pPr>
                  <w:r>
                    <w:rPr>
                      <w:rFonts w:hint="eastAsia"/>
                      <w:color w:val="auto"/>
                    </w:rPr>
                    <w:t>收集后放置于社区垃圾暂存点待环卫部门转运处置</w:t>
                  </w:r>
                </w:p>
              </w:tc>
              <w:tc>
                <w:tcPr>
                  <w:tcW w:w="786" w:type="pct"/>
                  <w:vMerge w:val="continue"/>
                  <w:noWrap w:val="0"/>
                  <w:vAlign w:val="center"/>
                </w:tcPr>
                <w:p>
                  <w:pPr>
                    <w:pStyle w:val="176"/>
                    <w:rPr>
                      <w:color w:val="auto"/>
                    </w:rPr>
                  </w:pPr>
                </w:p>
              </w:tc>
              <w:tc>
                <w:tcPr>
                  <w:tcW w:w="469" w:type="pct"/>
                  <w:noWrap w:val="0"/>
                  <w:vAlign w:val="center"/>
                </w:tcPr>
                <w:p>
                  <w:pPr>
                    <w:pStyle w:val="111"/>
                    <w:bidi w:val="0"/>
                    <w:rPr>
                      <w:rFonts w:hint="eastAsia"/>
                    </w:rPr>
                  </w:pPr>
                  <w:r>
                    <w:rPr>
                      <w:rFonts w:hint="eastAsia"/>
                    </w:rPr>
                    <w:t>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412" w:type="pct"/>
                  <w:vMerge w:val="continue"/>
                  <w:noWrap w:val="0"/>
                  <w:vAlign w:val="center"/>
                </w:tcPr>
                <w:p>
                  <w:pPr>
                    <w:pStyle w:val="176"/>
                    <w:rPr>
                      <w:color w:val="auto"/>
                    </w:rPr>
                  </w:pPr>
                </w:p>
              </w:tc>
              <w:tc>
                <w:tcPr>
                  <w:tcW w:w="980" w:type="pct"/>
                  <w:noWrap w:val="0"/>
                  <w:vAlign w:val="center"/>
                </w:tcPr>
                <w:p>
                  <w:pPr>
                    <w:pStyle w:val="176"/>
                    <w:rPr>
                      <w:rFonts w:hint="eastAsia" w:eastAsia="宋体"/>
                      <w:color w:val="auto"/>
                      <w:lang w:eastAsia="zh-CN"/>
                    </w:rPr>
                  </w:pPr>
                  <w:r>
                    <w:rPr>
                      <w:rFonts w:hint="eastAsia"/>
                      <w:color w:val="auto"/>
                      <w:lang w:eastAsia="zh-CN"/>
                    </w:rPr>
                    <w:t>污水处理器污泥</w:t>
                  </w:r>
                </w:p>
              </w:tc>
              <w:tc>
                <w:tcPr>
                  <w:tcW w:w="2350" w:type="pct"/>
                  <w:noWrap w:val="0"/>
                  <w:vAlign w:val="center"/>
                </w:tcPr>
                <w:p>
                  <w:pPr>
                    <w:pStyle w:val="176"/>
                    <w:rPr>
                      <w:rFonts w:hint="eastAsia"/>
                      <w:color w:val="auto"/>
                    </w:rPr>
                  </w:pPr>
                  <w:r>
                    <w:rPr>
                      <w:rFonts w:hint="eastAsia"/>
                      <w:color w:val="auto"/>
                    </w:rPr>
                    <w:t>收集后暂存于医疗废物暂存间，定期交由资质单位处置</w:t>
                  </w:r>
                </w:p>
              </w:tc>
              <w:tc>
                <w:tcPr>
                  <w:tcW w:w="786" w:type="pct"/>
                  <w:vMerge w:val="continue"/>
                  <w:noWrap w:val="0"/>
                  <w:vAlign w:val="center"/>
                </w:tcPr>
                <w:p>
                  <w:pPr>
                    <w:pStyle w:val="176"/>
                    <w:rPr>
                      <w:color w:val="auto"/>
                    </w:rPr>
                  </w:pPr>
                </w:p>
              </w:tc>
              <w:tc>
                <w:tcPr>
                  <w:tcW w:w="469" w:type="pct"/>
                  <w:noWrap w:val="0"/>
                  <w:vAlign w:val="center"/>
                </w:tcPr>
                <w:p>
                  <w:pPr>
                    <w:pStyle w:val="111"/>
                    <w:bidi w:val="0"/>
                    <w:rPr>
                      <w:rFonts w:hint="eastAsia"/>
                    </w:rPr>
                  </w:pPr>
                  <w:r>
                    <w:rPr>
                      <w:rFonts w:hint="eastAsia"/>
                    </w:rPr>
                    <w:t>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392" w:type="pct"/>
                  <w:gridSpan w:val="2"/>
                  <w:noWrap w:val="0"/>
                  <w:vAlign w:val="center"/>
                </w:tcPr>
                <w:p>
                  <w:pPr>
                    <w:pStyle w:val="176"/>
                    <w:rPr>
                      <w:rFonts w:hint="eastAsia"/>
                      <w:color w:val="auto"/>
                    </w:rPr>
                  </w:pPr>
                  <w:r>
                    <w:rPr>
                      <w:rFonts w:hint="eastAsia"/>
                      <w:color w:val="auto"/>
                    </w:rPr>
                    <w:t>地下水环境</w:t>
                  </w:r>
                </w:p>
              </w:tc>
              <w:tc>
                <w:tcPr>
                  <w:tcW w:w="2350" w:type="pct"/>
                  <w:noWrap w:val="0"/>
                  <w:vAlign w:val="center"/>
                </w:tcPr>
                <w:p>
                  <w:pPr>
                    <w:pStyle w:val="176"/>
                    <w:rPr>
                      <w:rFonts w:hint="eastAsia"/>
                      <w:color w:val="auto"/>
                    </w:rPr>
                  </w:pPr>
                  <w:r>
                    <w:rPr>
                      <w:rFonts w:hint="eastAsia"/>
                      <w:color w:val="auto"/>
                    </w:rPr>
                    <w:t>分区防渗：一般防渗区利用现有防渗措施；重点防渗区包括医疗废物暂存间、污水处理设施所在位置，医疗废物暂存间：防渗混凝土地面+2mm 厚环氧树脂地坪漆+不锈钢金属托盘；污水处理间利用现有防渗措施</w:t>
                  </w:r>
                </w:p>
              </w:tc>
              <w:tc>
                <w:tcPr>
                  <w:tcW w:w="786" w:type="pct"/>
                  <w:noWrap w:val="0"/>
                  <w:vAlign w:val="center"/>
                </w:tcPr>
                <w:p>
                  <w:pPr>
                    <w:pStyle w:val="176"/>
                    <w:rPr>
                      <w:color w:val="auto"/>
                    </w:rPr>
                  </w:pPr>
                  <w:r>
                    <w:rPr>
                      <w:rFonts w:hint="eastAsia"/>
                      <w:color w:val="auto"/>
                    </w:rPr>
                    <w:t>1.2</w:t>
                  </w:r>
                </w:p>
              </w:tc>
              <w:tc>
                <w:tcPr>
                  <w:tcW w:w="469" w:type="pct"/>
                  <w:noWrap w:val="0"/>
                  <w:vAlign w:val="center"/>
                </w:tcPr>
                <w:p>
                  <w:pPr>
                    <w:pStyle w:val="176"/>
                    <w:rPr>
                      <w:rFonts w:hint="eastAsia"/>
                      <w:color w:val="auto"/>
                    </w:rPr>
                  </w:pPr>
                  <w:r>
                    <w:rPr>
                      <w:rFonts w:hint="eastAsia"/>
                      <w:color w:val="auto"/>
                    </w:rPr>
                    <w:t>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392" w:type="pct"/>
                  <w:gridSpan w:val="2"/>
                  <w:noWrap w:val="0"/>
                  <w:vAlign w:val="center"/>
                </w:tcPr>
                <w:p>
                  <w:pPr>
                    <w:pStyle w:val="176"/>
                    <w:rPr>
                      <w:rFonts w:hint="eastAsia"/>
                      <w:color w:val="auto"/>
                    </w:rPr>
                  </w:pPr>
                  <w:r>
                    <w:rPr>
                      <w:rFonts w:hint="eastAsia"/>
                      <w:color w:val="auto"/>
                    </w:rPr>
                    <w:t>环境风险</w:t>
                  </w:r>
                </w:p>
              </w:tc>
              <w:tc>
                <w:tcPr>
                  <w:tcW w:w="2350" w:type="pct"/>
                  <w:noWrap w:val="0"/>
                  <w:vAlign w:val="center"/>
                </w:tcPr>
                <w:p>
                  <w:pPr>
                    <w:pStyle w:val="176"/>
                    <w:rPr>
                      <w:rFonts w:hint="eastAsia"/>
                      <w:color w:val="auto"/>
                    </w:rPr>
                  </w:pPr>
                  <w:r>
                    <w:rPr>
                      <w:rFonts w:hint="eastAsia"/>
                      <w:color w:val="auto"/>
                    </w:rPr>
                    <w:t>设置事故废水应急收集池（桶）</w:t>
                  </w:r>
                </w:p>
              </w:tc>
              <w:tc>
                <w:tcPr>
                  <w:tcW w:w="786" w:type="pct"/>
                  <w:noWrap w:val="0"/>
                  <w:vAlign w:val="center"/>
                </w:tcPr>
                <w:p>
                  <w:pPr>
                    <w:pStyle w:val="176"/>
                    <w:rPr>
                      <w:color w:val="auto"/>
                    </w:rPr>
                  </w:pPr>
                  <w:r>
                    <w:rPr>
                      <w:rFonts w:hint="eastAsia"/>
                      <w:color w:val="auto"/>
                    </w:rPr>
                    <w:t>0.1</w:t>
                  </w:r>
                </w:p>
              </w:tc>
              <w:tc>
                <w:tcPr>
                  <w:tcW w:w="469" w:type="pct"/>
                  <w:noWrap w:val="0"/>
                  <w:vAlign w:val="center"/>
                </w:tcPr>
                <w:p>
                  <w:pPr>
                    <w:pStyle w:val="176"/>
                    <w:rPr>
                      <w:rFonts w:hint="eastAsia"/>
                      <w:color w:val="auto"/>
                    </w:rPr>
                  </w:pPr>
                  <w:r>
                    <w:rPr>
                      <w:rFonts w:hint="eastAsia"/>
                      <w:color w:val="auto"/>
                    </w:rPr>
                    <w:t>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 w:hRule="atLeast"/>
                <w:jc w:val="center"/>
              </w:trPr>
              <w:tc>
                <w:tcPr>
                  <w:tcW w:w="1392" w:type="pct"/>
                  <w:gridSpan w:val="2"/>
                  <w:noWrap w:val="0"/>
                  <w:vAlign w:val="center"/>
                </w:tcPr>
                <w:p>
                  <w:pPr>
                    <w:pStyle w:val="176"/>
                    <w:rPr>
                      <w:color w:val="auto"/>
                    </w:rPr>
                  </w:pPr>
                  <w:r>
                    <w:rPr>
                      <w:color w:val="auto"/>
                    </w:rPr>
                    <w:t>合计</w:t>
                  </w:r>
                </w:p>
              </w:tc>
              <w:tc>
                <w:tcPr>
                  <w:tcW w:w="2350" w:type="pct"/>
                  <w:noWrap w:val="0"/>
                  <w:vAlign w:val="center"/>
                </w:tcPr>
                <w:p>
                  <w:pPr>
                    <w:pStyle w:val="176"/>
                    <w:rPr>
                      <w:color w:val="auto"/>
                    </w:rPr>
                  </w:pPr>
                  <w:r>
                    <w:rPr>
                      <w:color w:val="auto"/>
                    </w:rPr>
                    <w:t>/</w:t>
                  </w:r>
                </w:p>
              </w:tc>
              <w:tc>
                <w:tcPr>
                  <w:tcW w:w="1256" w:type="pct"/>
                  <w:gridSpan w:val="2"/>
                  <w:noWrap w:val="0"/>
                  <w:vAlign w:val="center"/>
                </w:tcPr>
                <w:p>
                  <w:pPr>
                    <w:pStyle w:val="176"/>
                    <w:rPr>
                      <w:rFonts w:hint="default" w:eastAsia="宋体"/>
                      <w:color w:val="auto"/>
                      <w:lang w:val="en-US" w:eastAsia="zh-CN"/>
                    </w:rPr>
                  </w:pPr>
                  <w:r>
                    <w:rPr>
                      <w:rFonts w:hint="eastAsia"/>
                      <w:color w:val="auto"/>
                      <w:lang w:val="en-US" w:eastAsia="zh-CN"/>
                    </w:rPr>
                    <w:t>9.3</w:t>
                  </w:r>
                </w:p>
              </w:tc>
            </w:tr>
          </w:tbl>
          <w:p>
            <w:pPr>
              <w:adjustRightInd w:val="0"/>
              <w:snapToGrid w:val="0"/>
              <w:ind w:firstLine="380"/>
              <w:rPr>
                <w:rFonts w:ascii="宋体" w:hAnsi="宋体" w:cs="宋体"/>
                <w:bCs/>
                <w:color w:val="auto"/>
                <w:spacing w:val="-10"/>
                <w:szCs w:val="21"/>
              </w:rPr>
            </w:pPr>
          </w:p>
        </w:tc>
      </w:tr>
    </w:tbl>
    <w:p>
      <w:pPr>
        <w:adjustRightInd w:val="0"/>
        <w:snapToGrid w:val="0"/>
        <w:spacing w:line="360" w:lineRule="auto"/>
        <w:ind w:firstLine="562"/>
        <w:rPr>
          <w:rFonts w:hint="eastAsia" w:ascii="宋体" w:cs="宋体"/>
          <w:b/>
          <w:color w:val="auto"/>
          <w:kern w:val="0"/>
          <w:sz w:val="28"/>
          <w:szCs w:val="28"/>
        </w:rPr>
        <w:sectPr>
          <w:pgSz w:w="11907" w:h="16840"/>
          <w:pgMar w:top="1701" w:right="1531" w:bottom="2127" w:left="1531" w:header="851" w:footer="851" w:gutter="0"/>
          <w:cols w:space="720" w:num="1"/>
          <w:docGrid w:linePitch="312" w:charSpace="0"/>
        </w:sectPr>
      </w:pPr>
    </w:p>
    <w:p>
      <w:pPr>
        <w:pStyle w:val="4"/>
        <w:ind w:firstLine="602"/>
        <w:rPr>
          <w:rFonts w:hint="eastAsia"/>
          <w:color w:val="auto"/>
        </w:rPr>
      </w:pPr>
      <w:bookmarkStart w:id="6" w:name="_Toc20378"/>
      <w:r>
        <w:rPr>
          <w:rFonts w:hint="eastAsia"/>
          <w:color w:val="auto"/>
        </w:rPr>
        <w:t>五、</w:t>
      </w:r>
      <w:bookmarkStart w:id="7" w:name="_Hlk54167917"/>
      <w:r>
        <w:rPr>
          <w:rFonts w:hint="eastAsia"/>
          <w:color w:val="auto"/>
        </w:rPr>
        <w:t>环境保护措施监督检查清单</w:t>
      </w:r>
      <w:bookmarkEnd w:id="6"/>
      <w:bookmarkEnd w:id="7"/>
    </w:p>
    <w:tbl>
      <w:tblPr>
        <w:tblStyle w:val="3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1534"/>
        <w:gridCol w:w="1620"/>
        <w:gridCol w:w="2475"/>
        <w:gridCol w:w="20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89" w:type="dxa"/>
            <w:tcBorders>
              <w:tl2br w:val="single" w:color="auto" w:sz="4" w:space="0"/>
            </w:tcBorders>
            <w:noWrap w:val="0"/>
            <w:vAlign w:val="center"/>
          </w:tcPr>
          <w:p>
            <w:pPr>
              <w:pStyle w:val="111"/>
              <w:rPr>
                <w:rFonts w:hint="eastAsia"/>
                <w:color w:val="auto"/>
              </w:rPr>
            </w:pPr>
            <w:r>
              <w:rPr>
                <w:rFonts w:hint="eastAsia"/>
                <w:color w:val="auto"/>
              </w:rPr>
              <w:t>内容</w:t>
            </w:r>
          </w:p>
          <w:p>
            <w:pPr>
              <w:pStyle w:val="111"/>
              <w:rPr>
                <w:rFonts w:hint="eastAsia"/>
                <w:color w:val="auto"/>
              </w:rPr>
            </w:pPr>
            <w:r>
              <w:rPr>
                <w:rFonts w:hint="eastAsia"/>
                <w:color w:val="auto"/>
              </w:rPr>
              <w:t>要素</w:t>
            </w:r>
          </w:p>
        </w:tc>
        <w:tc>
          <w:tcPr>
            <w:tcW w:w="1534" w:type="dxa"/>
            <w:noWrap w:val="0"/>
            <w:vAlign w:val="center"/>
          </w:tcPr>
          <w:p>
            <w:pPr>
              <w:pStyle w:val="111"/>
              <w:rPr>
                <w:rFonts w:hint="eastAsia"/>
                <w:color w:val="auto"/>
              </w:rPr>
            </w:pPr>
            <w:r>
              <w:rPr>
                <w:rFonts w:hint="eastAsia"/>
                <w:color w:val="auto"/>
              </w:rPr>
              <w:t>排放口(编号、</w:t>
            </w:r>
          </w:p>
          <w:p>
            <w:pPr>
              <w:pStyle w:val="111"/>
              <w:rPr>
                <w:rFonts w:hint="eastAsia"/>
                <w:color w:val="auto"/>
              </w:rPr>
            </w:pPr>
            <w:r>
              <w:rPr>
                <w:rFonts w:hint="eastAsia"/>
                <w:color w:val="auto"/>
              </w:rPr>
              <w:t>名称)/污染源</w:t>
            </w:r>
          </w:p>
        </w:tc>
        <w:tc>
          <w:tcPr>
            <w:tcW w:w="1620" w:type="dxa"/>
            <w:noWrap w:val="0"/>
            <w:vAlign w:val="center"/>
          </w:tcPr>
          <w:p>
            <w:pPr>
              <w:pStyle w:val="111"/>
              <w:rPr>
                <w:rFonts w:hint="eastAsia"/>
                <w:color w:val="auto"/>
              </w:rPr>
            </w:pPr>
            <w:r>
              <w:rPr>
                <w:rFonts w:hint="eastAsia"/>
                <w:color w:val="auto"/>
              </w:rPr>
              <w:t>污染物项目</w:t>
            </w:r>
          </w:p>
        </w:tc>
        <w:tc>
          <w:tcPr>
            <w:tcW w:w="2475" w:type="dxa"/>
            <w:noWrap w:val="0"/>
            <w:vAlign w:val="center"/>
          </w:tcPr>
          <w:p>
            <w:pPr>
              <w:pStyle w:val="111"/>
              <w:rPr>
                <w:rFonts w:hint="eastAsia"/>
                <w:color w:val="auto"/>
              </w:rPr>
            </w:pPr>
            <w:r>
              <w:rPr>
                <w:rFonts w:hint="eastAsia"/>
                <w:color w:val="auto"/>
              </w:rPr>
              <w:t>环境保护措施</w:t>
            </w:r>
          </w:p>
        </w:tc>
        <w:tc>
          <w:tcPr>
            <w:tcW w:w="2082" w:type="dxa"/>
            <w:noWrap w:val="0"/>
            <w:vAlign w:val="center"/>
          </w:tcPr>
          <w:p>
            <w:pPr>
              <w:pStyle w:val="111"/>
              <w:rPr>
                <w:rFonts w:hint="eastAsia"/>
                <w:color w:val="auto"/>
              </w:rPr>
            </w:pPr>
            <w:r>
              <w:rPr>
                <w:rFonts w:hint="eastAsia"/>
                <w:color w:val="auto"/>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9" w:type="dxa"/>
            <w:vMerge w:val="restart"/>
            <w:noWrap w:val="0"/>
            <w:vAlign w:val="center"/>
          </w:tcPr>
          <w:p>
            <w:pPr>
              <w:pStyle w:val="111"/>
              <w:rPr>
                <w:rFonts w:hint="eastAsia"/>
                <w:color w:val="auto"/>
              </w:rPr>
            </w:pPr>
            <w:r>
              <w:rPr>
                <w:rFonts w:hint="eastAsia"/>
                <w:color w:val="auto"/>
              </w:rPr>
              <w:t>大气环境</w:t>
            </w:r>
          </w:p>
        </w:tc>
        <w:tc>
          <w:tcPr>
            <w:tcW w:w="1534" w:type="dxa"/>
            <w:noWrap w:val="0"/>
            <w:vAlign w:val="center"/>
          </w:tcPr>
          <w:p>
            <w:pPr>
              <w:pStyle w:val="176"/>
              <w:rPr>
                <w:color w:val="auto"/>
              </w:rPr>
            </w:pPr>
            <w:r>
              <w:rPr>
                <w:rFonts w:hint="eastAsia"/>
                <w:color w:val="auto"/>
              </w:rPr>
              <w:t>医疗废物暂存</w:t>
            </w:r>
          </w:p>
        </w:tc>
        <w:tc>
          <w:tcPr>
            <w:tcW w:w="1620" w:type="dxa"/>
            <w:noWrap w:val="0"/>
            <w:vAlign w:val="center"/>
          </w:tcPr>
          <w:p>
            <w:pPr>
              <w:pStyle w:val="111"/>
              <w:rPr>
                <w:rFonts w:hint="eastAsia"/>
                <w:color w:val="auto"/>
              </w:rPr>
            </w:pPr>
            <w:r>
              <w:rPr>
                <w:rFonts w:hint="eastAsia"/>
                <w:color w:val="auto"/>
              </w:rPr>
              <w:t>异味</w:t>
            </w:r>
          </w:p>
        </w:tc>
        <w:tc>
          <w:tcPr>
            <w:tcW w:w="2475" w:type="dxa"/>
            <w:vMerge w:val="restart"/>
            <w:noWrap w:val="0"/>
            <w:vAlign w:val="center"/>
          </w:tcPr>
          <w:p>
            <w:pPr>
              <w:pStyle w:val="176"/>
              <w:rPr>
                <w:rFonts w:hint="eastAsia"/>
                <w:color w:val="auto"/>
              </w:rPr>
            </w:pPr>
            <w:r>
              <w:rPr>
                <w:rFonts w:hint="eastAsia"/>
                <w:color w:val="auto"/>
                <w:lang w:eastAsia="zh-CN"/>
              </w:rPr>
              <w:t>新风系统</w:t>
            </w:r>
            <w:r>
              <w:rPr>
                <w:rFonts w:hint="eastAsia"/>
                <w:color w:val="auto"/>
                <w:lang w:val="en-US" w:eastAsia="zh-CN"/>
              </w:rPr>
              <w:t>+紫外线等消毒+活性炭处理，</w:t>
            </w:r>
            <w:r>
              <w:rPr>
                <w:rFonts w:hint="eastAsia"/>
                <w:color w:val="auto"/>
              </w:rPr>
              <w:t>日常采用移动式紫外线灯及臭氧消毒机加强对院内环境消毒来降低异味对周边环境的影响，定期清洁，定期开窗通风，加强院内空气流通</w:t>
            </w:r>
          </w:p>
        </w:tc>
        <w:tc>
          <w:tcPr>
            <w:tcW w:w="2082" w:type="dxa"/>
            <w:vMerge w:val="restart"/>
            <w:noWrap w:val="0"/>
            <w:vAlign w:val="center"/>
          </w:tcPr>
          <w:p>
            <w:pPr>
              <w:pStyle w:val="111"/>
              <w:rPr>
                <w:rFonts w:hint="eastAsia"/>
                <w:color w:val="auto"/>
              </w:rPr>
            </w:pPr>
            <w:r>
              <w:rPr>
                <w:rFonts w:hint="eastAsia"/>
                <w:color w:val="auto"/>
              </w:rPr>
              <w:t>《恶臭污染物排放标准》（GB14554-1993）表1</w:t>
            </w:r>
            <w:r>
              <w:rPr>
                <w:rFonts w:hint="eastAsia"/>
                <w:color w:val="auto"/>
                <w:lang w:eastAsia="zh-CN"/>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9" w:type="dxa"/>
            <w:vMerge w:val="continue"/>
            <w:noWrap w:val="0"/>
            <w:vAlign w:val="center"/>
          </w:tcPr>
          <w:p>
            <w:pPr>
              <w:pStyle w:val="111"/>
              <w:rPr>
                <w:rFonts w:hint="eastAsia"/>
                <w:color w:val="auto"/>
              </w:rPr>
            </w:pPr>
          </w:p>
        </w:tc>
        <w:tc>
          <w:tcPr>
            <w:tcW w:w="1534" w:type="dxa"/>
            <w:vMerge w:val="restart"/>
            <w:noWrap w:val="0"/>
            <w:vAlign w:val="center"/>
          </w:tcPr>
          <w:p>
            <w:pPr>
              <w:pStyle w:val="176"/>
              <w:rPr>
                <w:color w:val="auto"/>
              </w:rPr>
            </w:pPr>
            <w:r>
              <w:rPr>
                <w:rFonts w:hint="eastAsia"/>
                <w:color w:val="auto"/>
              </w:rPr>
              <w:t>就诊区域</w:t>
            </w:r>
          </w:p>
        </w:tc>
        <w:tc>
          <w:tcPr>
            <w:tcW w:w="1620" w:type="dxa"/>
            <w:noWrap w:val="0"/>
            <w:vAlign w:val="center"/>
          </w:tcPr>
          <w:p>
            <w:pPr>
              <w:pStyle w:val="111"/>
              <w:rPr>
                <w:rFonts w:hint="eastAsia"/>
                <w:color w:val="auto"/>
              </w:rPr>
            </w:pPr>
            <w:r>
              <w:rPr>
                <w:rFonts w:hint="eastAsia"/>
                <w:color w:val="auto"/>
              </w:rPr>
              <w:t>宠物散发的异味</w:t>
            </w:r>
          </w:p>
        </w:tc>
        <w:tc>
          <w:tcPr>
            <w:tcW w:w="2475" w:type="dxa"/>
            <w:vMerge w:val="continue"/>
            <w:noWrap w:val="0"/>
            <w:vAlign w:val="center"/>
          </w:tcPr>
          <w:p>
            <w:pPr>
              <w:pStyle w:val="176"/>
              <w:rPr>
                <w:rFonts w:hint="eastAsia"/>
                <w:color w:val="auto"/>
              </w:rPr>
            </w:pPr>
          </w:p>
        </w:tc>
        <w:tc>
          <w:tcPr>
            <w:tcW w:w="2082" w:type="dxa"/>
            <w:vMerge w:val="continue"/>
            <w:noWrap w:val="0"/>
            <w:vAlign w:val="center"/>
          </w:tcPr>
          <w:p>
            <w:pPr>
              <w:pStyle w:val="111"/>
              <w:rPr>
                <w:rFonts w:hint="eastAsia"/>
                <w:color w:val="auto"/>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089" w:type="dxa"/>
            <w:vMerge w:val="continue"/>
            <w:noWrap w:val="0"/>
            <w:vAlign w:val="center"/>
          </w:tcPr>
          <w:p>
            <w:pPr>
              <w:pStyle w:val="111"/>
              <w:rPr>
                <w:rFonts w:hint="eastAsia"/>
                <w:color w:val="auto"/>
              </w:rPr>
            </w:pPr>
          </w:p>
        </w:tc>
        <w:tc>
          <w:tcPr>
            <w:tcW w:w="1534" w:type="dxa"/>
            <w:vMerge w:val="continue"/>
            <w:noWrap w:val="0"/>
            <w:vAlign w:val="center"/>
          </w:tcPr>
          <w:p>
            <w:pPr>
              <w:pStyle w:val="176"/>
              <w:rPr>
                <w:color w:val="auto"/>
              </w:rPr>
            </w:pPr>
          </w:p>
        </w:tc>
        <w:tc>
          <w:tcPr>
            <w:tcW w:w="1620" w:type="dxa"/>
            <w:noWrap w:val="0"/>
            <w:vAlign w:val="center"/>
          </w:tcPr>
          <w:p>
            <w:pPr>
              <w:pStyle w:val="111"/>
              <w:rPr>
                <w:rFonts w:hint="eastAsia"/>
                <w:color w:val="auto"/>
              </w:rPr>
            </w:pPr>
            <w:r>
              <w:rPr>
                <w:rFonts w:hint="eastAsia"/>
                <w:color w:val="auto"/>
              </w:rPr>
              <w:t>带菌空气</w:t>
            </w:r>
          </w:p>
        </w:tc>
        <w:tc>
          <w:tcPr>
            <w:tcW w:w="2475" w:type="dxa"/>
            <w:vMerge w:val="continue"/>
            <w:noWrap w:val="0"/>
            <w:vAlign w:val="center"/>
          </w:tcPr>
          <w:p>
            <w:pPr>
              <w:pStyle w:val="176"/>
              <w:rPr>
                <w:rFonts w:hint="eastAsia"/>
                <w:color w:val="auto"/>
              </w:rPr>
            </w:pPr>
          </w:p>
        </w:tc>
        <w:tc>
          <w:tcPr>
            <w:tcW w:w="2082" w:type="dxa"/>
            <w:vMerge w:val="continue"/>
            <w:noWrap w:val="0"/>
            <w:vAlign w:val="center"/>
          </w:tcPr>
          <w:p>
            <w:pPr>
              <w:pStyle w:val="111"/>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089" w:type="dxa"/>
            <w:vMerge w:val="continue"/>
            <w:noWrap w:val="0"/>
            <w:vAlign w:val="center"/>
          </w:tcPr>
          <w:p>
            <w:pPr>
              <w:pStyle w:val="111"/>
              <w:rPr>
                <w:rFonts w:hint="eastAsia"/>
                <w:color w:val="auto"/>
              </w:rPr>
            </w:pPr>
          </w:p>
        </w:tc>
        <w:tc>
          <w:tcPr>
            <w:tcW w:w="1534" w:type="dxa"/>
            <w:noWrap w:val="0"/>
            <w:vAlign w:val="center"/>
          </w:tcPr>
          <w:p>
            <w:pPr>
              <w:pStyle w:val="176"/>
              <w:rPr>
                <w:rFonts w:hint="eastAsia"/>
                <w:color w:val="auto"/>
              </w:rPr>
            </w:pPr>
            <w:r>
              <w:rPr>
                <w:rFonts w:hint="eastAsia"/>
                <w:color w:val="auto"/>
              </w:rPr>
              <w:t>一体化污水处理设施</w:t>
            </w:r>
          </w:p>
        </w:tc>
        <w:tc>
          <w:tcPr>
            <w:tcW w:w="1620" w:type="dxa"/>
            <w:noWrap w:val="0"/>
            <w:vAlign w:val="center"/>
          </w:tcPr>
          <w:p>
            <w:pPr>
              <w:pStyle w:val="111"/>
              <w:rPr>
                <w:rFonts w:hint="eastAsia"/>
                <w:color w:val="auto"/>
              </w:rPr>
            </w:pPr>
            <w:r>
              <w:rPr>
                <w:rFonts w:hint="eastAsia"/>
                <w:color w:val="auto"/>
              </w:rPr>
              <w:t>臭气</w:t>
            </w:r>
          </w:p>
        </w:tc>
        <w:tc>
          <w:tcPr>
            <w:tcW w:w="2475" w:type="dxa"/>
            <w:vMerge w:val="continue"/>
            <w:noWrap w:val="0"/>
            <w:vAlign w:val="center"/>
          </w:tcPr>
          <w:p>
            <w:pPr>
              <w:pStyle w:val="176"/>
              <w:rPr>
                <w:rFonts w:hint="eastAsia"/>
                <w:color w:val="auto"/>
              </w:rPr>
            </w:pPr>
          </w:p>
        </w:tc>
        <w:tc>
          <w:tcPr>
            <w:tcW w:w="2082" w:type="dxa"/>
            <w:vMerge w:val="continue"/>
            <w:noWrap w:val="0"/>
            <w:vAlign w:val="center"/>
          </w:tcPr>
          <w:p>
            <w:pPr>
              <w:pStyle w:val="111"/>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1089" w:type="dxa"/>
            <w:vMerge w:val="restart"/>
            <w:noWrap w:val="0"/>
            <w:vAlign w:val="center"/>
          </w:tcPr>
          <w:p>
            <w:pPr>
              <w:pStyle w:val="111"/>
              <w:rPr>
                <w:rFonts w:hint="eastAsia"/>
                <w:color w:val="auto"/>
              </w:rPr>
            </w:pPr>
            <w:r>
              <w:rPr>
                <w:rFonts w:hint="eastAsia"/>
                <w:color w:val="auto"/>
              </w:rPr>
              <w:t>地表水环境</w:t>
            </w:r>
          </w:p>
        </w:tc>
        <w:tc>
          <w:tcPr>
            <w:tcW w:w="1534" w:type="dxa"/>
            <w:vMerge w:val="restart"/>
            <w:noWrap w:val="0"/>
            <w:vAlign w:val="center"/>
          </w:tcPr>
          <w:p>
            <w:pPr>
              <w:pStyle w:val="111"/>
              <w:rPr>
                <w:rFonts w:hint="eastAsia"/>
                <w:color w:val="auto"/>
              </w:rPr>
            </w:pPr>
            <w:r>
              <w:rPr>
                <w:rFonts w:hint="eastAsia"/>
                <w:color w:val="auto"/>
              </w:rPr>
              <w:t>医院排放口</w:t>
            </w:r>
          </w:p>
        </w:tc>
        <w:tc>
          <w:tcPr>
            <w:tcW w:w="1620" w:type="dxa"/>
            <w:vMerge w:val="restart"/>
            <w:noWrap w:val="0"/>
            <w:vAlign w:val="center"/>
          </w:tcPr>
          <w:p>
            <w:pPr>
              <w:pStyle w:val="111"/>
              <w:rPr>
                <w:rFonts w:hint="eastAsia"/>
                <w:color w:val="auto"/>
              </w:rPr>
            </w:pPr>
            <w:r>
              <w:rPr>
                <w:rFonts w:hint="eastAsia"/>
                <w:color w:val="auto"/>
              </w:rPr>
              <w:t>pH、COD、氨氮、SS、BOD</w:t>
            </w:r>
            <w:r>
              <w:rPr>
                <w:rFonts w:hint="eastAsia"/>
                <w:color w:val="auto"/>
                <w:vertAlign w:val="subscript"/>
              </w:rPr>
              <w:t>5</w:t>
            </w:r>
          </w:p>
        </w:tc>
        <w:tc>
          <w:tcPr>
            <w:tcW w:w="2475" w:type="dxa"/>
            <w:noWrap w:val="0"/>
            <w:vAlign w:val="center"/>
          </w:tcPr>
          <w:p>
            <w:pPr>
              <w:pStyle w:val="176"/>
              <w:rPr>
                <w:rFonts w:hint="eastAsia"/>
                <w:color w:val="auto"/>
              </w:rPr>
            </w:pPr>
            <w:r>
              <w:rPr>
                <w:rFonts w:hint="eastAsia"/>
                <w:color w:val="auto"/>
              </w:rPr>
              <w:t>设置一台一体化污水处理</w:t>
            </w:r>
            <w:r>
              <w:rPr>
                <w:rFonts w:hint="eastAsia"/>
                <w:color w:val="auto"/>
                <w:lang w:eastAsia="zh-CN"/>
              </w:rPr>
              <w:t>器</w:t>
            </w:r>
            <w:r>
              <w:rPr>
                <w:rFonts w:hint="eastAsia"/>
                <w:color w:val="auto"/>
              </w:rPr>
              <w:t>，进行</w:t>
            </w:r>
            <w:r>
              <w:rPr>
                <w:rFonts w:hint="eastAsia"/>
                <w:color w:val="auto"/>
                <w:lang w:eastAsia="zh-CN"/>
              </w:rPr>
              <w:t>过滤沉淀</w:t>
            </w:r>
            <w:r>
              <w:rPr>
                <w:rFonts w:hint="eastAsia"/>
                <w:color w:val="auto"/>
              </w:rPr>
              <w:t>+消毒预处理后同生活污水排入</w:t>
            </w:r>
            <w:r>
              <w:rPr>
                <w:rFonts w:hint="eastAsia"/>
                <w:color w:val="auto"/>
                <w:lang w:eastAsia="zh-CN"/>
              </w:rPr>
              <w:t>邦泰国际社区</w:t>
            </w:r>
            <w:r>
              <w:rPr>
                <w:rFonts w:hint="eastAsia"/>
                <w:color w:val="auto"/>
              </w:rPr>
              <w:t>小区预处理池</w:t>
            </w:r>
          </w:p>
        </w:tc>
        <w:tc>
          <w:tcPr>
            <w:tcW w:w="2082" w:type="dxa"/>
            <w:noWrap w:val="0"/>
            <w:vAlign w:val="center"/>
          </w:tcPr>
          <w:p>
            <w:pPr>
              <w:pStyle w:val="176"/>
              <w:rPr>
                <w:rFonts w:hint="eastAsia"/>
                <w:color w:val="auto"/>
              </w:rPr>
            </w:pPr>
            <w:r>
              <w:rPr>
                <w:rFonts w:hint="eastAsia"/>
                <w:color w:val="auto"/>
              </w:rPr>
              <w:t>《医疗机构水污染物排放标准》(GB18466－2005)</w:t>
            </w:r>
          </w:p>
          <w:p>
            <w:pPr>
              <w:ind w:firstLine="420"/>
              <w:rPr>
                <w:rFonts w:hint="eastAsia"/>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1089" w:type="dxa"/>
            <w:vMerge w:val="continue"/>
            <w:noWrap w:val="0"/>
            <w:vAlign w:val="center"/>
          </w:tcPr>
          <w:p>
            <w:pPr>
              <w:pStyle w:val="111"/>
              <w:rPr>
                <w:rFonts w:hint="eastAsia"/>
                <w:color w:val="auto"/>
              </w:rPr>
            </w:pPr>
          </w:p>
        </w:tc>
        <w:tc>
          <w:tcPr>
            <w:tcW w:w="1534" w:type="dxa"/>
            <w:vMerge w:val="continue"/>
            <w:noWrap w:val="0"/>
            <w:vAlign w:val="center"/>
          </w:tcPr>
          <w:p>
            <w:pPr>
              <w:pStyle w:val="111"/>
              <w:rPr>
                <w:rFonts w:hint="eastAsia"/>
                <w:color w:val="auto"/>
              </w:rPr>
            </w:pPr>
          </w:p>
        </w:tc>
        <w:tc>
          <w:tcPr>
            <w:tcW w:w="1620" w:type="dxa"/>
            <w:vMerge w:val="continue"/>
            <w:noWrap w:val="0"/>
            <w:vAlign w:val="center"/>
          </w:tcPr>
          <w:p>
            <w:pPr>
              <w:pStyle w:val="111"/>
              <w:rPr>
                <w:rFonts w:hint="eastAsia"/>
                <w:color w:val="auto"/>
              </w:rPr>
            </w:pPr>
          </w:p>
        </w:tc>
        <w:tc>
          <w:tcPr>
            <w:tcW w:w="2475" w:type="dxa"/>
            <w:noWrap w:val="0"/>
            <w:vAlign w:val="center"/>
          </w:tcPr>
          <w:p>
            <w:pPr>
              <w:pStyle w:val="176"/>
              <w:rPr>
                <w:rFonts w:hint="eastAsia"/>
                <w:color w:val="auto"/>
              </w:rPr>
            </w:pPr>
            <w:r>
              <w:rPr>
                <w:rFonts w:hint="eastAsia"/>
                <w:color w:val="auto"/>
              </w:rPr>
              <w:t>经管道排入</w:t>
            </w:r>
            <w:r>
              <w:rPr>
                <w:rFonts w:hint="eastAsia"/>
                <w:color w:val="auto"/>
                <w:lang w:eastAsia="zh-CN"/>
              </w:rPr>
              <w:t>邦泰国际社区</w:t>
            </w:r>
            <w:r>
              <w:rPr>
                <w:rFonts w:hint="eastAsia"/>
                <w:color w:val="auto"/>
              </w:rPr>
              <w:t>小区预处理池，处理后排入市政污水管网</w:t>
            </w:r>
          </w:p>
        </w:tc>
        <w:tc>
          <w:tcPr>
            <w:tcW w:w="2082" w:type="dxa"/>
            <w:noWrap w:val="0"/>
            <w:vAlign w:val="center"/>
          </w:tcPr>
          <w:p>
            <w:pPr>
              <w:pStyle w:val="111"/>
              <w:rPr>
                <w:rFonts w:hint="eastAsia"/>
                <w:color w:val="auto"/>
              </w:rPr>
            </w:pPr>
            <w:r>
              <w:rPr>
                <w:rFonts w:hint="eastAsia"/>
                <w:color w:val="auto"/>
              </w:rPr>
              <w:t>《污水综合排放标准》（GB8978- 1998）三级标准</w:t>
            </w:r>
          </w:p>
          <w:p>
            <w:pPr>
              <w:pStyle w:val="111"/>
              <w:rPr>
                <w:rFonts w:hint="eastAsia"/>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1089" w:type="dxa"/>
            <w:noWrap w:val="0"/>
            <w:vAlign w:val="center"/>
          </w:tcPr>
          <w:p>
            <w:pPr>
              <w:pStyle w:val="111"/>
              <w:rPr>
                <w:rFonts w:hint="eastAsia"/>
                <w:color w:val="auto"/>
              </w:rPr>
            </w:pPr>
            <w:r>
              <w:rPr>
                <w:rFonts w:hint="eastAsia"/>
                <w:color w:val="auto"/>
              </w:rPr>
              <w:t>声环境</w:t>
            </w:r>
          </w:p>
        </w:tc>
        <w:tc>
          <w:tcPr>
            <w:tcW w:w="1534" w:type="dxa"/>
            <w:noWrap w:val="0"/>
            <w:vAlign w:val="center"/>
          </w:tcPr>
          <w:p>
            <w:pPr>
              <w:pStyle w:val="111"/>
              <w:rPr>
                <w:rFonts w:hint="eastAsia"/>
                <w:color w:val="auto"/>
              </w:rPr>
            </w:pPr>
            <w:r>
              <w:rPr>
                <w:rFonts w:hint="eastAsia"/>
                <w:color w:val="auto"/>
              </w:rPr>
              <w:t>设备、宠物</w:t>
            </w:r>
          </w:p>
        </w:tc>
        <w:tc>
          <w:tcPr>
            <w:tcW w:w="1620" w:type="dxa"/>
            <w:noWrap w:val="0"/>
            <w:vAlign w:val="center"/>
          </w:tcPr>
          <w:p>
            <w:pPr>
              <w:pStyle w:val="111"/>
              <w:rPr>
                <w:rFonts w:hint="eastAsia"/>
                <w:color w:val="auto"/>
              </w:rPr>
            </w:pPr>
            <w:r>
              <w:rPr>
                <w:rFonts w:hint="eastAsia"/>
                <w:color w:val="auto"/>
              </w:rPr>
              <w:t>噪声</w:t>
            </w:r>
          </w:p>
        </w:tc>
        <w:tc>
          <w:tcPr>
            <w:tcW w:w="2475" w:type="dxa"/>
            <w:noWrap w:val="0"/>
            <w:vAlign w:val="center"/>
          </w:tcPr>
          <w:p>
            <w:pPr>
              <w:pStyle w:val="111"/>
              <w:rPr>
                <w:rFonts w:hint="eastAsia"/>
                <w:color w:val="auto"/>
              </w:rPr>
            </w:pPr>
            <w:r>
              <w:rPr>
                <w:rFonts w:hint="eastAsia"/>
                <w:color w:val="auto"/>
              </w:rPr>
              <w:t>距离衰减、宠物佩戴口罩和住院室采用隔声处理</w:t>
            </w:r>
          </w:p>
        </w:tc>
        <w:tc>
          <w:tcPr>
            <w:tcW w:w="2082" w:type="dxa"/>
            <w:noWrap w:val="0"/>
            <w:vAlign w:val="center"/>
          </w:tcPr>
          <w:p>
            <w:pPr>
              <w:pStyle w:val="111"/>
              <w:rPr>
                <w:rFonts w:hint="eastAsia"/>
                <w:color w:val="auto"/>
              </w:rPr>
            </w:pPr>
            <w:r>
              <w:rPr>
                <w:rFonts w:hint="eastAsia"/>
                <w:color w:val="auto"/>
              </w:rPr>
              <w:t>《工业企业厂界环境噪声排放标准》中2类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089" w:type="dxa"/>
            <w:vMerge w:val="restart"/>
            <w:noWrap w:val="0"/>
            <w:vAlign w:val="center"/>
          </w:tcPr>
          <w:p>
            <w:pPr>
              <w:pStyle w:val="111"/>
              <w:rPr>
                <w:rFonts w:hint="eastAsia"/>
                <w:color w:val="auto"/>
              </w:rPr>
            </w:pPr>
            <w:r>
              <w:rPr>
                <w:rFonts w:hint="eastAsia"/>
                <w:color w:val="auto"/>
              </w:rPr>
              <w:t>固体废物</w:t>
            </w:r>
          </w:p>
        </w:tc>
        <w:tc>
          <w:tcPr>
            <w:tcW w:w="1534" w:type="dxa"/>
            <w:vMerge w:val="restart"/>
            <w:noWrap w:val="0"/>
            <w:vAlign w:val="center"/>
          </w:tcPr>
          <w:p>
            <w:pPr>
              <w:pStyle w:val="111"/>
              <w:rPr>
                <w:rFonts w:hint="eastAsia"/>
                <w:color w:val="auto"/>
              </w:rPr>
            </w:pPr>
            <w:r>
              <w:rPr>
                <w:rFonts w:hint="eastAsia"/>
                <w:color w:val="auto"/>
              </w:rPr>
              <w:t>一般固废</w:t>
            </w:r>
          </w:p>
        </w:tc>
        <w:tc>
          <w:tcPr>
            <w:tcW w:w="1620" w:type="dxa"/>
            <w:noWrap w:val="0"/>
            <w:vAlign w:val="center"/>
          </w:tcPr>
          <w:p>
            <w:pPr>
              <w:pStyle w:val="176"/>
              <w:rPr>
                <w:rFonts w:hint="eastAsia"/>
                <w:color w:val="auto"/>
              </w:rPr>
            </w:pPr>
            <w:r>
              <w:rPr>
                <w:rFonts w:hint="eastAsia"/>
                <w:color w:val="auto"/>
              </w:rPr>
              <w:t>生活垃圾</w:t>
            </w:r>
          </w:p>
        </w:tc>
        <w:tc>
          <w:tcPr>
            <w:tcW w:w="2475" w:type="dxa"/>
            <w:noWrap w:val="0"/>
            <w:vAlign w:val="center"/>
          </w:tcPr>
          <w:p>
            <w:pPr>
              <w:pStyle w:val="176"/>
              <w:rPr>
                <w:rFonts w:hint="eastAsia"/>
                <w:color w:val="auto"/>
              </w:rPr>
            </w:pPr>
            <w:r>
              <w:rPr>
                <w:rFonts w:hint="eastAsia"/>
                <w:color w:val="auto"/>
              </w:rPr>
              <w:t>生活垃圾收集后放置于社区生活垃圾暂存点待环卫部门转运处置</w:t>
            </w:r>
          </w:p>
        </w:tc>
        <w:tc>
          <w:tcPr>
            <w:tcW w:w="2082" w:type="dxa"/>
            <w:vMerge w:val="restart"/>
            <w:noWrap w:val="0"/>
            <w:vAlign w:val="center"/>
          </w:tcPr>
          <w:p>
            <w:pPr>
              <w:pStyle w:val="111"/>
              <w:rPr>
                <w:rFonts w:hint="eastAsia"/>
                <w:color w:val="auto"/>
              </w:rPr>
            </w:pPr>
            <w:r>
              <w:rPr>
                <w:rFonts w:hint="eastAsia"/>
                <w:color w:val="auto"/>
              </w:rPr>
              <w:t>《一般工业固体废物贮存和填埋污染控制标准》（GB18599-2020）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089" w:type="dxa"/>
            <w:vMerge w:val="continue"/>
            <w:noWrap w:val="0"/>
            <w:vAlign w:val="center"/>
          </w:tcPr>
          <w:p>
            <w:pPr>
              <w:pStyle w:val="111"/>
              <w:rPr>
                <w:rFonts w:hint="eastAsia"/>
                <w:color w:val="auto"/>
              </w:rPr>
            </w:pPr>
          </w:p>
        </w:tc>
        <w:tc>
          <w:tcPr>
            <w:tcW w:w="1534" w:type="dxa"/>
            <w:vMerge w:val="continue"/>
            <w:noWrap w:val="0"/>
            <w:vAlign w:val="center"/>
          </w:tcPr>
          <w:p>
            <w:pPr>
              <w:pStyle w:val="111"/>
              <w:rPr>
                <w:rFonts w:hint="eastAsia"/>
                <w:color w:val="auto"/>
              </w:rPr>
            </w:pPr>
          </w:p>
        </w:tc>
        <w:tc>
          <w:tcPr>
            <w:tcW w:w="1620" w:type="dxa"/>
            <w:noWrap w:val="0"/>
            <w:vAlign w:val="center"/>
          </w:tcPr>
          <w:p>
            <w:pPr>
              <w:pStyle w:val="176"/>
              <w:rPr>
                <w:rFonts w:hint="eastAsia" w:eastAsia="宋体"/>
                <w:color w:val="auto"/>
                <w:lang w:eastAsia="zh-CN"/>
              </w:rPr>
            </w:pPr>
            <w:r>
              <w:rPr>
                <w:rFonts w:hint="eastAsia"/>
                <w:color w:val="auto"/>
              </w:rPr>
              <w:t>宠物粪便</w:t>
            </w:r>
            <w:r>
              <w:rPr>
                <w:rFonts w:hint="eastAsia"/>
                <w:color w:val="auto"/>
                <w:lang w:eastAsia="zh-CN"/>
              </w:rPr>
              <w:t>及垫料</w:t>
            </w:r>
          </w:p>
        </w:tc>
        <w:tc>
          <w:tcPr>
            <w:tcW w:w="2475" w:type="dxa"/>
            <w:vMerge w:val="restart"/>
            <w:noWrap w:val="0"/>
            <w:vAlign w:val="center"/>
          </w:tcPr>
          <w:p>
            <w:pPr>
              <w:pStyle w:val="176"/>
              <w:rPr>
                <w:rFonts w:hint="eastAsia"/>
                <w:color w:val="auto"/>
              </w:rPr>
            </w:pPr>
            <w:r>
              <w:rPr>
                <w:rFonts w:hint="eastAsia"/>
                <w:color w:val="auto"/>
              </w:rPr>
              <w:t>宠物毛发</w:t>
            </w:r>
            <w:r>
              <w:rPr>
                <w:rFonts w:hint="eastAsia"/>
                <w:color w:val="auto"/>
                <w:lang w:eastAsia="zh-CN"/>
              </w:rPr>
              <w:t>、宠物</w:t>
            </w:r>
            <w:r>
              <w:rPr>
                <w:rFonts w:hint="eastAsia"/>
                <w:color w:val="auto"/>
              </w:rPr>
              <w:t>粪便</w:t>
            </w:r>
            <w:r>
              <w:rPr>
                <w:rFonts w:hint="eastAsia"/>
                <w:color w:val="auto"/>
                <w:lang w:eastAsia="zh-CN"/>
              </w:rPr>
              <w:t>及垫料</w:t>
            </w:r>
            <w:r>
              <w:rPr>
                <w:rFonts w:hint="eastAsia"/>
                <w:color w:val="auto"/>
              </w:rPr>
              <w:t>集中收集，喷洒消毒剂后同生活垃圾交由市环卫部门统一收集清运和处理</w:t>
            </w:r>
          </w:p>
        </w:tc>
        <w:tc>
          <w:tcPr>
            <w:tcW w:w="2082" w:type="dxa"/>
            <w:vMerge w:val="continue"/>
            <w:noWrap w:val="0"/>
            <w:vAlign w:val="center"/>
          </w:tcPr>
          <w:p>
            <w:pPr>
              <w:pStyle w:val="111"/>
              <w:rPr>
                <w:rFonts w:hint="eastAsia"/>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089" w:type="dxa"/>
            <w:vMerge w:val="continue"/>
            <w:noWrap w:val="0"/>
            <w:vAlign w:val="center"/>
          </w:tcPr>
          <w:p>
            <w:pPr>
              <w:pStyle w:val="111"/>
              <w:rPr>
                <w:rFonts w:hint="eastAsia"/>
                <w:color w:val="auto"/>
              </w:rPr>
            </w:pPr>
          </w:p>
        </w:tc>
        <w:tc>
          <w:tcPr>
            <w:tcW w:w="1534" w:type="dxa"/>
            <w:vMerge w:val="continue"/>
            <w:noWrap w:val="0"/>
            <w:vAlign w:val="center"/>
          </w:tcPr>
          <w:p>
            <w:pPr>
              <w:pStyle w:val="111"/>
              <w:rPr>
                <w:rFonts w:hint="eastAsia"/>
                <w:color w:val="auto"/>
              </w:rPr>
            </w:pPr>
          </w:p>
        </w:tc>
        <w:tc>
          <w:tcPr>
            <w:tcW w:w="1620" w:type="dxa"/>
            <w:noWrap w:val="0"/>
            <w:vAlign w:val="center"/>
          </w:tcPr>
          <w:p>
            <w:pPr>
              <w:pStyle w:val="176"/>
              <w:rPr>
                <w:rFonts w:hint="eastAsia"/>
                <w:color w:val="auto"/>
              </w:rPr>
            </w:pPr>
            <w:r>
              <w:rPr>
                <w:rFonts w:hint="eastAsia"/>
                <w:color w:val="auto"/>
              </w:rPr>
              <w:t>宠物毛发</w:t>
            </w:r>
          </w:p>
        </w:tc>
        <w:tc>
          <w:tcPr>
            <w:tcW w:w="2475" w:type="dxa"/>
            <w:vMerge w:val="continue"/>
            <w:noWrap w:val="0"/>
            <w:vAlign w:val="center"/>
          </w:tcPr>
          <w:p>
            <w:pPr>
              <w:pStyle w:val="176"/>
              <w:rPr>
                <w:rFonts w:hint="eastAsia"/>
                <w:color w:val="auto"/>
              </w:rPr>
            </w:pPr>
          </w:p>
        </w:tc>
        <w:tc>
          <w:tcPr>
            <w:tcW w:w="2082" w:type="dxa"/>
            <w:vMerge w:val="continue"/>
            <w:noWrap w:val="0"/>
            <w:vAlign w:val="center"/>
          </w:tcPr>
          <w:p>
            <w:pPr>
              <w:pStyle w:val="111"/>
              <w:rPr>
                <w:rFonts w:hint="eastAsia"/>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089" w:type="dxa"/>
            <w:vMerge w:val="continue"/>
            <w:noWrap w:val="0"/>
            <w:vAlign w:val="center"/>
          </w:tcPr>
          <w:p>
            <w:pPr>
              <w:pStyle w:val="111"/>
              <w:rPr>
                <w:rFonts w:hint="eastAsia"/>
                <w:color w:val="auto"/>
              </w:rPr>
            </w:pPr>
          </w:p>
        </w:tc>
        <w:tc>
          <w:tcPr>
            <w:tcW w:w="1534" w:type="dxa"/>
            <w:vMerge w:val="continue"/>
            <w:noWrap w:val="0"/>
            <w:vAlign w:val="center"/>
          </w:tcPr>
          <w:p>
            <w:pPr>
              <w:pStyle w:val="111"/>
              <w:rPr>
                <w:rFonts w:hint="eastAsia"/>
                <w:color w:val="auto"/>
              </w:rPr>
            </w:pPr>
          </w:p>
        </w:tc>
        <w:tc>
          <w:tcPr>
            <w:tcW w:w="1620" w:type="dxa"/>
            <w:noWrap w:val="0"/>
            <w:vAlign w:val="center"/>
          </w:tcPr>
          <w:p>
            <w:pPr>
              <w:pStyle w:val="176"/>
              <w:rPr>
                <w:rFonts w:hint="eastAsia" w:eastAsia="宋体"/>
                <w:color w:val="auto"/>
                <w:lang w:eastAsia="zh-CN"/>
              </w:rPr>
            </w:pPr>
            <w:r>
              <w:rPr>
                <w:rFonts w:hint="eastAsia"/>
                <w:color w:val="auto"/>
                <w:lang w:eastAsia="zh-CN"/>
              </w:rPr>
              <w:t>废外包材</w:t>
            </w:r>
          </w:p>
        </w:tc>
        <w:tc>
          <w:tcPr>
            <w:tcW w:w="2475" w:type="dxa"/>
            <w:noWrap w:val="0"/>
            <w:vAlign w:val="center"/>
          </w:tcPr>
          <w:p>
            <w:pPr>
              <w:pStyle w:val="176"/>
              <w:rPr>
                <w:rFonts w:hint="eastAsia"/>
                <w:color w:val="auto"/>
              </w:rPr>
            </w:pPr>
            <w:r>
              <w:rPr>
                <w:rFonts w:hint="eastAsia"/>
                <w:color w:val="auto"/>
                <w:lang w:val="en-US" w:eastAsia="zh-CN"/>
              </w:rPr>
              <w:t>废外包材集中收集后定期外售废品收购站</w:t>
            </w:r>
          </w:p>
        </w:tc>
        <w:tc>
          <w:tcPr>
            <w:tcW w:w="2082" w:type="dxa"/>
            <w:vMerge w:val="continue"/>
            <w:noWrap w:val="0"/>
            <w:vAlign w:val="center"/>
          </w:tcPr>
          <w:p>
            <w:pPr>
              <w:pStyle w:val="111"/>
              <w:rPr>
                <w:rFonts w:hint="eastAsia"/>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1089" w:type="dxa"/>
            <w:vMerge w:val="continue"/>
            <w:noWrap w:val="0"/>
            <w:vAlign w:val="center"/>
          </w:tcPr>
          <w:p>
            <w:pPr>
              <w:pStyle w:val="111"/>
              <w:rPr>
                <w:rFonts w:hint="eastAsia"/>
                <w:color w:val="auto"/>
              </w:rPr>
            </w:pPr>
          </w:p>
        </w:tc>
        <w:tc>
          <w:tcPr>
            <w:tcW w:w="1534" w:type="dxa"/>
            <w:vMerge w:val="continue"/>
            <w:noWrap w:val="0"/>
            <w:vAlign w:val="center"/>
          </w:tcPr>
          <w:p>
            <w:pPr>
              <w:pStyle w:val="111"/>
              <w:rPr>
                <w:rFonts w:hint="eastAsia"/>
                <w:color w:val="auto"/>
              </w:rPr>
            </w:pPr>
          </w:p>
        </w:tc>
        <w:tc>
          <w:tcPr>
            <w:tcW w:w="1620" w:type="dxa"/>
            <w:noWrap w:val="0"/>
            <w:vAlign w:val="center"/>
          </w:tcPr>
          <w:p>
            <w:pPr>
              <w:pStyle w:val="176"/>
              <w:rPr>
                <w:rFonts w:hint="eastAsia"/>
                <w:color w:val="auto"/>
                <w:lang w:eastAsia="zh-CN"/>
              </w:rPr>
            </w:pPr>
            <w:r>
              <w:rPr>
                <w:rFonts w:hint="eastAsia"/>
                <w:color w:val="auto"/>
                <w:lang w:eastAsia="zh-CN"/>
              </w:rPr>
              <w:t>废活性炭</w:t>
            </w:r>
          </w:p>
        </w:tc>
        <w:tc>
          <w:tcPr>
            <w:tcW w:w="2475" w:type="dxa"/>
            <w:noWrap w:val="0"/>
            <w:vAlign w:val="center"/>
          </w:tcPr>
          <w:p>
            <w:pPr>
              <w:pStyle w:val="176"/>
              <w:rPr>
                <w:rFonts w:hint="eastAsia"/>
                <w:color w:val="auto"/>
                <w:lang w:val="en-US" w:eastAsia="zh-CN"/>
              </w:rPr>
            </w:pPr>
            <w:r>
              <w:rPr>
                <w:rFonts w:hint="eastAsia"/>
                <w:color w:val="auto"/>
                <w:lang w:val="en-US" w:eastAsia="zh-CN"/>
              </w:rPr>
              <w:t>收集后放置于社区垃圾暂存点待环卫部门转运处置</w:t>
            </w:r>
          </w:p>
        </w:tc>
        <w:tc>
          <w:tcPr>
            <w:tcW w:w="2082" w:type="dxa"/>
            <w:vMerge w:val="continue"/>
            <w:noWrap w:val="0"/>
            <w:vAlign w:val="center"/>
          </w:tcPr>
          <w:p>
            <w:pPr>
              <w:pStyle w:val="111"/>
              <w:rPr>
                <w:rFonts w:hint="eastAsia"/>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1089" w:type="dxa"/>
            <w:vMerge w:val="continue"/>
            <w:noWrap w:val="0"/>
            <w:vAlign w:val="center"/>
          </w:tcPr>
          <w:p>
            <w:pPr>
              <w:pStyle w:val="111"/>
              <w:rPr>
                <w:rFonts w:hint="eastAsia"/>
                <w:color w:val="auto"/>
              </w:rPr>
            </w:pPr>
          </w:p>
        </w:tc>
        <w:tc>
          <w:tcPr>
            <w:tcW w:w="1534" w:type="dxa"/>
            <w:vMerge w:val="restart"/>
            <w:noWrap w:val="0"/>
            <w:vAlign w:val="center"/>
          </w:tcPr>
          <w:p>
            <w:pPr>
              <w:pStyle w:val="111"/>
              <w:rPr>
                <w:rFonts w:hint="eastAsia"/>
                <w:color w:val="auto"/>
              </w:rPr>
            </w:pPr>
            <w:r>
              <w:rPr>
                <w:rFonts w:hint="eastAsia"/>
                <w:color w:val="auto"/>
              </w:rPr>
              <w:t>危险废物</w:t>
            </w:r>
          </w:p>
        </w:tc>
        <w:tc>
          <w:tcPr>
            <w:tcW w:w="1620" w:type="dxa"/>
            <w:noWrap w:val="0"/>
            <w:vAlign w:val="center"/>
          </w:tcPr>
          <w:p>
            <w:pPr>
              <w:pStyle w:val="176"/>
              <w:rPr>
                <w:rFonts w:hint="eastAsia"/>
                <w:color w:val="auto"/>
              </w:rPr>
            </w:pPr>
            <w:r>
              <w:rPr>
                <w:rFonts w:hint="eastAsia"/>
                <w:color w:val="auto"/>
              </w:rPr>
              <w:t>宠物尸体</w:t>
            </w:r>
          </w:p>
        </w:tc>
        <w:tc>
          <w:tcPr>
            <w:tcW w:w="2475" w:type="dxa"/>
            <w:noWrap w:val="0"/>
            <w:vAlign w:val="center"/>
          </w:tcPr>
          <w:p>
            <w:pPr>
              <w:pStyle w:val="176"/>
              <w:rPr>
                <w:rFonts w:hint="eastAsia"/>
                <w:color w:val="auto"/>
              </w:rPr>
            </w:pPr>
            <w:r>
              <w:rPr>
                <w:rFonts w:hint="eastAsia"/>
                <w:color w:val="auto"/>
                <w:lang w:eastAsia="zh-CN"/>
              </w:rPr>
              <w:t>宠物尸体</w:t>
            </w:r>
            <w:r>
              <w:rPr>
                <w:rFonts w:hint="eastAsia"/>
                <w:color w:val="auto"/>
                <w:lang w:val="en-US" w:eastAsia="zh-CN"/>
              </w:rPr>
              <w:t>喷洒消毒液或洒生石灰消毒密封后暂存于处置室设置的冰箱内，交由资质单位进行无害化处置</w:t>
            </w:r>
            <w:r>
              <w:rPr>
                <w:rFonts w:hint="eastAsia"/>
                <w:color w:val="auto"/>
              </w:rPr>
              <w:t>。</w:t>
            </w:r>
          </w:p>
        </w:tc>
        <w:tc>
          <w:tcPr>
            <w:tcW w:w="2082" w:type="dxa"/>
            <w:vMerge w:val="restart"/>
            <w:noWrap w:val="0"/>
            <w:vAlign w:val="center"/>
          </w:tcPr>
          <w:p>
            <w:pPr>
              <w:pStyle w:val="111"/>
              <w:rPr>
                <w:rStyle w:val="46"/>
                <w:color w:val="auto"/>
                <w:kern w:val="0"/>
              </w:rPr>
            </w:pPr>
            <w:r>
              <w:rPr>
                <w:rFonts w:hint="eastAsia"/>
                <w:color w:val="auto"/>
              </w:rPr>
              <w:t>《危险废物贮存污染物控制标准》</w:t>
            </w:r>
            <w:r>
              <w:rPr>
                <w:color w:val="auto"/>
              </w:rPr>
              <w:t>（GB18597-2001）</w:t>
            </w:r>
            <w:r>
              <w:rPr>
                <w:rStyle w:val="46"/>
                <w:rFonts w:hint="eastAsia"/>
                <w:color w:val="auto"/>
                <w:kern w:val="0"/>
              </w:rPr>
              <w:t>及其修改单。</w:t>
            </w:r>
          </w:p>
          <w:p>
            <w:pPr>
              <w:pStyle w:val="111"/>
              <w:rPr>
                <w:rFonts w:hint="eastAsia"/>
                <w:b/>
                <w:bCs/>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089" w:type="dxa"/>
            <w:vMerge w:val="continue"/>
            <w:noWrap w:val="0"/>
            <w:vAlign w:val="center"/>
          </w:tcPr>
          <w:p>
            <w:pPr>
              <w:pStyle w:val="111"/>
              <w:rPr>
                <w:rFonts w:hint="eastAsia"/>
                <w:color w:val="auto"/>
              </w:rPr>
            </w:pPr>
          </w:p>
        </w:tc>
        <w:tc>
          <w:tcPr>
            <w:tcW w:w="1534" w:type="dxa"/>
            <w:vMerge w:val="continue"/>
            <w:noWrap w:val="0"/>
            <w:vAlign w:val="center"/>
          </w:tcPr>
          <w:p>
            <w:pPr>
              <w:pStyle w:val="111"/>
              <w:rPr>
                <w:rFonts w:hint="eastAsia"/>
                <w:color w:val="auto"/>
              </w:rPr>
            </w:pPr>
          </w:p>
        </w:tc>
        <w:tc>
          <w:tcPr>
            <w:tcW w:w="1620" w:type="dxa"/>
            <w:noWrap w:val="0"/>
            <w:vAlign w:val="center"/>
          </w:tcPr>
          <w:p>
            <w:pPr>
              <w:pStyle w:val="176"/>
              <w:rPr>
                <w:rFonts w:hint="eastAsia"/>
                <w:color w:val="auto"/>
              </w:rPr>
            </w:pPr>
            <w:r>
              <w:rPr>
                <w:rFonts w:hint="eastAsia"/>
                <w:color w:val="auto"/>
              </w:rPr>
              <w:t>医疗废物</w:t>
            </w:r>
          </w:p>
        </w:tc>
        <w:tc>
          <w:tcPr>
            <w:tcW w:w="2475" w:type="dxa"/>
            <w:noWrap w:val="0"/>
            <w:vAlign w:val="center"/>
          </w:tcPr>
          <w:p>
            <w:pPr>
              <w:pStyle w:val="176"/>
              <w:rPr>
                <w:rFonts w:hint="eastAsia"/>
                <w:color w:val="auto"/>
              </w:rPr>
            </w:pPr>
            <w:r>
              <w:rPr>
                <w:rFonts w:hint="eastAsia"/>
                <w:color w:val="auto"/>
              </w:rPr>
              <w:t>分类收集，暂存于医疗废物暂存间，定期交由资质单位处置</w:t>
            </w:r>
          </w:p>
        </w:tc>
        <w:tc>
          <w:tcPr>
            <w:tcW w:w="2082" w:type="dxa"/>
            <w:vMerge w:val="continue"/>
            <w:noWrap w:val="0"/>
            <w:vAlign w:val="center"/>
          </w:tcPr>
          <w:p>
            <w:pPr>
              <w:pStyle w:val="111"/>
              <w:rPr>
                <w:rFonts w:hint="eastAsia"/>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089" w:type="dxa"/>
            <w:vMerge w:val="continue"/>
            <w:noWrap w:val="0"/>
            <w:vAlign w:val="center"/>
          </w:tcPr>
          <w:p>
            <w:pPr>
              <w:pStyle w:val="111"/>
              <w:rPr>
                <w:rFonts w:hint="eastAsia"/>
                <w:color w:val="auto"/>
              </w:rPr>
            </w:pPr>
          </w:p>
        </w:tc>
        <w:tc>
          <w:tcPr>
            <w:tcW w:w="1534" w:type="dxa"/>
            <w:vMerge w:val="continue"/>
            <w:noWrap w:val="0"/>
            <w:vAlign w:val="center"/>
          </w:tcPr>
          <w:p>
            <w:pPr>
              <w:pStyle w:val="111"/>
              <w:rPr>
                <w:rFonts w:hint="eastAsia"/>
                <w:color w:val="auto"/>
              </w:rPr>
            </w:pPr>
          </w:p>
        </w:tc>
        <w:tc>
          <w:tcPr>
            <w:tcW w:w="1620" w:type="dxa"/>
            <w:noWrap w:val="0"/>
            <w:vAlign w:val="center"/>
          </w:tcPr>
          <w:p>
            <w:pPr>
              <w:pStyle w:val="176"/>
              <w:rPr>
                <w:rFonts w:hint="eastAsia"/>
                <w:color w:val="auto"/>
              </w:rPr>
            </w:pPr>
            <w:r>
              <w:rPr>
                <w:rFonts w:hint="eastAsia"/>
                <w:color w:val="auto"/>
              </w:rPr>
              <w:t>废紫外线灯管</w:t>
            </w:r>
          </w:p>
        </w:tc>
        <w:tc>
          <w:tcPr>
            <w:tcW w:w="2475" w:type="dxa"/>
            <w:vMerge w:val="restart"/>
            <w:noWrap w:val="0"/>
            <w:vAlign w:val="center"/>
          </w:tcPr>
          <w:p>
            <w:pPr>
              <w:pStyle w:val="176"/>
              <w:rPr>
                <w:rFonts w:hint="eastAsia"/>
                <w:color w:val="auto"/>
              </w:rPr>
            </w:pPr>
            <w:r>
              <w:rPr>
                <w:rFonts w:hint="eastAsia"/>
                <w:color w:val="auto"/>
                <w:lang w:eastAsia="zh-CN"/>
              </w:rPr>
              <w:t>分类</w:t>
            </w:r>
            <w:r>
              <w:rPr>
                <w:rFonts w:hint="eastAsia"/>
                <w:color w:val="auto"/>
              </w:rPr>
              <w:t>收集后暂存于医疗废物暂存间，定期交由资质单位处置</w:t>
            </w:r>
          </w:p>
        </w:tc>
        <w:tc>
          <w:tcPr>
            <w:tcW w:w="2082" w:type="dxa"/>
            <w:vMerge w:val="continue"/>
            <w:noWrap w:val="0"/>
            <w:vAlign w:val="center"/>
          </w:tcPr>
          <w:p>
            <w:pPr>
              <w:pStyle w:val="111"/>
              <w:rPr>
                <w:rFonts w:hint="eastAsia"/>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089" w:type="dxa"/>
            <w:vMerge w:val="continue"/>
            <w:noWrap w:val="0"/>
            <w:vAlign w:val="center"/>
          </w:tcPr>
          <w:p>
            <w:pPr>
              <w:pStyle w:val="111"/>
              <w:rPr>
                <w:rFonts w:hint="eastAsia"/>
                <w:color w:val="auto"/>
              </w:rPr>
            </w:pPr>
          </w:p>
        </w:tc>
        <w:tc>
          <w:tcPr>
            <w:tcW w:w="1534" w:type="dxa"/>
            <w:vMerge w:val="continue"/>
            <w:noWrap w:val="0"/>
            <w:vAlign w:val="center"/>
          </w:tcPr>
          <w:p>
            <w:pPr>
              <w:pStyle w:val="111"/>
              <w:rPr>
                <w:rFonts w:hint="eastAsia"/>
                <w:color w:val="auto"/>
              </w:rPr>
            </w:pPr>
          </w:p>
        </w:tc>
        <w:tc>
          <w:tcPr>
            <w:tcW w:w="1620" w:type="dxa"/>
            <w:noWrap w:val="0"/>
            <w:vAlign w:val="center"/>
          </w:tcPr>
          <w:p>
            <w:pPr>
              <w:pStyle w:val="176"/>
              <w:rPr>
                <w:rFonts w:hint="eastAsia" w:eastAsia="宋体"/>
                <w:color w:val="auto"/>
                <w:lang w:eastAsia="zh-CN"/>
              </w:rPr>
            </w:pPr>
            <w:r>
              <w:rPr>
                <w:rFonts w:hint="eastAsia"/>
                <w:color w:val="auto"/>
                <w:lang w:eastAsia="zh-CN"/>
              </w:rPr>
              <w:t>污水处理器污泥</w:t>
            </w:r>
          </w:p>
        </w:tc>
        <w:tc>
          <w:tcPr>
            <w:tcW w:w="2475" w:type="dxa"/>
            <w:vMerge w:val="continue"/>
            <w:noWrap w:val="0"/>
            <w:vAlign w:val="center"/>
          </w:tcPr>
          <w:p>
            <w:pPr>
              <w:pStyle w:val="176"/>
              <w:rPr>
                <w:rFonts w:hint="eastAsia"/>
                <w:color w:val="auto"/>
              </w:rPr>
            </w:pPr>
          </w:p>
        </w:tc>
        <w:tc>
          <w:tcPr>
            <w:tcW w:w="2082" w:type="dxa"/>
            <w:vMerge w:val="continue"/>
            <w:noWrap w:val="0"/>
            <w:vAlign w:val="center"/>
          </w:tcPr>
          <w:p>
            <w:pPr>
              <w:pStyle w:val="111"/>
              <w:rPr>
                <w:rFonts w:hint="eastAsia"/>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089" w:type="dxa"/>
            <w:noWrap w:val="0"/>
            <w:vAlign w:val="center"/>
          </w:tcPr>
          <w:p>
            <w:pPr>
              <w:pStyle w:val="111"/>
              <w:rPr>
                <w:rFonts w:hint="eastAsia"/>
                <w:color w:val="auto"/>
              </w:rPr>
            </w:pPr>
            <w:r>
              <w:rPr>
                <w:rFonts w:hint="eastAsia"/>
                <w:color w:val="auto"/>
              </w:rPr>
              <w:t>土壤及地下水污染防治措施</w:t>
            </w:r>
          </w:p>
        </w:tc>
        <w:tc>
          <w:tcPr>
            <w:tcW w:w="7711" w:type="dxa"/>
            <w:gridSpan w:val="4"/>
            <w:noWrap w:val="0"/>
            <w:vAlign w:val="center"/>
          </w:tcPr>
          <w:p>
            <w:pPr>
              <w:ind w:firstLine="0" w:firstLineChars="0"/>
              <w:rPr>
                <w:rFonts w:hint="eastAsia"/>
                <w:color w:val="auto"/>
              </w:rPr>
            </w:pPr>
            <w:r>
              <w:rPr>
                <w:rFonts w:hint="eastAsia"/>
                <w:color w:val="auto"/>
              </w:rPr>
              <w:t>分区防渗：</w:t>
            </w:r>
            <w:r>
              <w:rPr>
                <w:rFonts w:hint="eastAsia"/>
                <w:b/>
                <w:bCs/>
                <w:color w:val="auto"/>
              </w:rPr>
              <w:t>一般防渗区</w:t>
            </w:r>
            <w:r>
              <w:rPr>
                <w:rFonts w:hint="eastAsia"/>
                <w:color w:val="auto"/>
              </w:rPr>
              <w:t>利用现有防渗措施；</w:t>
            </w:r>
            <w:r>
              <w:rPr>
                <w:rFonts w:hint="eastAsia"/>
                <w:b/>
                <w:bCs/>
                <w:color w:val="auto"/>
              </w:rPr>
              <w:t>重点防渗区</w:t>
            </w:r>
            <w:r>
              <w:rPr>
                <w:rFonts w:hint="eastAsia"/>
                <w:color w:val="auto"/>
              </w:rPr>
              <w:t>包括医疗废物暂存间、污水处理设施所在位置，医疗废物暂存间：防渗混凝土地面+2mm 厚环氧树脂地坪漆+不锈钢金属托盘；污水处理器所在区域：利用现有防渗措施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089" w:type="dxa"/>
            <w:noWrap w:val="0"/>
            <w:vAlign w:val="center"/>
          </w:tcPr>
          <w:p>
            <w:pPr>
              <w:pStyle w:val="111"/>
              <w:rPr>
                <w:rFonts w:hint="eastAsia"/>
                <w:color w:val="auto"/>
              </w:rPr>
            </w:pPr>
            <w:r>
              <w:rPr>
                <w:rFonts w:hint="eastAsia"/>
                <w:color w:val="auto"/>
              </w:rPr>
              <w:t>生态保护措施</w:t>
            </w:r>
          </w:p>
        </w:tc>
        <w:tc>
          <w:tcPr>
            <w:tcW w:w="7711" w:type="dxa"/>
            <w:gridSpan w:val="4"/>
            <w:noWrap w:val="0"/>
            <w:vAlign w:val="center"/>
          </w:tcPr>
          <w:p>
            <w:pPr>
              <w:pStyle w:val="124"/>
              <w:jc w:val="left"/>
              <w:rPr>
                <w:rFonts w:hint="eastAsia"/>
                <w:color w:val="auto"/>
              </w:rPr>
            </w:pPr>
            <w:r>
              <w:rPr>
                <w:rFonts w:hint="eastAsia"/>
                <w:color w:val="auto"/>
              </w:rPr>
              <w:t>项目所在地为城市环境，生态环境受人类活动影响显著，无珍稀动植物，区域内无自然保护区、风景名胜区等生态敏感区分布。项目各类污染物在采取有效的环保措施后均能做到达标排放。因此，不会对区域生态环境产生不良影响，无须特殊的生态保护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089" w:type="dxa"/>
            <w:noWrap w:val="0"/>
            <w:vAlign w:val="center"/>
          </w:tcPr>
          <w:p>
            <w:pPr>
              <w:pStyle w:val="111"/>
              <w:rPr>
                <w:color w:val="auto"/>
              </w:rPr>
            </w:pPr>
            <w:r>
              <w:rPr>
                <w:rFonts w:hint="eastAsia"/>
                <w:color w:val="auto"/>
              </w:rPr>
              <w:t>环境风险</w:t>
            </w:r>
          </w:p>
          <w:p>
            <w:pPr>
              <w:pStyle w:val="111"/>
              <w:rPr>
                <w:rFonts w:hint="eastAsia"/>
                <w:color w:val="auto"/>
              </w:rPr>
            </w:pPr>
            <w:r>
              <w:rPr>
                <w:rFonts w:hint="eastAsia"/>
                <w:color w:val="auto"/>
              </w:rPr>
              <w:t>防范措施</w:t>
            </w:r>
          </w:p>
        </w:tc>
        <w:tc>
          <w:tcPr>
            <w:tcW w:w="7711" w:type="dxa"/>
            <w:gridSpan w:val="4"/>
            <w:noWrap w:val="0"/>
            <w:vAlign w:val="center"/>
          </w:tcPr>
          <w:p>
            <w:pPr>
              <w:pStyle w:val="176"/>
              <w:jc w:val="left"/>
              <w:rPr>
                <w:rFonts w:hint="eastAsia"/>
                <w:color w:val="auto"/>
              </w:rPr>
            </w:pPr>
            <w:r>
              <w:rPr>
                <w:rFonts w:hint="eastAsia"/>
                <w:b/>
                <w:bCs/>
                <w:color w:val="auto"/>
              </w:rPr>
              <w:t>加强对化学品管理：</w:t>
            </w:r>
            <w:r>
              <w:rPr>
                <w:rFonts w:hint="eastAsia"/>
                <w:color w:val="auto"/>
              </w:rPr>
              <w:t xml:space="preserve"> </w:t>
            </w:r>
          </w:p>
          <w:p>
            <w:pPr>
              <w:pStyle w:val="176"/>
              <w:jc w:val="left"/>
              <w:rPr>
                <w:rFonts w:hint="eastAsia"/>
                <w:color w:val="auto"/>
              </w:rPr>
            </w:pPr>
            <w:r>
              <w:rPr>
                <w:rFonts w:hint="eastAsia"/>
                <w:color w:val="auto"/>
              </w:rPr>
              <w:t xml:space="preserve">对于化学品的购买、储存、保管、使用等需要按照《危险化学品安全管理条例》的规定管理，化学品出入库，必须进行核查登记，并定期监测库存。做好化学品的存储及使用的安全防范措施，具体如下： </w:t>
            </w:r>
          </w:p>
          <w:p>
            <w:pPr>
              <w:pStyle w:val="176"/>
              <w:jc w:val="left"/>
              <w:rPr>
                <w:rFonts w:hint="eastAsia"/>
                <w:color w:val="auto"/>
              </w:rPr>
            </w:pPr>
            <w:r>
              <w:rPr>
                <w:rFonts w:hint="eastAsia"/>
                <w:color w:val="auto"/>
              </w:rPr>
              <w:t xml:space="preserve">A、化学品必须储存在专用储存柜内，其储存方式、方法与储存量必须符合国家标准，并由专人管理。 </w:t>
            </w:r>
          </w:p>
          <w:p>
            <w:pPr>
              <w:pStyle w:val="176"/>
              <w:jc w:val="left"/>
              <w:rPr>
                <w:rFonts w:hint="eastAsia"/>
                <w:color w:val="auto"/>
              </w:rPr>
            </w:pPr>
            <w:r>
              <w:rPr>
                <w:rFonts w:hint="eastAsia"/>
                <w:color w:val="auto"/>
              </w:rPr>
              <w:t xml:space="preserve">B、化学品设有专用存储柜，应当符合国家标准对安全、消防的要求，设置明显标志。 </w:t>
            </w:r>
          </w:p>
          <w:p>
            <w:pPr>
              <w:pStyle w:val="176"/>
              <w:jc w:val="left"/>
              <w:rPr>
                <w:rFonts w:hint="eastAsia"/>
                <w:b/>
                <w:bCs/>
                <w:color w:val="auto"/>
              </w:rPr>
            </w:pPr>
            <w:r>
              <w:rPr>
                <w:rFonts w:hint="eastAsia"/>
                <w:b/>
                <w:bCs/>
                <w:color w:val="auto"/>
              </w:rPr>
              <w:t>医疗废物储存风险防范措施：</w:t>
            </w:r>
          </w:p>
          <w:p>
            <w:pPr>
              <w:pStyle w:val="176"/>
              <w:jc w:val="left"/>
              <w:rPr>
                <w:rFonts w:hint="eastAsia"/>
                <w:color w:val="auto"/>
              </w:rPr>
            </w:pPr>
            <w:r>
              <w:rPr>
                <w:rFonts w:hint="eastAsia"/>
                <w:color w:val="auto"/>
              </w:rPr>
              <w:t xml:space="preserve">A、应当使用防渗漏、防抛洒的专用储存工具，做好医疗废物存储地周围的防渗措施。 </w:t>
            </w:r>
          </w:p>
          <w:p>
            <w:pPr>
              <w:pStyle w:val="176"/>
              <w:jc w:val="left"/>
              <w:rPr>
                <w:rFonts w:hint="eastAsia"/>
                <w:color w:val="auto"/>
              </w:rPr>
            </w:pPr>
            <w:r>
              <w:rPr>
                <w:rFonts w:hint="eastAsia"/>
                <w:color w:val="auto"/>
              </w:rPr>
              <w:t xml:space="preserve">B、医疗废物储存工具应定期进行消毒和清洁。 </w:t>
            </w:r>
          </w:p>
          <w:p>
            <w:pPr>
              <w:pStyle w:val="176"/>
              <w:jc w:val="left"/>
              <w:rPr>
                <w:rFonts w:hint="eastAsia"/>
                <w:color w:val="auto"/>
              </w:rPr>
            </w:pPr>
            <w:r>
              <w:rPr>
                <w:rFonts w:hint="eastAsia"/>
                <w:color w:val="auto"/>
              </w:rPr>
              <w:t>C、医疗废物应分类收集、贮存，贴上醒目标签，不得与生活垃圾混合堆放；发生危险废物与生活垃圾混合的现象，应将所有被污染的生活垃圾当做危险废物处理。</w:t>
            </w:r>
          </w:p>
          <w:p>
            <w:pPr>
              <w:pStyle w:val="176"/>
              <w:jc w:val="left"/>
              <w:rPr>
                <w:rFonts w:hint="eastAsia" w:eastAsia="宋体"/>
                <w:color w:val="auto"/>
                <w:lang w:val="en-US" w:eastAsia="zh-CN"/>
              </w:rPr>
            </w:pPr>
            <w:r>
              <w:rPr>
                <w:rFonts w:hint="eastAsia"/>
                <w:color w:val="auto"/>
                <w:lang w:val="en-US" w:eastAsia="zh-CN"/>
              </w:rPr>
              <w:t>D、医疗废物转运过程中若出现由于盛装容器破损、车辆密封不严或者由于交通事故造成的渗漏和遗撒等情况，应立即向卫生、公安等有关部门报告，封锁现场，并采取严密的清理和消毒措施。加强和完善危险废物的收集、暂存、交接等环节的管理，对危险废物的处理应设专人责任负责制，负责人在接管前应全面学习有关危险废物处理的有关法规和操作方法。做好危险废物有关资料的记录。</w:t>
            </w:r>
          </w:p>
          <w:p>
            <w:pPr>
              <w:pStyle w:val="176"/>
              <w:jc w:val="left"/>
              <w:rPr>
                <w:rFonts w:hint="eastAsia"/>
                <w:b/>
                <w:bCs/>
                <w:color w:val="auto"/>
                <w:lang w:val="en-US" w:eastAsia="zh-CN"/>
              </w:rPr>
            </w:pPr>
            <w:r>
              <w:rPr>
                <w:rFonts w:hint="eastAsia"/>
                <w:b/>
                <w:bCs/>
                <w:color w:val="auto"/>
                <w:lang w:val="en-US" w:eastAsia="zh-CN"/>
              </w:rPr>
              <w:t>废水事故排放风险防范措施：</w:t>
            </w:r>
          </w:p>
          <w:p>
            <w:pPr>
              <w:pStyle w:val="176"/>
              <w:jc w:val="left"/>
              <w:rPr>
                <w:rFonts w:hint="eastAsia"/>
                <w:color w:val="auto"/>
              </w:rPr>
            </w:pPr>
            <w:r>
              <w:rPr>
                <w:rFonts w:hint="eastAsia"/>
                <w:color w:val="auto"/>
                <w:lang w:val="en-US" w:eastAsia="zh-CN"/>
              </w:rPr>
              <w:t xml:space="preserve">安排专人定期对污水处理设施进行维护，确保其正常运行，严防污水事故性排放。废水处理系统主要配件设置备用件，一旦设备出现故障或出水水质不稳定立即更换处理。 </w:t>
            </w:r>
          </w:p>
          <w:p>
            <w:pPr>
              <w:pStyle w:val="176"/>
              <w:jc w:val="left"/>
              <w:rPr>
                <w:rFonts w:hint="eastAsia"/>
                <w:color w:val="auto"/>
              </w:rPr>
            </w:pPr>
            <w:r>
              <w:rPr>
                <w:rFonts w:hint="eastAsia"/>
                <w:b/>
                <w:bCs/>
                <w:color w:val="auto"/>
                <w:lang w:val="en-US" w:eastAsia="zh-CN"/>
              </w:rPr>
              <w:t>其他：</w:t>
            </w:r>
          </w:p>
          <w:p>
            <w:pPr>
              <w:pStyle w:val="176"/>
              <w:jc w:val="left"/>
              <w:rPr>
                <w:rFonts w:hint="eastAsia"/>
                <w:color w:val="auto"/>
              </w:rPr>
            </w:pPr>
            <w:r>
              <w:rPr>
                <w:rFonts w:hint="eastAsia"/>
                <w:color w:val="auto"/>
                <w:lang w:val="en-US" w:eastAsia="zh-CN"/>
              </w:rPr>
              <w:t xml:space="preserve">A、强化工作人员的责任心和安全意识，认真开展安全检查工作，发现隐患及时整改，将事故消灭在萌芽状态。 </w:t>
            </w:r>
          </w:p>
          <w:p>
            <w:pPr>
              <w:pStyle w:val="176"/>
              <w:jc w:val="left"/>
              <w:rPr>
                <w:rFonts w:hint="eastAsia"/>
                <w:color w:val="auto"/>
              </w:rPr>
            </w:pPr>
            <w:r>
              <w:rPr>
                <w:rFonts w:hint="eastAsia"/>
                <w:color w:val="auto"/>
                <w:lang w:val="en-US" w:eastAsia="zh-CN"/>
              </w:rPr>
              <w:t xml:space="preserve">B、制定应急预案，建立健全安全、环境管理体系，一旦发生事故，要做到快速、高效、安全处置。 </w:t>
            </w:r>
          </w:p>
          <w:p>
            <w:pPr>
              <w:pStyle w:val="176"/>
              <w:jc w:val="left"/>
              <w:rPr>
                <w:rFonts w:hint="eastAsia"/>
                <w:color w:val="auto"/>
                <w:lang w:val="en-US" w:eastAsia="zh-CN"/>
              </w:rPr>
            </w:pPr>
            <w:r>
              <w:rPr>
                <w:rFonts w:hint="eastAsia"/>
                <w:color w:val="auto"/>
                <w:lang w:val="en-US" w:eastAsia="zh-CN"/>
              </w:rPr>
              <w:t>C、配备足量的灭火器，并依托小区已建的消防设施；加强管理，防止宠物外逃；严格遵守《中华人民共和国动物防疫法》、《重大动物疫情应急条例》、《动物疫情报告管理办法》等法律法规，一旦发现宠物传染病或疑是宠物疫情的，及时按规定程序上报，不得接收患传染病或疫情的宠物，并制定相应的环境风险事故应急预案等。</w:t>
            </w:r>
          </w:p>
          <w:p>
            <w:pPr>
              <w:pStyle w:val="176"/>
              <w:jc w:val="left"/>
              <w:rPr>
                <w:rFonts w:hint="eastAsia"/>
                <w:color w:val="auto"/>
              </w:rPr>
            </w:pPr>
            <w:r>
              <w:rPr>
                <w:rFonts w:hint="eastAsia"/>
                <w:color w:val="auto"/>
                <w:lang w:val="en-US" w:eastAsia="zh-CN"/>
              </w:rPr>
              <w:t xml:space="preserve">D、做好医院内部消毒、杀虫、灭鼠工作；对于患病宠物和可疑患病宠物应加强管理。注意房间通风换气，定期进行紫外线灯照射消毒。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089" w:type="dxa"/>
            <w:noWrap w:val="0"/>
            <w:vAlign w:val="center"/>
          </w:tcPr>
          <w:p>
            <w:pPr>
              <w:pStyle w:val="111"/>
              <w:rPr>
                <w:color w:val="auto"/>
              </w:rPr>
            </w:pPr>
            <w:r>
              <w:rPr>
                <w:rFonts w:hint="eastAsia"/>
                <w:color w:val="auto"/>
              </w:rPr>
              <w:t>其他环境</w:t>
            </w:r>
          </w:p>
          <w:p>
            <w:pPr>
              <w:pStyle w:val="111"/>
              <w:rPr>
                <w:rFonts w:hint="eastAsia"/>
                <w:color w:val="auto"/>
              </w:rPr>
            </w:pPr>
            <w:r>
              <w:rPr>
                <w:rFonts w:hint="eastAsia"/>
                <w:color w:val="auto"/>
              </w:rPr>
              <w:t>管理要求</w:t>
            </w:r>
          </w:p>
        </w:tc>
        <w:tc>
          <w:tcPr>
            <w:tcW w:w="7711" w:type="dxa"/>
            <w:gridSpan w:val="4"/>
            <w:noWrap w:val="0"/>
            <w:vAlign w:val="center"/>
          </w:tcPr>
          <w:p>
            <w:pPr>
              <w:pStyle w:val="176"/>
              <w:bidi w:val="0"/>
              <w:jc w:val="left"/>
              <w:rPr>
                <w:rFonts w:hint="eastAsia"/>
                <w:color w:val="auto"/>
              </w:rPr>
            </w:pPr>
            <w:r>
              <w:rPr>
                <w:rFonts w:hint="eastAsia"/>
                <w:color w:val="auto"/>
                <w:lang w:val="en-US" w:eastAsia="zh-CN"/>
              </w:rPr>
              <w:t xml:space="preserve">（1）项目运营期应认真实施本报告表中提出的各项环境保护措施，建设单位必须落实和保证足够的环保资金，做好项目污染防治措施建设的“三同时”工作，确保各种污染物达标排放。 </w:t>
            </w:r>
          </w:p>
          <w:p>
            <w:pPr>
              <w:pStyle w:val="176"/>
              <w:bidi w:val="0"/>
              <w:jc w:val="left"/>
              <w:rPr>
                <w:rFonts w:hint="eastAsia"/>
                <w:color w:val="auto"/>
              </w:rPr>
            </w:pPr>
            <w:r>
              <w:rPr>
                <w:rFonts w:hint="eastAsia"/>
                <w:color w:val="auto"/>
                <w:lang w:val="en-US" w:eastAsia="zh-CN"/>
              </w:rPr>
              <w:t xml:space="preserve">（2）建设单位应设置环保卫生管理人员，专职负责项目内的环保、卫生管理工作，应对员工进行必要的培训并切实做好各项污染防治设施设备的维护，防止污染物事故发生。 </w:t>
            </w:r>
          </w:p>
          <w:p>
            <w:pPr>
              <w:pStyle w:val="176"/>
              <w:bidi w:val="0"/>
              <w:jc w:val="left"/>
              <w:rPr>
                <w:rFonts w:hint="eastAsia"/>
                <w:color w:val="auto"/>
              </w:rPr>
            </w:pPr>
            <w:r>
              <w:rPr>
                <w:rFonts w:hint="eastAsia"/>
                <w:color w:val="auto"/>
                <w:lang w:val="en-US" w:eastAsia="zh-CN"/>
              </w:rPr>
              <w:t xml:space="preserve">（3）要求项目在营运期间，建立、健全环保设施运行管理制度，并严格按管理制度执行。 </w:t>
            </w:r>
          </w:p>
          <w:p>
            <w:pPr>
              <w:pStyle w:val="176"/>
              <w:bidi w:val="0"/>
              <w:jc w:val="left"/>
              <w:rPr>
                <w:rFonts w:hint="eastAsia"/>
                <w:color w:val="auto"/>
              </w:rPr>
            </w:pPr>
            <w:r>
              <w:rPr>
                <w:rFonts w:hint="eastAsia"/>
                <w:color w:val="auto"/>
                <w:lang w:val="en-US" w:eastAsia="zh-CN"/>
              </w:rPr>
              <w:t xml:space="preserve">（4）加强管理，加强设备的管理维护，保证各环保设施正常运行。加强职工环保教育，制定严格的操作管理制度，杜绝由操作失误造成的环保污染现象出现。 </w:t>
            </w:r>
          </w:p>
        </w:tc>
      </w:tr>
    </w:tbl>
    <w:p>
      <w:pPr>
        <w:pStyle w:val="4"/>
        <w:ind w:firstLine="602"/>
        <w:rPr>
          <w:rFonts w:ascii="黑体" w:hAnsi="黑体" w:eastAsia="黑体"/>
          <w:snapToGrid w:val="0"/>
          <w:color w:val="auto"/>
        </w:rPr>
      </w:pPr>
      <w:r>
        <w:rPr>
          <w:snapToGrid w:val="0"/>
          <w:color w:val="auto"/>
        </w:rPr>
        <w:br w:type="page"/>
      </w:r>
      <w:bookmarkStart w:id="8" w:name="_Toc15574"/>
      <w:r>
        <w:rPr>
          <w:rFonts w:hint="eastAsia" w:cs="宋体"/>
          <w:snapToGrid w:val="0"/>
          <w:color w:val="auto"/>
        </w:rPr>
        <w:t>六、结论</w:t>
      </w:r>
      <w:bookmarkEnd w:id="8"/>
    </w:p>
    <w:tbl>
      <w:tblPr>
        <w:tblStyle w:val="3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57" w:hRule="atLeast"/>
          <w:jc w:val="center"/>
        </w:trPr>
        <w:tc>
          <w:tcPr>
            <w:tcW w:w="8865" w:type="dxa"/>
            <w:noWrap w:val="0"/>
            <w:vAlign w:val="top"/>
          </w:tcPr>
          <w:p>
            <w:pPr>
              <w:pStyle w:val="110"/>
              <w:ind w:firstLine="480"/>
              <w:rPr>
                <w:rFonts w:hint="eastAsia"/>
                <w:color w:val="auto"/>
              </w:rPr>
            </w:pPr>
            <w:r>
              <w:rPr>
                <w:rFonts w:hint="eastAsia"/>
                <w:color w:val="auto"/>
              </w:rPr>
              <w:t>综上所述，本项目符合国家产业政策，选址符合功能定位和发展规划要求。拟采取的污染防治措施可使污染物达标排放；项目总图布置基本合理。项目所在区域内无重大环境制约要素，环境质量现状较好。因此，本项目只要全面严格落实环境影响报告表和工程设计提出的环保对策及措施，严格执行“三同时”制度，确保项目产生的污染物达标排放。则本项目的建设从环保角度上是可行的。</w:t>
            </w:r>
          </w:p>
          <w:p>
            <w:pPr>
              <w:pStyle w:val="110"/>
              <w:ind w:firstLine="480"/>
              <w:rPr>
                <w:rFonts w:hint="eastAsia"/>
                <w:color w:val="auto"/>
              </w:rPr>
            </w:pPr>
          </w:p>
        </w:tc>
      </w:tr>
    </w:tbl>
    <w:p>
      <w:pPr>
        <w:pStyle w:val="30"/>
        <w:ind w:left="840" w:hanging="420"/>
        <w:rPr>
          <w:color w:val="auto"/>
        </w:rPr>
        <w:sectPr>
          <w:pgSz w:w="11906" w:h="16838"/>
          <w:pgMar w:top="1701" w:right="1531" w:bottom="1701" w:left="1531" w:header="851" w:footer="851" w:gutter="0"/>
          <w:cols w:space="720" w:num="1"/>
          <w:docGrid w:linePitch="312" w:charSpace="0"/>
        </w:sectPr>
      </w:pPr>
    </w:p>
    <w:p>
      <w:pPr>
        <w:pStyle w:val="110"/>
        <w:ind w:firstLine="643"/>
        <w:rPr>
          <w:rFonts w:hint="eastAsia"/>
          <w:b/>
          <w:bCs/>
          <w:color w:val="auto"/>
          <w:sz w:val="32"/>
          <w:szCs w:val="32"/>
        </w:rPr>
        <w:sectPr>
          <w:footerReference r:id="rId14" w:type="default"/>
          <w:type w:val="continuous"/>
          <w:pgSz w:w="11906" w:h="16838"/>
          <w:pgMar w:top="1701" w:right="1531" w:bottom="1701" w:left="1531" w:header="851" w:footer="851" w:gutter="0"/>
          <w:cols w:space="720" w:num="1"/>
          <w:docGrid w:linePitch="312" w:charSpace="0"/>
        </w:sectPr>
      </w:pPr>
    </w:p>
    <w:p>
      <w:pPr>
        <w:pStyle w:val="110"/>
        <w:ind w:firstLine="643"/>
        <w:rPr>
          <w:b/>
          <w:bCs/>
          <w:color w:val="auto"/>
          <w:sz w:val="32"/>
          <w:szCs w:val="32"/>
        </w:rPr>
      </w:pPr>
      <w:r>
        <w:rPr>
          <w:rFonts w:hint="eastAsia"/>
          <w:b/>
          <w:bCs/>
          <w:color w:val="auto"/>
          <w:sz w:val="32"/>
          <w:szCs w:val="32"/>
        </w:rPr>
        <w:t>附表</w:t>
      </w:r>
    </w:p>
    <w:p>
      <w:pPr>
        <w:pStyle w:val="4"/>
        <w:ind w:firstLine="602"/>
        <w:rPr>
          <w:rFonts w:hint="eastAsia"/>
          <w:color w:val="auto"/>
        </w:rPr>
      </w:pPr>
      <w:bookmarkStart w:id="9" w:name="_Toc15947"/>
      <w:r>
        <w:rPr>
          <w:rFonts w:hint="eastAsia"/>
          <w:color w:val="auto"/>
        </w:rPr>
        <w:t>建设项目污染物排放量汇总表</w:t>
      </w:r>
      <w:bookmarkEnd w:id="9"/>
    </w:p>
    <w:tbl>
      <w:tblPr>
        <w:tblStyle w:val="39"/>
        <w:tblW w:w="4998" w:type="pct"/>
        <w:tblInd w:w="-8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2168"/>
        <w:gridCol w:w="1896"/>
        <w:gridCol w:w="1409"/>
        <w:gridCol w:w="1897"/>
        <w:gridCol w:w="1734"/>
        <w:gridCol w:w="1496"/>
        <w:gridCol w:w="19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34" w:type="pct"/>
            <w:tcBorders>
              <w:tl2br w:val="single" w:color="auto" w:sz="4" w:space="0"/>
            </w:tcBorders>
            <w:noWrap w:val="0"/>
            <w:tcMar>
              <w:left w:w="28" w:type="dxa"/>
              <w:right w:w="28" w:type="dxa"/>
            </w:tcMar>
            <w:vAlign w:val="center"/>
          </w:tcPr>
          <w:p>
            <w:pPr>
              <w:pStyle w:val="111"/>
              <w:rPr>
                <w:rFonts w:hint="eastAsia"/>
                <w:color w:val="auto"/>
              </w:rPr>
            </w:pPr>
            <w:r>
              <w:rPr>
                <w:rFonts w:hint="eastAsia"/>
                <w:color w:val="auto"/>
              </w:rPr>
              <w:t>项目</w:t>
            </w:r>
          </w:p>
          <w:p>
            <w:pPr>
              <w:pStyle w:val="111"/>
              <w:rPr>
                <w:rFonts w:hint="eastAsia"/>
                <w:color w:val="auto"/>
              </w:rPr>
            </w:pPr>
            <w:r>
              <w:rPr>
                <w:rFonts w:hint="eastAsia"/>
                <w:color w:val="auto"/>
              </w:rPr>
              <w:t>分类</w:t>
            </w:r>
          </w:p>
        </w:tc>
        <w:tc>
          <w:tcPr>
            <w:tcW w:w="792" w:type="pct"/>
            <w:noWrap w:val="0"/>
            <w:tcMar>
              <w:left w:w="28" w:type="dxa"/>
              <w:right w:w="28" w:type="dxa"/>
            </w:tcMar>
            <w:vAlign w:val="center"/>
          </w:tcPr>
          <w:p>
            <w:pPr>
              <w:pStyle w:val="111"/>
              <w:rPr>
                <w:rFonts w:hint="eastAsia"/>
                <w:color w:val="auto"/>
              </w:rPr>
            </w:pPr>
            <w:r>
              <w:rPr>
                <w:rFonts w:hint="eastAsia"/>
                <w:color w:val="auto"/>
              </w:rPr>
              <w:t>污染物名称</w:t>
            </w:r>
          </w:p>
        </w:tc>
        <w:tc>
          <w:tcPr>
            <w:tcW w:w="695" w:type="pct"/>
            <w:noWrap w:val="0"/>
            <w:tcMar>
              <w:left w:w="28" w:type="dxa"/>
              <w:right w:w="28" w:type="dxa"/>
            </w:tcMar>
            <w:vAlign w:val="center"/>
          </w:tcPr>
          <w:p>
            <w:pPr>
              <w:pStyle w:val="111"/>
              <w:rPr>
                <w:rFonts w:hint="eastAsia"/>
                <w:color w:val="auto"/>
              </w:rPr>
            </w:pPr>
            <w:r>
              <w:rPr>
                <w:color w:val="auto"/>
              </w:rPr>
              <w:t>现有工程</w:t>
            </w:r>
          </w:p>
          <w:p>
            <w:pPr>
              <w:pStyle w:val="111"/>
              <w:rPr>
                <w:color w:val="auto"/>
              </w:rPr>
            </w:pPr>
            <w:r>
              <w:rPr>
                <w:color w:val="auto"/>
              </w:rPr>
              <w:t>排放量（固</w:t>
            </w:r>
            <w:r>
              <w:rPr>
                <w:rFonts w:hint="eastAsia"/>
                <w:color w:val="auto"/>
              </w:rPr>
              <w:t>体</w:t>
            </w:r>
            <w:r>
              <w:rPr>
                <w:color w:val="auto"/>
              </w:rPr>
              <w:t>废</w:t>
            </w:r>
            <w:r>
              <w:rPr>
                <w:rFonts w:hint="eastAsia"/>
                <w:color w:val="auto"/>
              </w:rPr>
              <w:t>物</w:t>
            </w:r>
            <w:r>
              <w:rPr>
                <w:color w:val="auto"/>
              </w:rPr>
              <w:t>产生量）</w:t>
            </w:r>
            <w:r>
              <w:rPr>
                <w:color w:val="auto"/>
              </w:rPr>
              <w:fldChar w:fldCharType="begin"/>
            </w:r>
            <w:r>
              <w:rPr>
                <w:color w:val="auto"/>
              </w:rPr>
              <w:instrText xml:space="preserve"> = 1 \* GB3 \* MERGEFORMAT </w:instrText>
            </w:r>
            <w:r>
              <w:rPr>
                <w:color w:val="auto"/>
              </w:rPr>
              <w:fldChar w:fldCharType="separate"/>
            </w:r>
            <w:r>
              <w:rPr>
                <w:rFonts w:hint="eastAsia"/>
                <w:color w:val="auto"/>
              </w:rPr>
              <w:t>①</w:t>
            </w:r>
            <w:r>
              <w:rPr>
                <w:color w:val="auto"/>
              </w:rPr>
              <w:fldChar w:fldCharType="end"/>
            </w:r>
          </w:p>
        </w:tc>
        <w:tc>
          <w:tcPr>
            <w:tcW w:w="521" w:type="pct"/>
            <w:noWrap w:val="0"/>
            <w:tcMar>
              <w:left w:w="28" w:type="dxa"/>
              <w:right w:w="28" w:type="dxa"/>
            </w:tcMar>
            <w:vAlign w:val="center"/>
          </w:tcPr>
          <w:p>
            <w:pPr>
              <w:pStyle w:val="111"/>
              <w:rPr>
                <w:color w:val="auto"/>
              </w:rPr>
            </w:pPr>
            <w:r>
              <w:rPr>
                <w:color w:val="auto"/>
              </w:rPr>
              <w:t>现有工程</w:t>
            </w:r>
          </w:p>
          <w:p>
            <w:pPr>
              <w:pStyle w:val="111"/>
              <w:rPr>
                <w:color w:val="auto"/>
              </w:rPr>
            </w:pPr>
            <w:r>
              <w:rPr>
                <w:color w:val="auto"/>
              </w:rPr>
              <w:t>许可排放量</w:t>
            </w:r>
          </w:p>
          <w:p>
            <w:pPr>
              <w:pStyle w:val="111"/>
              <w:rPr>
                <w:color w:val="auto"/>
              </w:rPr>
            </w:pPr>
            <w:r>
              <w:rPr>
                <w:color w:val="auto"/>
              </w:rPr>
              <w:fldChar w:fldCharType="begin"/>
            </w:r>
            <w:r>
              <w:rPr>
                <w:color w:val="auto"/>
              </w:rPr>
              <w:instrText xml:space="preserve"> = 2 \* GB3 \* MERGEFORMAT </w:instrText>
            </w:r>
            <w:r>
              <w:rPr>
                <w:color w:val="auto"/>
              </w:rPr>
              <w:fldChar w:fldCharType="separate"/>
            </w:r>
            <w:r>
              <w:rPr>
                <w:rFonts w:hint="eastAsia"/>
                <w:color w:val="auto"/>
              </w:rPr>
              <w:t>②</w:t>
            </w:r>
            <w:r>
              <w:rPr>
                <w:color w:val="auto"/>
              </w:rPr>
              <w:fldChar w:fldCharType="end"/>
            </w:r>
          </w:p>
        </w:tc>
        <w:tc>
          <w:tcPr>
            <w:tcW w:w="695" w:type="pct"/>
            <w:noWrap w:val="0"/>
            <w:tcMar>
              <w:left w:w="28" w:type="dxa"/>
              <w:right w:w="28" w:type="dxa"/>
            </w:tcMar>
            <w:vAlign w:val="center"/>
          </w:tcPr>
          <w:p>
            <w:pPr>
              <w:pStyle w:val="111"/>
              <w:rPr>
                <w:rFonts w:hint="eastAsia"/>
                <w:color w:val="auto"/>
              </w:rPr>
            </w:pPr>
            <w:r>
              <w:rPr>
                <w:color w:val="auto"/>
              </w:rPr>
              <w:t>在建工程</w:t>
            </w:r>
          </w:p>
          <w:p>
            <w:pPr>
              <w:pStyle w:val="111"/>
              <w:rPr>
                <w:color w:val="auto"/>
              </w:rPr>
            </w:pPr>
            <w:r>
              <w:rPr>
                <w:color w:val="auto"/>
              </w:rPr>
              <w:t>排放量（固</w:t>
            </w:r>
            <w:r>
              <w:rPr>
                <w:rFonts w:hint="eastAsia"/>
                <w:color w:val="auto"/>
              </w:rPr>
              <w:t>体</w:t>
            </w:r>
            <w:r>
              <w:rPr>
                <w:color w:val="auto"/>
              </w:rPr>
              <w:t>废</w:t>
            </w:r>
            <w:r>
              <w:rPr>
                <w:rFonts w:hint="eastAsia"/>
                <w:color w:val="auto"/>
              </w:rPr>
              <w:t>物</w:t>
            </w:r>
            <w:r>
              <w:rPr>
                <w:color w:val="auto"/>
              </w:rPr>
              <w:t>产生量）</w:t>
            </w:r>
            <w:r>
              <w:rPr>
                <w:color w:val="auto"/>
              </w:rPr>
              <w:fldChar w:fldCharType="begin"/>
            </w:r>
            <w:r>
              <w:rPr>
                <w:color w:val="auto"/>
              </w:rPr>
              <w:instrText xml:space="preserve"> = 3 \* GB3 \* MERGEFORMAT </w:instrText>
            </w:r>
            <w:r>
              <w:rPr>
                <w:color w:val="auto"/>
              </w:rPr>
              <w:fldChar w:fldCharType="separate"/>
            </w:r>
            <w:r>
              <w:rPr>
                <w:rFonts w:hint="eastAsia"/>
                <w:color w:val="auto"/>
              </w:rPr>
              <w:t>③</w:t>
            </w:r>
            <w:r>
              <w:rPr>
                <w:color w:val="auto"/>
              </w:rPr>
              <w:fldChar w:fldCharType="end"/>
            </w:r>
          </w:p>
        </w:tc>
        <w:tc>
          <w:tcPr>
            <w:tcW w:w="637" w:type="pct"/>
            <w:noWrap w:val="0"/>
            <w:tcMar>
              <w:left w:w="28" w:type="dxa"/>
              <w:right w:w="28" w:type="dxa"/>
            </w:tcMar>
            <w:vAlign w:val="center"/>
          </w:tcPr>
          <w:p>
            <w:pPr>
              <w:pStyle w:val="111"/>
              <w:rPr>
                <w:rFonts w:hint="eastAsia"/>
                <w:color w:val="auto"/>
              </w:rPr>
            </w:pPr>
            <w:r>
              <w:rPr>
                <w:color w:val="auto"/>
              </w:rPr>
              <w:t>本项目</w:t>
            </w:r>
          </w:p>
          <w:p>
            <w:pPr>
              <w:pStyle w:val="111"/>
              <w:rPr>
                <w:color w:val="auto"/>
              </w:rPr>
            </w:pPr>
            <w:r>
              <w:rPr>
                <w:color w:val="auto"/>
              </w:rPr>
              <w:t>排放量（固</w:t>
            </w:r>
            <w:r>
              <w:rPr>
                <w:rFonts w:hint="eastAsia"/>
                <w:color w:val="auto"/>
              </w:rPr>
              <w:t>体</w:t>
            </w:r>
            <w:r>
              <w:rPr>
                <w:color w:val="auto"/>
              </w:rPr>
              <w:t>废</w:t>
            </w:r>
            <w:r>
              <w:rPr>
                <w:rFonts w:hint="eastAsia"/>
                <w:color w:val="auto"/>
              </w:rPr>
              <w:t>物</w:t>
            </w:r>
            <w:r>
              <w:rPr>
                <w:color w:val="auto"/>
              </w:rPr>
              <w:t>产生量）</w:t>
            </w:r>
            <w:r>
              <w:rPr>
                <w:color w:val="auto"/>
              </w:rPr>
              <w:fldChar w:fldCharType="begin"/>
            </w:r>
            <w:r>
              <w:rPr>
                <w:color w:val="auto"/>
              </w:rPr>
              <w:instrText xml:space="preserve"> = 4 \* GB3 \* MERGEFORMAT </w:instrText>
            </w:r>
            <w:r>
              <w:rPr>
                <w:color w:val="auto"/>
              </w:rPr>
              <w:fldChar w:fldCharType="separate"/>
            </w:r>
            <w:r>
              <w:rPr>
                <w:rFonts w:hint="eastAsia"/>
                <w:color w:val="auto"/>
              </w:rPr>
              <w:t>④</w:t>
            </w:r>
            <w:r>
              <w:rPr>
                <w:color w:val="auto"/>
              </w:rPr>
              <w:fldChar w:fldCharType="end"/>
            </w:r>
          </w:p>
        </w:tc>
        <w:tc>
          <w:tcPr>
            <w:tcW w:w="493" w:type="pct"/>
            <w:noWrap w:val="0"/>
            <w:tcMar>
              <w:left w:w="28" w:type="dxa"/>
              <w:right w:w="28" w:type="dxa"/>
            </w:tcMar>
            <w:vAlign w:val="center"/>
          </w:tcPr>
          <w:p>
            <w:pPr>
              <w:pStyle w:val="111"/>
              <w:rPr>
                <w:color w:val="auto"/>
              </w:rPr>
            </w:pPr>
            <w:r>
              <w:rPr>
                <w:color w:val="auto"/>
              </w:rPr>
              <w:t>以新带老削减量（新建项目不填）</w:t>
            </w:r>
            <w:r>
              <w:rPr>
                <w:color w:val="auto"/>
              </w:rPr>
              <w:fldChar w:fldCharType="begin"/>
            </w:r>
            <w:r>
              <w:rPr>
                <w:color w:val="auto"/>
              </w:rPr>
              <w:instrText xml:space="preserve"> = 5 \* GB3 \* MERGEFORMAT </w:instrText>
            </w:r>
            <w:r>
              <w:rPr>
                <w:color w:val="auto"/>
              </w:rPr>
              <w:fldChar w:fldCharType="separate"/>
            </w:r>
            <w:r>
              <w:rPr>
                <w:rFonts w:hint="eastAsia"/>
                <w:color w:val="auto"/>
              </w:rPr>
              <w:t>⑤</w:t>
            </w:r>
            <w:r>
              <w:rPr>
                <w:color w:val="auto"/>
              </w:rPr>
              <w:fldChar w:fldCharType="end"/>
            </w:r>
          </w:p>
        </w:tc>
        <w:tc>
          <w:tcPr>
            <w:tcW w:w="729" w:type="pct"/>
            <w:noWrap w:val="0"/>
            <w:tcMar>
              <w:left w:w="28" w:type="dxa"/>
              <w:right w:w="28" w:type="dxa"/>
            </w:tcMar>
            <w:vAlign w:val="center"/>
          </w:tcPr>
          <w:p>
            <w:pPr>
              <w:pStyle w:val="111"/>
              <w:rPr>
                <w:rFonts w:hint="eastAsia"/>
                <w:color w:val="auto"/>
              </w:rPr>
            </w:pPr>
            <w:r>
              <w:rPr>
                <w:color w:val="auto"/>
              </w:rPr>
              <w:t>本项目建成后</w:t>
            </w:r>
          </w:p>
          <w:p>
            <w:pPr>
              <w:pStyle w:val="111"/>
              <w:rPr>
                <w:color w:val="auto"/>
              </w:rPr>
            </w:pPr>
            <w:r>
              <w:rPr>
                <w:rFonts w:hint="eastAsia"/>
                <w:color w:val="auto"/>
              </w:rPr>
              <w:t>全厂</w:t>
            </w:r>
            <w:r>
              <w:rPr>
                <w:color w:val="auto"/>
              </w:rPr>
              <w:t>排放量（固</w:t>
            </w:r>
            <w:r>
              <w:rPr>
                <w:rFonts w:hint="eastAsia"/>
                <w:color w:val="auto"/>
              </w:rPr>
              <w:t>体</w:t>
            </w:r>
            <w:r>
              <w:rPr>
                <w:color w:val="auto"/>
              </w:rPr>
              <w:t>废</w:t>
            </w:r>
            <w:r>
              <w:rPr>
                <w:rFonts w:hint="eastAsia"/>
                <w:color w:val="auto"/>
              </w:rPr>
              <w:t>物</w:t>
            </w:r>
            <w:r>
              <w:rPr>
                <w:color w:val="auto"/>
              </w:rPr>
              <w:t>产生量）</w:t>
            </w:r>
            <w:r>
              <w:rPr>
                <w:color w:val="auto"/>
              </w:rPr>
              <w:fldChar w:fldCharType="begin"/>
            </w:r>
            <w:r>
              <w:rPr>
                <w:color w:val="auto"/>
              </w:rPr>
              <w:instrText xml:space="preserve"> = 6 \* GB3 \* MERGEFORMAT </w:instrText>
            </w:r>
            <w:r>
              <w:rPr>
                <w:color w:val="auto"/>
              </w:rPr>
              <w:fldChar w:fldCharType="separate"/>
            </w:r>
            <w:r>
              <w:rPr>
                <w:rFonts w:hint="eastAsia"/>
                <w:color w:val="auto"/>
              </w:rPr>
              <w:t>⑥</w:t>
            </w:r>
            <w:r>
              <w:rPr>
                <w:color w:val="auto"/>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434" w:type="pct"/>
            <w:vMerge w:val="restart"/>
            <w:noWrap w:val="0"/>
            <w:vAlign w:val="center"/>
          </w:tcPr>
          <w:p>
            <w:pPr>
              <w:pStyle w:val="111"/>
              <w:rPr>
                <w:rFonts w:hint="eastAsia"/>
                <w:color w:val="auto"/>
              </w:rPr>
            </w:pPr>
            <w:r>
              <w:rPr>
                <w:rFonts w:hint="eastAsia"/>
                <w:color w:val="auto"/>
              </w:rPr>
              <w:t>废气</w:t>
            </w:r>
          </w:p>
        </w:tc>
        <w:tc>
          <w:tcPr>
            <w:tcW w:w="792" w:type="pct"/>
            <w:noWrap w:val="0"/>
            <w:vAlign w:val="center"/>
          </w:tcPr>
          <w:p>
            <w:pPr>
              <w:pStyle w:val="176"/>
              <w:rPr>
                <w:color w:val="auto"/>
              </w:rPr>
            </w:pPr>
            <w:r>
              <w:rPr>
                <w:rFonts w:hint="eastAsia"/>
                <w:color w:val="auto"/>
              </w:rPr>
              <w:t>医疗废物暂存间异味</w:t>
            </w:r>
          </w:p>
        </w:tc>
        <w:tc>
          <w:tcPr>
            <w:tcW w:w="695" w:type="pct"/>
            <w:noWrap w:val="0"/>
            <w:vAlign w:val="center"/>
          </w:tcPr>
          <w:p>
            <w:pPr>
              <w:pStyle w:val="111"/>
              <w:rPr>
                <w:rFonts w:hint="eastAsia" w:eastAsia="宋体"/>
                <w:color w:val="auto"/>
                <w:lang w:eastAsia="zh-CN"/>
              </w:rPr>
            </w:pPr>
            <w:r>
              <w:rPr>
                <w:rFonts w:hint="eastAsia"/>
                <w:color w:val="auto"/>
                <w:lang w:val="en-US" w:eastAsia="zh-CN"/>
              </w:rPr>
              <w:t>/</w:t>
            </w:r>
          </w:p>
        </w:tc>
        <w:tc>
          <w:tcPr>
            <w:tcW w:w="521" w:type="pct"/>
            <w:noWrap w:val="0"/>
            <w:vAlign w:val="center"/>
          </w:tcPr>
          <w:p>
            <w:pPr>
              <w:pStyle w:val="111"/>
              <w:bidi w:val="0"/>
              <w:rPr>
                <w:rFonts w:hint="eastAsia"/>
              </w:rPr>
            </w:pPr>
            <w:r>
              <w:rPr>
                <w:rFonts w:hint="eastAsia"/>
                <w:lang w:val="en-US" w:eastAsia="zh-CN"/>
              </w:rPr>
              <w:t>/</w:t>
            </w:r>
          </w:p>
        </w:tc>
        <w:tc>
          <w:tcPr>
            <w:tcW w:w="695" w:type="pct"/>
            <w:noWrap w:val="0"/>
            <w:vAlign w:val="center"/>
          </w:tcPr>
          <w:p>
            <w:pPr>
              <w:pStyle w:val="111"/>
              <w:bidi w:val="0"/>
              <w:rPr>
                <w:rFonts w:hint="eastAsia"/>
              </w:rPr>
            </w:pPr>
            <w:r>
              <w:rPr>
                <w:rFonts w:hint="eastAsia"/>
                <w:lang w:val="en-US" w:eastAsia="zh-CN"/>
              </w:rPr>
              <w:t>/</w:t>
            </w:r>
          </w:p>
        </w:tc>
        <w:tc>
          <w:tcPr>
            <w:tcW w:w="637" w:type="pct"/>
            <w:noWrap w:val="0"/>
            <w:vAlign w:val="center"/>
          </w:tcPr>
          <w:p>
            <w:pPr>
              <w:pStyle w:val="111"/>
              <w:rPr>
                <w:rFonts w:hint="eastAsia"/>
                <w:color w:val="auto"/>
              </w:rPr>
            </w:pPr>
            <w:r>
              <w:rPr>
                <w:rFonts w:hint="eastAsia"/>
                <w:color w:val="auto"/>
              </w:rPr>
              <w:t>少量</w:t>
            </w:r>
          </w:p>
        </w:tc>
        <w:tc>
          <w:tcPr>
            <w:tcW w:w="493" w:type="pct"/>
            <w:noWrap w:val="0"/>
            <w:vAlign w:val="center"/>
          </w:tcPr>
          <w:p>
            <w:pPr>
              <w:pStyle w:val="111"/>
              <w:bidi w:val="0"/>
              <w:ind w:firstLine="0" w:firstLineChars="0"/>
              <w:rPr>
                <w:rFonts w:hint="eastAsia"/>
                <w:color w:val="auto"/>
              </w:rPr>
            </w:pPr>
            <w:r>
              <w:rPr>
                <w:rFonts w:hint="eastAsia"/>
                <w:lang w:val="en-US" w:eastAsia="zh-CN"/>
              </w:rPr>
              <w:t>/</w:t>
            </w:r>
          </w:p>
        </w:tc>
        <w:tc>
          <w:tcPr>
            <w:tcW w:w="729" w:type="pct"/>
            <w:noWrap w:val="0"/>
            <w:vAlign w:val="center"/>
          </w:tcPr>
          <w:p>
            <w:pPr>
              <w:pStyle w:val="111"/>
              <w:rPr>
                <w:color w:val="auto"/>
              </w:rPr>
            </w:pPr>
            <w:r>
              <w:rPr>
                <w:rFonts w:hint="eastAsia"/>
                <w:color w:val="auto"/>
              </w:rPr>
              <w:t>少量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434" w:type="pct"/>
            <w:vMerge w:val="continue"/>
            <w:noWrap w:val="0"/>
            <w:vAlign w:val="center"/>
          </w:tcPr>
          <w:p>
            <w:pPr>
              <w:pStyle w:val="111"/>
              <w:rPr>
                <w:rFonts w:hint="eastAsia"/>
                <w:color w:val="auto"/>
              </w:rPr>
            </w:pPr>
          </w:p>
        </w:tc>
        <w:tc>
          <w:tcPr>
            <w:tcW w:w="792" w:type="pct"/>
            <w:noWrap w:val="0"/>
            <w:vAlign w:val="center"/>
          </w:tcPr>
          <w:p>
            <w:pPr>
              <w:pStyle w:val="176"/>
              <w:rPr>
                <w:color w:val="auto"/>
              </w:rPr>
            </w:pPr>
            <w:r>
              <w:rPr>
                <w:rFonts w:hint="eastAsia"/>
                <w:color w:val="auto"/>
              </w:rPr>
              <w:t>就诊区域宠物散发的异味</w:t>
            </w:r>
          </w:p>
        </w:tc>
        <w:tc>
          <w:tcPr>
            <w:tcW w:w="695" w:type="pct"/>
            <w:noWrap w:val="0"/>
            <w:vAlign w:val="center"/>
          </w:tcPr>
          <w:p>
            <w:pPr>
              <w:pStyle w:val="111"/>
              <w:bidi w:val="0"/>
              <w:rPr>
                <w:rFonts w:hint="eastAsia"/>
              </w:rPr>
            </w:pPr>
            <w:r>
              <w:rPr>
                <w:rFonts w:hint="eastAsia"/>
                <w:lang w:val="en-US" w:eastAsia="zh-CN"/>
              </w:rPr>
              <w:t>/</w:t>
            </w:r>
          </w:p>
        </w:tc>
        <w:tc>
          <w:tcPr>
            <w:tcW w:w="521" w:type="pct"/>
            <w:noWrap w:val="0"/>
            <w:vAlign w:val="center"/>
          </w:tcPr>
          <w:p>
            <w:pPr>
              <w:pStyle w:val="111"/>
              <w:bidi w:val="0"/>
              <w:rPr>
                <w:rFonts w:hint="eastAsia"/>
              </w:rPr>
            </w:pPr>
            <w:r>
              <w:rPr>
                <w:rFonts w:hint="eastAsia"/>
                <w:lang w:val="en-US" w:eastAsia="zh-CN"/>
              </w:rPr>
              <w:t>/</w:t>
            </w:r>
          </w:p>
        </w:tc>
        <w:tc>
          <w:tcPr>
            <w:tcW w:w="695" w:type="pct"/>
            <w:noWrap w:val="0"/>
            <w:vAlign w:val="center"/>
          </w:tcPr>
          <w:p>
            <w:pPr>
              <w:pStyle w:val="111"/>
              <w:bidi w:val="0"/>
              <w:rPr>
                <w:rFonts w:hint="eastAsia"/>
              </w:rPr>
            </w:pPr>
            <w:r>
              <w:rPr>
                <w:rFonts w:hint="eastAsia"/>
                <w:lang w:val="en-US" w:eastAsia="zh-CN"/>
              </w:rPr>
              <w:t>/</w:t>
            </w:r>
          </w:p>
        </w:tc>
        <w:tc>
          <w:tcPr>
            <w:tcW w:w="637" w:type="pct"/>
            <w:noWrap w:val="0"/>
            <w:vAlign w:val="center"/>
          </w:tcPr>
          <w:p>
            <w:pPr>
              <w:pStyle w:val="111"/>
              <w:rPr>
                <w:rFonts w:hint="eastAsia"/>
                <w:color w:val="auto"/>
              </w:rPr>
            </w:pPr>
            <w:r>
              <w:rPr>
                <w:rFonts w:hint="eastAsia"/>
                <w:color w:val="auto"/>
              </w:rPr>
              <w:t>少量</w:t>
            </w:r>
          </w:p>
        </w:tc>
        <w:tc>
          <w:tcPr>
            <w:tcW w:w="493" w:type="pct"/>
            <w:noWrap w:val="0"/>
            <w:vAlign w:val="center"/>
          </w:tcPr>
          <w:p>
            <w:pPr>
              <w:pStyle w:val="111"/>
              <w:bidi w:val="0"/>
              <w:ind w:firstLine="0" w:firstLineChars="0"/>
              <w:rPr>
                <w:rFonts w:hint="eastAsia"/>
                <w:color w:val="auto"/>
              </w:rPr>
            </w:pPr>
            <w:r>
              <w:rPr>
                <w:rFonts w:hint="eastAsia"/>
                <w:lang w:val="en-US" w:eastAsia="zh-CN"/>
              </w:rPr>
              <w:t>/</w:t>
            </w:r>
          </w:p>
        </w:tc>
        <w:tc>
          <w:tcPr>
            <w:tcW w:w="729" w:type="pct"/>
            <w:noWrap w:val="0"/>
            <w:vAlign w:val="center"/>
          </w:tcPr>
          <w:p>
            <w:pPr>
              <w:pStyle w:val="111"/>
              <w:rPr>
                <w:color w:val="auto"/>
              </w:rPr>
            </w:pPr>
            <w:r>
              <w:rPr>
                <w:rFonts w:hint="eastAsia"/>
                <w:color w:val="auto"/>
              </w:rPr>
              <w:t>少量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434" w:type="pct"/>
            <w:vMerge w:val="continue"/>
            <w:noWrap w:val="0"/>
            <w:vAlign w:val="center"/>
          </w:tcPr>
          <w:p>
            <w:pPr>
              <w:pStyle w:val="111"/>
              <w:rPr>
                <w:rFonts w:hint="eastAsia"/>
                <w:color w:val="auto"/>
              </w:rPr>
            </w:pPr>
          </w:p>
        </w:tc>
        <w:tc>
          <w:tcPr>
            <w:tcW w:w="792" w:type="pct"/>
            <w:noWrap w:val="0"/>
            <w:vAlign w:val="center"/>
          </w:tcPr>
          <w:p>
            <w:pPr>
              <w:pStyle w:val="176"/>
              <w:rPr>
                <w:color w:val="auto"/>
              </w:rPr>
            </w:pPr>
            <w:r>
              <w:rPr>
                <w:rFonts w:hint="eastAsia"/>
                <w:color w:val="auto"/>
              </w:rPr>
              <w:t>院内带菌空气</w:t>
            </w:r>
          </w:p>
        </w:tc>
        <w:tc>
          <w:tcPr>
            <w:tcW w:w="695" w:type="pct"/>
            <w:noWrap w:val="0"/>
            <w:vAlign w:val="center"/>
          </w:tcPr>
          <w:p>
            <w:pPr>
              <w:pStyle w:val="111"/>
              <w:bidi w:val="0"/>
              <w:rPr>
                <w:rFonts w:hint="eastAsia"/>
              </w:rPr>
            </w:pPr>
            <w:r>
              <w:rPr>
                <w:rFonts w:hint="eastAsia"/>
                <w:lang w:val="en-US" w:eastAsia="zh-CN"/>
              </w:rPr>
              <w:t>/</w:t>
            </w:r>
          </w:p>
        </w:tc>
        <w:tc>
          <w:tcPr>
            <w:tcW w:w="521" w:type="pct"/>
            <w:noWrap w:val="0"/>
            <w:vAlign w:val="center"/>
          </w:tcPr>
          <w:p>
            <w:pPr>
              <w:pStyle w:val="111"/>
              <w:bidi w:val="0"/>
              <w:rPr>
                <w:rFonts w:hint="eastAsia"/>
              </w:rPr>
            </w:pPr>
            <w:r>
              <w:rPr>
                <w:rFonts w:hint="eastAsia"/>
                <w:lang w:val="en-US" w:eastAsia="zh-CN"/>
              </w:rPr>
              <w:t>/</w:t>
            </w:r>
          </w:p>
        </w:tc>
        <w:tc>
          <w:tcPr>
            <w:tcW w:w="695" w:type="pct"/>
            <w:noWrap w:val="0"/>
            <w:vAlign w:val="center"/>
          </w:tcPr>
          <w:p>
            <w:pPr>
              <w:pStyle w:val="111"/>
              <w:bidi w:val="0"/>
              <w:rPr>
                <w:rFonts w:hint="eastAsia"/>
              </w:rPr>
            </w:pPr>
            <w:r>
              <w:rPr>
                <w:rFonts w:hint="eastAsia"/>
                <w:lang w:val="en-US" w:eastAsia="zh-CN"/>
              </w:rPr>
              <w:t>/</w:t>
            </w:r>
          </w:p>
        </w:tc>
        <w:tc>
          <w:tcPr>
            <w:tcW w:w="637" w:type="pct"/>
            <w:noWrap w:val="0"/>
            <w:vAlign w:val="center"/>
          </w:tcPr>
          <w:p>
            <w:pPr>
              <w:pStyle w:val="111"/>
              <w:rPr>
                <w:rFonts w:hint="eastAsia"/>
                <w:color w:val="auto"/>
              </w:rPr>
            </w:pPr>
            <w:r>
              <w:rPr>
                <w:rFonts w:hint="eastAsia"/>
                <w:color w:val="auto"/>
              </w:rPr>
              <w:t>少量</w:t>
            </w:r>
          </w:p>
        </w:tc>
        <w:tc>
          <w:tcPr>
            <w:tcW w:w="493" w:type="pct"/>
            <w:noWrap w:val="0"/>
            <w:vAlign w:val="center"/>
          </w:tcPr>
          <w:p>
            <w:pPr>
              <w:pStyle w:val="111"/>
              <w:bidi w:val="0"/>
              <w:ind w:firstLine="0" w:firstLineChars="0"/>
              <w:rPr>
                <w:rFonts w:hint="eastAsia"/>
                <w:color w:val="auto"/>
              </w:rPr>
            </w:pPr>
            <w:r>
              <w:rPr>
                <w:rFonts w:hint="eastAsia"/>
                <w:lang w:val="en-US" w:eastAsia="zh-CN"/>
              </w:rPr>
              <w:t>/</w:t>
            </w:r>
          </w:p>
        </w:tc>
        <w:tc>
          <w:tcPr>
            <w:tcW w:w="729" w:type="pct"/>
            <w:noWrap w:val="0"/>
            <w:vAlign w:val="center"/>
          </w:tcPr>
          <w:p>
            <w:pPr>
              <w:pStyle w:val="111"/>
              <w:rPr>
                <w:color w:val="auto"/>
              </w:rPr>
            </w:pPr>
            <w:r>
              <w:rPr>
                <w:rFonts w:hint="eastAsia"/>
                <w:color w:val="auto"/>
              </w:rPr>
              <w:t>少量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434" w:type="pct"/>
            <w:vMerge w:val="continue"/>
            <w:noWrap w:val="0"/>
            <w:vAlign w:val="center"/>
          </w:tcPr>
          <w:p>
            <w:pPr>
              <w:pStyle w:val="111"/>
              <w:rPr>
                <w:rFonts w:hint="eastAsia"/>
                <w:color w:val="auto"/>
              </w:rPr>
            </w:pPr>
          </w:p>
        </w:tc>
        <w:tc>
          <w:tcPr>
            <w:tcW w:w="792" w:type="pct"/>
            <w:noWrap w:val="0"/>
            <w:vAlign w:val="center"/>
          </w:tcPr>
          <w:p>
            <w:pPr>
              <w:pStyle w:val="176"/>
              <w:rPr>
                <w:rFonts w:hint="eastAsia"/>
                <w:color w:val="auto"/>
              </w:rPr>
            </w:pPr>
            <w:r>
              <w:rPr>
                <w:rFonts w:hint="eastAsia"/>
                <w:color w:val="auto"/>
              </w:rPr>
              <w:t>一体化污水处理设施臭气</w:t>
            </w:r>
          </w:p>
        </w:tc>
        <w:tc>
          <w:tcPr>
            <w:tcW w:w="695" w:type="pct"/>
            <w:noWrap w:val="0"/>
            <w:vAlign w:val="center"/>
          </w:tcPr>
          <w:p>
            <w:pPr>
              <w:pStyle w:val="111"/>
              <w:bidi w:val="0"/>
              <w:rPr>
                <w:rFonts w:hint="eastAsia"/>
              </w:rPr>
            </w:pPr>
            <w:r>
              <w:rPr>
                <w:rFonts w:hint="eastAsia"/>
                <w:lang w:val="en-US" w:eastAsia="zh-CN"/>
              </w:rPr>
              <w:t>/</w:t>
            </w:r>
          </w:p>
        </w:tc>
        <w:tc>
          <w:tcPr>
            <w:tcW w:w="521" w:type="pct"/>
            <w:noWrap w:val="0"/>
            <w:vAlign w:val="center"/>
          </w:tcPr>
          <w:p>
            <w:pPr>
              <w:pStyle w:val="111"/>
              <w:bidi w:val="0"/>
              <w:rPr>
                <w:rFonts w:hint="eastAsia"/>
              </w:rPr>
            </w:pPr>
            <w:r>
              <w:rPr>
                <w:rFonts w:hint="eastAsia"/>
                <w:lang w:val="en-US" w:eastAsia="zh-CN"/>
              </w:rPr>
              <w:t>/</w:t>
            </w:r>
          </w:p>
        </w:tc>
        <w:tc>
          <w:tcPr>
            <w:tcW w:w="695" w:type="pct"/>
            <w:noWrap w:val="0"/>
            <w:vAlign w:val="center"/>
          </w:tcPr>
          <w:p>
            <w:pPr>
              <w:pStyle w:val="111"/>
              <w:bidi w:val="0"/>
              <w:rPr>
                <w:rFonts w:hint="eastAsia"/>
              </w:rPr>
            </w:pPr>
            <w:r>
              <w:rPr>
                <w:rFonts w:hint="eastAsia"/>
                <w:lang w:val="en-US" w:eastAsia="zh-CN"/>
              </w:rPr>
              <w:t>/</w:t>
            </w:r>
          </w:p>
        </w:tc>
        <w:tc>
          <w:tcPr>
            <w:tcW w:w="637" w:type="pct"/>
            <w:noWrap w:val="0"/>
            <w:vAlign w:val="center"/>
          </w:tcPr>
          <w:p>
            <w:pPr>
              <w:pStyle w:val="111"/>
              <w:rPr>
                <w:rFonts w:hint="eastAsia"/>
                <w:color w:val="auto"/>
              </w:rPr>
            </w:pPr>
            <w:r>
              <w:rPr>
                <w:rFonts w:hint="eastAsia"/>
                <w:color w:val="auto"/>
              </w:rPr>
              <w:t>少量</w:t>
            </w:r>
          </w:p>
        </w:tc>
        <w:tc>
          <w:tcPr>
            <w:tcW w:w="493" w:type="pct"/>
            <w:noWrap w:val="0"/>
            <w:vAlign w:val="center"/>
          </w:tcPr>
          <w:p>
            <w:pPr>
              <w:pStyle w:val="111"/>
              <w:bidi w:val="0"/>
              <w:ind w:firstLine="0" w:firstLineChars="0"/>
              <w:rPr>
                <w:rFonts w:hint="eastAsia"/>
                <w:color w:val="auto"/>
              </w:rPr>
            </w:pPr>
            <w:r>
              <w:rPr>
                <w:rFonts w:hint="eastAsia"/>
                <w:lang w:val="en-US" w:eastAsia="zh-CN"/>
              </w:rPr>
              <w:t>/</w:t>
            </w:r>
          </w:p>
        </w:tc>
        <w:tc>
          <w:tcPr>
            <w:tcW w:w="729" w:type="pct"/>
            <w:noWrap w:val="0"/>
            <w:vAlign w:val="center"/>
          </w:tcPr>
          <w:p>
            <w:pPr>
              <w:pStyle w:val="111"/>
              <w:rPr>
                <w:rFonts w:hint="eastAsia"/>
                <w:color w:val="auto"/>
              </w:rPr>
            </w:pPr>
            <w:r>
              <w:rPr>
                <w:rFonts w:hint="eastAsia"/>
                <w:color w:val="auto"/>
              </w:rPr>
              <w:t>少量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4" w:type="pct"/>
            <w:vMerge w:val="restart"/>
            <w:noWrap w:val="0"/>
            <w:vAlign w:val="center"/>
          </w:tcPr>
          <w:p>
            <w:pPr>
              <w:pStyle w:val="111"/>
              <w:rPr>
                <w:rFonts w:hint="eastAsia"/>
                <w:color w:val="auto"/>
              </w:rPr>
            </w:pPr>
            <w:r>
              <w:rPr>
                <w:rFonts w:hint="eastAsia"/>
                <w:color w:val="auto"/>
              </w:rPr>
              <w:t>废水</w:t>
            </w:r>
          </w:p>
        </w:tc>
        <w:tc>
          <w:tcPr>
            <w:tcW w:w="792" w:type="pct"/>
            <w:noWrap w:val="0"/>
            <w:vAlign w:val="center"/>
          </w:tcPr>
          <w:p>
            <w:pPr>
              <w:pStyle w:val="111"/>
              <w:rPr>
                <w:rFonts w:hint="eastAsia"/>
                <w:color w:val="auto"/>
              </w:rPr>
            </w:pPr>
            <w:r>
              <w:rPr>
                <w:color w:val="auto"/>
              </w:rPr>
              <w:t>废水量</w:t>
            </w:r>
            <w:r>
              <w:rPr>
                <w:rFonts w:hint="eastAsia"/>
                <w:color w:val="auto"/>
              </w:rPr>
              <w:t>（进入市政污水管网的总量）</w:t>
            </w:r>
          </w:p>
        </w:tc>
        <w:tc>
          <w:tcPr>
            <w:tcW w:w="695" w:type="pct"/>
            <w:noWrap w:val="0"/>
            <w:vAlign w:val="center"/>
          </w:tcPr>
          <w:p>
            <w:pPr>
              <w:pStyle w:val="111"/>
              <w:bidi w:val="0"/>
              <w:rPr>
                <w:rFonts w:hint="eastAsia"/>
              </w:rPr>
            </w:pPr>
            <w:r>
              <w:rPr>
                <w:rFonts w:hint="eastAsia"/>
                <w:lang w:val="en-US" w:eastAsia="zh-CN"/>
              </w:rPr>
              <w:t>/</w:t>
            </w:r>
          </w:p>
        </w:tc>
        <w:tc>
          <w:tcPr>
            <w:tcW w:w="521" w:type="pct"/>
            <w:noWrap w:val="0"/>
            <w:vAlign w:val="center"/>
          </w:tcPr>
          <w:p>
            <w:pPr>
              <w:pStyle w:val="111"/>
              <w:bidi w:val="0"/>
              <w:rPr>
                <w:rFonts w:hint="eastAsia"/>
              </w:rPr>
            </w:pPr>
            <w:r>
              <w:rPr>
                <w:rFonts w:hint="eastAsia"/>
                <w:lang w:val="en-US" w:eastAsia="zh-CN"/>
              </w:rPr>
              <w:t>/</w:t>
            </w:r>
          </w:p>
        </w:tc>
        <w:tc>
          <w:tcPr>
            <w:tcW w:w="695" w:type="pct"/>
            <w:noWrap w:val="0"/>
            <w:vAlign w:val="center"/>
          </w:tcPr>
          <w:p>
            <w:pPr>
              <w:pStyle w:val="111"/>
              <w:bidi w:val="0"/>
              <w:rPr>
                <w:rFonts w:hint="eastAsia"/>
              </w:rPr>
            </w:pPr>
            <w:r>
              <w:rPr>
                <w:rFonts w:hint="eastAsia"/>
                <w:lang w:val="en-US" w:eastAsia="zh-CN"/>
              </w:rPr>
              <w:t>/</w:t>
            </w:r>
          </w:p>
        </w:tc>
        <w:tc>
          <w:tcPr>
            <w:tcW w:w="637" w:type="pct"/>
            <w:noWrap w:val="0"/>
            <w:vAlign w:val="center"/>
          </w:tcPr>
          <w:p>
            <w:pPr>
              <w:pStyle w:val="111"/>
              <w:rPr>
                <w:color w:val="auto"/>
              </w:rPr>
            </w:pPr>
            <w:r>
              <w:rPr>
                <w:rFonts w:hint="eastAsia"/>
                <w:color w:val="auto"/>
                <w:lang w:eastAsia="zh-CN"/>
              </w:rPr>
              <w:t>720</w:t>
            </w:r>
            <w:r>
              <w:rPr>
                <w:rFonts w:hint="eastAsia"/>
                <w:color w:val="auto"/>
              </w:rPr>
              <w:t>/m</w:t>
            </w:r>
            <w:r>
              <w:rPr>
                <w:rFonts w:hint="eastAsia"/>
                <w:color w:val="auto"/>
                <w:vertAlign w:val="superscript"/>
              </w:rPr>
              <w:t>3</w:t>
            </w:r>
            <w:r>
              <w:rPr>
                <w:rFonts w:hint="eastAsia"/>
                <w:color w:val="auto"/>
              </w:rPr>
              <w:t>/a</w:t>
            </w:r>
          </w:p>
        </w:tc>
        <w:tc>
          <w:tcPr>
            <w:tcW w:w="493" w:type="pct"/>
            <w:noWrap w:val="0"/>
            <w:vAlign w:val="center"/>
          </w:tcPr>
          <w:p>
            <w:pPr>
              <w:pStyle w:val="111"/>
              <w:bidi w:val="0"/>
              <w:ind w:firstLine="0" w:firstLineChars="0"/>
              <w:rPr>
                <w:rFonts w:hint="eastAsia"/>
                <w:color w:val="auto"/>
              </w:rPr>
            </w:pPr>
            <w:r>
              <w:rPr>
                <w:rFonts w:hint="eastAsia"/>
                <w:lang w:val="en-US" w:eastAsia="zh-CN"/>
              </w:rPr>
              <w:t>/</w:t>
            </w:r>
          </w:p>
        </w:tc>
        <w:tc>
          <w:tcPr>
            <w:tcW w:w="729" w:type="pct"/>
            <w:noWrap w:val="0"/>
            <w:vAlign w:val="center"/>
          </w:tcPr>
          <w:p>
            <w:pPr>
              <w:pStyle w:val="111"/>
              <w:rPr>
                <w:color w:val="auto"/>
              </w:rPr>
            </w:pPr>
            <w:r>
              <w:rPr>
                <w:rFonts w:hint="eastAsia"/>
                <w:color w:val="auto"/>
                <w:lang w:eastAsia="zh-CN"/>
              </w:rPr>
              <w:t>720</w:t>
            </w:r>
            <w:r>
              <w:rPr>
                <w:rFonts w:hint="eastAsia"/>
                <w:color w:val="auto"/>
              </w:rPr>
              <w:t>m</w:t>
            </w:r>
            <w:r>
              <w:rPr>
                <w:rFonts w:hint="eastAsia"/>
                <w:color w:val="auto"/>
                <w:vertAlign w:val="superscript"/>
              </w:rPr>
              <w:t>3</w:t>
            </w:r>
            <w:r>
              <w:rPr>
                <w:rFonts w:hint="eastAsia"/>
                <w:color w:val="auto"/>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434" w:type="pct"/>
            <w:vMerge w:val="continue"/>
            <w:noWrap w:val="0"/>
            <w:vAlign w:val="center"/>
          </w:tcPr>
          <w:p>
            <w:pPr>
              <w:pStyle w:val="111"/>
              <w:rPr>
                <w:rFonts w:hint="eastAsia"/>
                <w:color w:val="auto"/>
              </w:rPr>
            </w:pPr>
          </w:p>
        </w:tc>
        <w:tc>
          <w:tcPr>
            <w:tcW w:w="792" w:type="pct"/>
            <w:noWrap w:val="0"/>
            <w:vAlign w:val="center"/>
          </w:tcPr>
          <w:p>
            <w:pPr>
              <w:pStyle w:val="176"/>
              <w:rPr>
                <w:color w:val="auto"/>
              </w:rPr>
            </w:pPr>
            <w:r>
              <w:rPr>
                <w:color w:val="auto"/>
              </w:rPr>
              <w:t>COD</w:t>
            </w:r>
          </w:p>
        </w:tc>
        <w:tc>
          <w:tcPr>
            <w:tcW w:w="695" w:type="pct"/>
            <w:noWrap w:val="0"/>
            <w:vAlign w:val="center"/>
          </w:tcPr>
          <w:p>
            <w:pPr>
              <w:pStyle w:val="111"/>
              <w:bidi w:val="0"/>
              <w:rPr>
                <w:rFonts w:hint="eastAsia"/>
              </w:rPr>
            </w:pPr>
            <w:r>
              <w:rPr>
                <w:rFonts w:hint="eastAsia"/>
                <w:lang w:val="en-US" w:eastAsia="zh-CN"/>
              </w:rPr>
              <w:t>/</w:t>
            </w:r>
          </w:p>
        </w:tc>
        <w:tc>
          <w:tcPr>
            <w:tcW w:w="521" w:type="pct"/>
            <w:noWrap w:val="0"/>
            <w:vAlign w:val="center"/>
          </w:tcPr>
          <w:p>
            <w:pPr>
              <w:pStyle w:val="111"/>
              <w:bidi w:val="0"/>
              <w:rPr>
                <w:rFonts w:hint="eastAsia"/>
              </w:rPr>
            </w:pPr>
            <w:r>
              <w:rPr>
                <w:rFonts w:hint="eastAsia"/>
                <w:lang w:val="en-US" w:eastAsia="zh-CN"/>
              </w:rPr>
              <w:t>/</w:t>
            </w:r>
          </w:p>
        </w:tc>
        <w:tc>
          <w:tcPr>
            <w:tcW w:w="695" w:type="pct"/>
            <w:noWrap w:val="0"/>
            <w:vAlign w:val="center"/>
          </w:tcPr>
          <w:p>
            <w:pPr>
              <w:pStyle w:val="111"/>
              <w:bidi w:val="0"/>
              <w:rPr>
                <w:rFonts w:hint="eastAsia"/>
              </w:rPr>
            </w:pPr>
            <w:r>
              <w:rPr>
                <w:rFonts w:hint="eastAsia"/>
                <w:lang w:val="en-US" w:eastAsia="zh-CN"/>
              </w:rPr>
              <w:t>/</w:t>
            </w:r>
          </w:p>
        </w:tc>
        <w:tc>
          <w:tcPr>
            <w:tcW w:w="637" w:type="pct"/>
            <w:noWrap w:val="0"/>
            <w:vAlign w:val="center"/>
          </w:tcPr>
          <w:p>
            <w:pPr>
              <w:pStyle w:val="111"/>
              <w:rPr>
                <w:color w:val="auto"/>
              </w:rPr>
            </w:pPr>
            <w:r>
              <w:rPr>
                <w:rFonts w:hint="eastAsia"/>
                <w:color w:val="auto"/>
              </w:rPr>
              <w:t>0.</w:t>
            </w:r>
            <w:r>
              <w:rPr>
                <w:rFonts w:hint="eastAsia"/>
                <w:color w:val="auto"/>
                <w:lang w:val="en-US" w:eastAsia="zh-CN"/>
              </w:rPr>
              <w:t>180</w:t>
            </w:r>
            <w:r>
              <w:rPr>
                <w:rFonts w:hint="eastAsia"/>
                <w:color w:val="auto"/>
              </w:rPr>
              <w:t>t/a</w:t>
            </w:r>
          </w:p>
        </w:tc>
        <w:tc>
          <w:tcPr>
            <w:tcW w:w="493" w:type="pct"/>
            <w:noWrap w:val="0"/>
            <w:vAlign w:val="center"/>
          </w:tcPr>
          <w:p>
            <w:pPr>
              <w:pStyle w:val="111"/>
              <w:bidi w:val="0"/>
              <w:ind w:firstLine="0" w:firstLineChars="0"/>
              <w:rPr>
                <w:rFonts w:hint="eastAsia"/>
                <w:color w:val="auto"/>
              </w:rPr>
            </w:pPr>
            <w:r>
              <w:rPr>
                <w:rFonts w:hint="eastAsia"/>
                <w:lang w:val="en-US" w:eastAsia="zh-CN"/>
              </w:rPr>
              <w:t>/</w:t>
            </w:r>
          </w:p>
        </w:tc>
        <w:tc>
          <w:tcPr>
            <w:tcW w:w="729" w:type="pct"/>
            <w:noWrap w:val="0"/>
            <w:vAlign w:val="center"/>
          </w:tcPr>
          <w:p>
            <w:pPr>
              <w:pStyle w:val="111"/>
              <w:ind w:firstLine="0" w:firstLineChars="0"/>
              <w:rPr>
                <w:rFonts w:hint="eastAsia"/>
                <w:color w:val="auto"/>
              </w:rPr>
            </w:pPr>
            <w:r>
              <w:rPr>
                <w:rFonts w:hint="eastAsia"/>
                <w:color w:val="auto"/>
              </w:rPr>
              <w:t>0.</w:t>
            </w:r>
            <w:r>
              <w:rPr>
                <w:rFonts w:hint="eastAsia"/>
                <w:color w:val="auto"/>
                <w:lang w:val="en-US" w:eastAsia="zh-CN"/>
              </w:rPr>
              <w:t>180</w:t>
            </w:r>
            <w:r>
              <w:rPr>
                <w:rFonts w:hint="eastAsia"/>
                <w:color w:val="auto"/>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434" w:type="pct"/>
            <w:vMerge w:val="continue"/>
            <w:noWrap w:val="0"/>
            <w:vAlign w:val="center"/>
          </w:tcPr>
          <w:p>
            <w:pPr>
              <w:pStyle w:val="111"/>
              <w:rPr>
                <w:rFonts w:hint="eastAsia"/>
                <w:color w:val="auto"/>
              </w:rPr>
            </w:pPr>
          </w:p>
        </w:tc>
        <w:tc>
          <w:tcPr>
            <w:tcW w:w="792" w:type="pct"/>
            <w:noWrap w:val="0"/>
            <w:vAlign w:val="center"/>
          </w:tcPr>
          <w:p>
            <w:pPr>
              <w:pStyle w:val="176"/>
              <w:rPr>
                <w:color w:val="auto"/>
              </w:rPr>
            </w:pPr>
            <w:r>
              <w:rPr>
                <w:rFonts w:hint="eastAsia"/>
                <w:color w:val="auto"/>
              </w:rPr>
              <w:t>NH</w:t>
            </w:r>
            <w:r>
              <w:rPr>
                <w:rFonts w:hint="eastAsia"/>
                <w:color w:val="auto"/>
                <w:vertAlign w:val="subscript"/>
              </w:rPr>
              <w:t>3</w:t>
            </w:r>
            <w:r>
              <w:rPr>
                <w:rFonts w:hint="eastAsia"/>
                <w:color w:val="auto"/>
              </w:rPr>
              <w:t>-N</w:t>
            </w:r>
          </w:p>
        </w:tc>
        <w:tc>
          <w:tcPr>
            <w:tcW w:w="695" w:type="pct"/>
            <w:noWrap w:val="0"/>
            <w:vAlign w:val="center"/>
          </w:tcPr>
          <w:p>
            <w:pPr>
              <w:pStyle w:val="111"/>
              <w:bidi w:val="0"/>
              <w:rPr>
                <w:rFonts w:hint="eastAsia"/>
              </w:rPr>
            </w:pPr>
            <w:r>
              <w:rPr>
                <w:rFonts w:hint="eastAsia"/>
                <w:lang w:val="en-US" w:eastAsia="zh-CN"/>
              </w:rPr>
              <w:t>/</w:t>
            </w:r>
          </w:p>
        </w:tc>
        <w:tc>
          <w:tcPr>
            <w:tcW w:w="521" w:type="pct"/>
            <w:noWrap w:val="0"/>
            <w:vAlign w:val="center"/>
          </w:tcPr>
          <w:p>
            <w:pPr>
              <w:pStyle w:val="111"/>
              <w:bidi w:val="0"/>
              <w:rPr>
                <w:rFonts w:hint="eastAsia"/>
              </w:rPr>
            </w:pPr>
            <w:r>
              <w:rPr>
                <w:rFonts w:hint="eastAsia"/>
                <w:lang w:val="en-US" w:eastAsia="zh-CN"/>
              </w:rPr>
              <w:t>/</w:t>
            </w:r>
          </w:p>
        </w:tc>
        <w:tc>
          <w:tcPr>
            <w:tcW w:w="695" w:type="pct"/>
            <w:noWrap w:val="0"/>
            <w:vAlign w:val="center"/>
          </w:tcPr>
          <w:p>
            <w:pPr>
              <w:pStyle w:val="111"/>
              <w:bidi w:val="0"/>
              <w:rPr>
                <w:rFonts w:hint="eastAsia"/>
              </w:rPr>
            </w:pPr>
            <w:r>
              <w:rPr>
                <w:rFonts w:hint="eastAsia"/>
                <w:lang w:val="en-US" w:eastAsia="zh-CN"/>
              </w:rPr>
              <w:t>/</w:t>
            </w:r>
          </w:p>
        </w:tc>
        <w:tc>
          <w:tcPr>
            <w:tcW w:w="637" w:type="pct"/>
            <w:noWrap w:val="0"/>
            <w:vAlign w:val="center"/>
          </w:tcPr>
          <w:p>
            <w:pPr>
              <w:pStyle w:val="111"/>
              <w:rPr>
                <w:color w:val="auto"/>
              </w:rPr>
            </w:pPr>
            <w:r>
              <w:rPr>
                <w:rFonts w:hint="eastAsia"/>
                <w:color w:val="auto"/>
              </w:rPr>
              <w:t>0.0</w:t>
            </w:r>
            <w:r>
              <w:rPr>
                <w:rFonts w:hint="eastAsia"/>
                <w:color w:val="auto"/>
                <w:lang w:val="en-US" w:eastAsia="zh-CN"/>
              </w:rPr>
              <w:t>32</w:t>
            </w:r>
            <w:r>
              <w:rPr>
                <w:rFonts w:hint="eastAsia"/>
                <w:color w:val="auto"/>
              </w:rPr>
              <w:t>t/a</w:t>
            </w:r>
          </w:p>
        </w:tc>
        <w:tc>
          <w:tcPr>
            <w:tcW w:w="493" w:type="pct"/>
            <w:noWrap w:val="0"/>
            <w:vAlign w:val="center"/>
          </w:tcPr>
          <w:p>
            <w:pPr>
              <w:pStyle w:val="111"/>
              <w:bidi w:val="0"/>
              <w:ind w:firstLine="0" w:firstLineChars="0"/>
              <w:rPr>
                <w:rFonts w:hint="eastAsia"/>
                <w:color w:val="auto"/>
              </w:rPr>
            </w:pPr>
            <w:r>
              <w:rPr>
                <w:rFonts w:hint="eastAsia"/>
                <w:lang w:val="en-US" w:eastAsia="zh-CN"/>
              </w:rPr>
              <w:t>/</w:t>
            </w:r>
          </w:p>
        </w:tc>
        <w:tc>
          <w:tcPr>
            <w:tcW w:w="729" w:type="pct"/>
            <w:noWrap w:val="0"/>
            <w:vAlign w:val="center"/>
          </w:tcPr>
          <w:p>
            <w:pPr>
              <w:pStyle w:val="111"/>
              <w:ind w:firstLine="0" w:firstLineChars="0"/>
              <w:rPr>
                <w:rFonts w:hint="eastAsia"/>
                <w:color w:val="auto"/>
              </w:rPr>
            </w:pPr>
            <w:r>
              <w:rPr>
                <w:rFonts w:hint="eastAsia"/>
                <w:color w:val="auto"/>
              </w:rPr>
              <w:t>0.0</w:t>
            </w:r>
            <w:r>
              <w:rPr>
                <w:rFonts w:hint="eastAsia"/>
                <w:color w:val="auto"/>
                <w:lang w:val="en-US" w:eastAsia="zh-CN"/>
              </w:rPr>
              <w:t>32</w:t>
            </w:r>
            <w:r>
              <w:rPr>
                <w:rFonts w:hint="eastAsia"/>
                <w:color w:val="auto"/>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34" w:type="pct"/>
            <w:vMerge w:val="continue"/>
            <w:noWrap w:val="0"/>
            <w:vAlign w:val="center"/>
          </w:tcPr>
          <w:p>
            <w:pPr>
              <w:pStyle w:val="111"/>
              <w:rPr>
                <w:rFonts w:hint="eastAsia"/>
                <w:color w:val="auto"/>
              </w:rPr>
            </w:pPr>
          </w:p>
        </w:tc>
        <w:tc>
          <w:tcPr>
            <w:tcW w:w="792" w:type="pct"/>
            <w:noWrap w:val="0"/>
            <w:vAlign w:val="center"/>
          </w:tcPr>
          <w:p>
            <w:pPr>
              <w:pStyle w:val="176"/>
              <w:rPr>
                <w:color w:val="auto"/>
              </w:rPr>
            </w:pPr>
            <w:r>
              <w:rPr>
                <w:rFonts w:hint="eastAsia"/>
                <w:color w:val="auto"/>
              </w:rPr>
              <w:t>TP</w:t>
            </w:r>
          </w:p>
        </w:tc>
        <w:tc>
          <w:tcPr>
            <w:tcW w:w="695" w:type="pct"/>
            <w:noWrap w:val="0"/>
            <w:vAlign w:val="center"/>
          </w:tcPr>
          <w:p>
            <w:pPr>
              <w:pStyle w:val="111"/>
              <w:bidi w:val="0"/>
              <w:rPr>
                <w:rFonts w:hint="eastAsia"/>
              </w:rPr>
            </w:pPr>
            <w:r>
              <w:rPr>
                <w:rFonts w:hint="eastAsia"/>
                <w:lang w:val="en-US" w:eastAsia="zh-CN"/>
              </w:rPr>
              <w:t>/</w:t>
            </w:r>
          </w:p>
        </w:tc>
        <w:tc>
          <w:tcPr>
            <w:tcW w:w="521" w:type="pct"/>
            <w:noWrap w:val="0"/>
            <w:vAlign w:val="center"/>
          </w:tcPr>
          <w:p>
            <w:pPr>
              <w:pStyle w:val="111"/>
              <w:bidi w:val="0"/>
              <w:rPr>
                <w:rFonts w:hint="eastAsia"/>
              </w:rPr>
            </w:pPr>
            <w:r>
              <w:rPr>
                <w:rFonts w:hint="eastAsia"/>
                <w:lang w:val="en-US" w:eastAsia="zh-CN"/>
              </w:rPr>
              <w:t>/</w:t>
            </w:r>
          </w:p>
        </w:tc>
        <w:tc>
          <w:tcPr>
            <w:tcW w:w="695" w:type="pct"/>
            <w:noWrap w:val="0"/>
            <w:vAlign w:val="center"/>
          </w:tcPr>
          <w:p>
            <w:pPr>
              <w:pStyle w:val="111"/>
              <w:bidi w:val="0"/>
              <w:rPr>
                <w:rFonts w:hint="eastAsia"/>
              </w:rPr>
            </w:pPr>
            <w:r>
              <w:rPr>
                <w:rFonts w:hint="eastAsia"/>
                <w:lang w:val="en-US" w:eastAsia="zh-CN"/>
              </w:rPr>
              <w:t>/</w:t>
            </w:r>
          </w:p>
        </w:tc>
        <w:tc>
          <w:tcPr>
            <w:tcW w:w="637" w:type="pct"/>
            <w:noWrap w:val="0"/>
            <w:vAlign w:val="center"/>
          </w:tcPr>
          <w:p>
            <w:pPr>
              <w:pStyle w:val="111"/>
              <w:rPr>
                <w:color w:val="auto"/>
              </w:rPr>
            </w:pPr>
            <w:r>
              <w:rPr>
                <w:rFonts w:hint="eastAsia"/>
                <w:color w:val="auto"/>
              </w:rPr>
              <w:t>0.00</w:t>
            </w:r>
            <w:r>
              <w:rPr>
                <w:rFonts w:hint="eastAsia"/>
                <w:color w:val="auto"/>
                <w:lang w:val="en-US" w:eastAsia="zh-CN"/>
              </w:rPr>
              <w:t>6</w:t>
            </w:r>
            <w:r>
              <w:rPr>
                <w:rFonts w:hint="eastAsia"/>
                <w:color w:val="auto"/>
              </w:rPr>
              <w:t>t/a</w:t>
            </w:r>
          </w:p>
        </w:tc>
        <w:tc>
          <w:tcPr>
            <w:tcW w:w="493" w:type="pct"/>
            <w:noWrap w:val="0"/>
            <w:vAlign w:val="center"/>
          </w:tcPr>
          <w:p>
            <w:pPr>
              <w:pStyle w:val="111"/>
              <w:bidi w:val="0"/>
              <w:ind w:firstLine="0" w:firstLineChars="0"/>
              <w:rPr>
                <w:rFonts w:hint="eastAsia"/>
                <w:color w:val="auto"/>
              </w:rPr>
            </w:pPr>
            <w:r>
              <w:rPr>
                <w:rFonts w:hint="eastAsia"/>
                <w:lang w:val="en-US" w:eastAsia="zh-CN"/>
              </w:rPr>
              <w:t>/</w:t>
            </w:r>
          </w:p>
        </w:tc>
        <w:tc>
          <w:tcPr>
            <w:tcW w:w="729" w:type="pct"/>
            <w:noWrap w:val="0"/>
            <w:vAlign w:val="center"/>
          </w:tcPr>
          <w:p>
            <w:pPr>
              <w:pStyle w:val="111"/>
              <w:ind w:firstLine="0" w:firstLineChars="0"/>
              <w:rPr>
                <w:rFonts w:hint="eastAsia"/>
                <w:color w:val="auto"/>
              </w:rPr>
            </w:pPr>
            <w:r>
              <w:rPr>
                <w:rFonts w:hint="eastAsia"/>
                <w:color w:val="auto"/>
              </w:rPr>
              <w:t>0.00</w:t>
            </w:r>
            <w:r>
              <w:rPr>
                <w:rFonts w:hint="eastAsia"/>
                <w:color w:val="auto"/>
                <w:lang w:val="en-US" w:eastAsia="zh-CN"/>
              </w:rPr>
              <w:t>6</w:t>
            </w:r>
            <w:r>
              <w:rPr>
                <w:rFonts w:hint="eastAsia"/>
                <w:color w:val="auto"/>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4" w:type="pct"/>
            <w:vMerge w:val="restart"/>
            <w:noWrap w:val="0"/>
            <w:vAlign w:val="center"/>
          </w:tcPr>
          <w:p>
            <w:pPr>
              <w:pStyle w:val="111"/>
              <w:rPr>
                <w:color w:val="auto"/>
              </w:rPr>
            </w:pPr>
            <w:r>
              <w:rPr>
                <w:rFonts w:hint="eastAsia"/>
                <w:color w:val="auto"/>
              </w:rPr>
              <w:t>一般工业</w:t>
            </w:r>
          </w:p>
          <w:p>
            <w:pPr>
              <w:pStyle w:val="111"/>
              <w:rPr>
                <w:rFonts w:hint="eastAsia"/>
                <w:color w:val="auto"/>
              </w:rPr>
            </w:pPr>
            <w:r>
              <w:rPr>
                <w:rFonts w:hint="eastAsia"/>
                <w:color w:val="auto"/>
              </w:rPr>
              <w:t>固体废物</w:t>
            </w:r>
          </w:p>
        </w:tc>
        <w:tc>
          <w:tcPr>
            <w:tcW w:w="792" w:type="pct"/>
            <w:noWrap w:val="0"/>
            <w:vAlign w:val="center"/>
          </w:tcPr>
          <w:p>
            <w:pPr>
              <w:pStyle w:val="176"/>
              <w:rPr>
                <w:color w:val="auto"/>
              </w:rPr>
            </w:pPr>
            <w:r>
              <w:rPr>
                <w:rFonts w:hint="eastAsia"/>
                <w:color w:val="auto"/>
              </w:rPr>
              <w:t>生活垃圾</w:t>
            </w:r>
          </w:p>
        </w:tc>
        <w:tc>
          <w:tcPr>
            <w:tcW w:w="695" w:type="pct"/>
            <w:noWrap w:val="0"/>
            <w:vAlign w:val="center"/>
          </w:tcPr>
          <w:p>
            <w:pPr>
              <w:pStyle w:val="111"/>
              <w:bidi w:val="0"/>
              <w:rPr>
                <w:rFonts w:hint="eastAsia"/>
              </w:rPr>
            </w:pPr>
            <w:r>
              <w:rPr>
                <w:rFonts w:hint="eastAsia"/>
                <w:lang w:val="en-US" w:eastAsia="zh-CN"/>
              </w:rPr>
              <w:t>/</w:t>
            </w:r>
          </w:p>
        </w:tc>
        <w:tc>
          <w:tcPr>
            <w:tcW w:w="521" w:type="pct"/>
            <w:noWrap w:val="0"/>
            <w:vAlign w:val="center"/>
          </w:tcPr>
          <w:p>
            <w:pPr>
              <w:pStyle w:val="111"/>
              <w:bidi w:val="0"/>
              <w:rPr>
                <w:rFonts w:hint="eastAsia"/>
              </w:rPr>
            </w:pPr>
            <w:r>
              <w:rPr>
                <w:rFonts w:hint="eastAsia"/>
                <w:lang w:val="en-US" w:eastAsia="zh-CN"/>
              </w:rPr>
              <w:t>/</w:t>
            </w:r>
          </w:p>
        </w:tc>
        <w:tc>
          <w:tcPr>
            <w:tcW w:w="695" w:type="pct"/>
            <w:noWrap w:val="0"/>
            <w:vAlign w:val="center"/>
          </w:tcPr>
          <w:p>
            <w:pPr>
              <w:pStyle w:val="111"/>
              <w:bidi w:val="0"/>
              <w:rPr>
                <w:rFonts w:hint="eastAsia"/>
              </w:rPr>
            </w:pPr>
            <w:r>
              <w:rPr>
                <w:rFonts w:hint="eastAsia"/>
                <w:lang w:val="en-US" w:eastAsia="zh-CN"/>
              </w:rPr>
              <w:t>/</w:t>
            </w:r>
          </w:p>
        </w:tc>
        <w:tc>
          <w:tcPr>
            <w:tcW w:w="637" w:type="pct"/>
            <w:noWrap w:val="0"/>
            <w:vAlign w:val="center"/>
          </w:tcPr>
          <w:p>
            <w:pPr>
              <w:pStyle w:val="111"/>
              <w:rPr>
                <w:color w:val="auto"/>
              </w:rPr>
            </w:pPr>
            <w:r>
              <w:rPr>
                <w:rFonts w:hint="eastAsia"/>
                <w:color w:val="auto"/>
                <w:lang w:val="en-US" w:eastAsia="zh-CN"/>
              </w:rPr>
              <w:t>2.52</w:t>
            </w:r>
            <w:r>
              <w:rPr>
                <w:rFonts w:hint="eastAsia"/>
                <w:color w:val="auto"/>
              </w:rPr>
              <w:t>t/a</w:t>
            </w:r>
          </w:p>
        </w:tc>
        <w:tc>
          <w:tcPr>
            <w:tcW w:w="493" w:type="pct"/>
            <w:noWrap w:val="0"/>
            <w:vAlign w:val="center"/>
          </w:tcPr>
          <w:p>
            <w:pPr>
              <w:pStyle w:val="111"/>
              <w:bidi w:val="0"/>
              <w:ind w:firstLine="0" w:firstLineChars="0"/>
              <w:rPr>
                <w:rFonts w:hint="eastAsia"/>
                <w:color w:val="auto"/>
              </w:rPr>
            </w:pPr>
            <w:r>
              <w:rPr>
                <w:rFonts w:hint="eastAsia"/>
                <w:lang w:val="en-US" w:eastAsia="zh-CN"/>
              </w:rPr>
              <w:t>/</w:t>
            </w:r>
          </w:p>
        </w:tc>
        <w:tc>
          <w:tcPr>
            <w:tcW w:w="729" w:type="pct"/>
            <w:noWrap w:val="0"/>
            <w:vAlign w:val="center"/>
          </w:tcPr>
          <w:p>
            <w:pPr>
              <w:pStyle w:val="111"/>
              <w:ind w:firstLine="0" w:firstLineChars="0"/>
              <w:rPr>
                <w:color w:val="auto"/>
              </w:rPr>
            </w:pPr>
            <w:r>
              <w:rPr>
                <w:rFonts w:hint="eastAsia"/>
                <w:color w:val="auto"/>
                <w:lang w:val="en-US" w:eastAsia="zh-CN"/>
              </w:rPr>
              <w:t>2.52</w:t>
            </w:r>
            <w:r>
              <w:rPr>
                <w:rFonts w:hint="eastAsia"/>
                <w:color w:val="auto"/>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4" w:type="pct"/>
            <w:vMerge w:val="continue"/>
            <w:noWrap w:val="0"/>
            <w:vAlign w:val="center"/>
          </w:tcPr>
          <w:p>
            <w:pPr>
              <w:pStyle w:val="111"/>
              <w:rPr>
                <w:color w:val="auto"/>
              </w:rPr>
            </w:pPr>
          </w:p>
        </w:tc>
        <w:tc>
          <w:tcPr>
            <w:tcW w:w="792" w:type="pct"/>
            <w:noWrap w:val="0"/>
            <w:vAlign w:val="center"/>
          </w:tcPr>
          <w:p>
            <w:pPr>
              <w:pStyle w:val="176"/>
              <w:rPr>
                <w:rFonts w:hint="eastAsia" w:eastAsia="宋体"/>
                <w:color w:val="auto"/>
                <w:lang w:eastAsia="zh-CN"/>
              </w:rPr>
            </w:pPr>
            <w:r>
              <w:rPr>
                <w:rFonts w:hint="eastAsia"/>
                <w:color w:val="auto"/>
              </w:rPr>
              <w:t>宠物粪便</w:t>
            </w:r>
            <w:r>
              <w:rPr>
                <w:rFonts w:hint="eastAsia"/>
                <w:color w:val="auto"/>
                <w:lang w:eastAsia="zh-CN"/>
              </w:rPr>
              <w:t>及垫料</w:t>
            </w:r>
          </w:p>
        </w:tc>
        <w:tc>
          <w:tcPr>
            <w:tcW w:w="695" w:type="pct"/>
            <w:noWrap w:val="0"/>
            <w:vAlign w:val="center"/>
          </w:tcPr>
          <w:p>
            <w:pPr>
              <w:pStyle w:val="111"/>
              <w:bidi w:val="0"/>
              <w:rPr>
                <w:rFonts w:hint="eastAsia"/>
              </w:rPr>
            </w:pPr>
            <w:r>
              <w:rPr>
                <w:rFonts w:hint="eastAsia"/>
                <w:lang w:val="en-US" w:eastAsia="zh-CN"/>
              </w:rPr>
              <w:t>/</w:t>
            </w:r>
          </w:p>
        </w:tc>
        <w:tc>
          <w:tcPr>
            <w:tcW w:w="521" w:type="pct"/>
            <w:noWrap w:val="0"/>
            <w:vAlign w:val="center"/>
          </w:tcPr>
          <w:p>
            <w:pPr>
              <w:pStyle w:val="111"/>
              <w:bidi w:val="0"/>
              <w:rPr>
                <w:rFonts w:hint="eastAsia"/>
              </w:rPr>
            </w:pPr>
            <w:r>
              <w:rPr>
                <w:rFonts w:hint="eastAsia"/>
                <w:lang w:val="en-US" w:eastAsia="zh-CN"/>
              </w:rPr>
              <w:t>/</w:t>
            </w:r>
          </w:p>
        </w:tc>
        <w:tc>
          <w:tcPr>
            <w:tcW w:w="695" w:type="pct"/>
            <w:noWrap w:val="0"/>
            <w:vAlign w:val="center"/>
          </w:tcPr>
          <w:p>
            <w:pPr>
              <w:pStyle w:val="111"/>
              <w:bidi w:val="0"/>
              <w:rPr>
                <w:rFonts w:hint="eastAsia"/>
              </w:rPr>
            </w:pPr>
            <w:r>
              <w:rPr>
                <w:rFonts w:hint="eastAsia"/>
                <w:lang w:val="en-US" w:eastAsia="zh-CN"/>
              </w:rPr>
              <w:t>/</w:t>
            </w:r>
          </w:p>
        </w:tc>
        <w:tc>
          <w:tcPr>
            <w:tcW w:w="637" w:type="pct"/>
            <w:noWrap w:val="0"/>
            <w:vAlign w:val="center"/>
          </w:tcPr>
          <w:p>
            <w:pPr>
              <w:pStyle w:val="111"/>
              <w:rPr>
                <w:color w:val="auto"/>
              </w:rPr>
            </w:pPr>
            <w:r>
              <w:rPr>
                <w:rFonts w:hint="eastAsia"/>
                <w:color w:val="auto"/>
              </w:rPr>
              <w:t>0.</w:t>
            </w:r>
            <w:r>
              <w:rPr>
                <w:rFonts w:hint="eastAsia"/>
                <w:color w:val="auto"/>
                <w:lang w:val="en-US" w:eastAsia="zh-CN"/>
              </w:rPr>
              <w:t>5</w:t>
            </w:r>
            <w:r>
              <w:rPr>
                <w:rFonts w:hint="eastAsia"/>
                <w:color w:val="auto"/>
              </w:rPr>
              <w:t>t/a</w:t>
            </w:r>
          </w:p>
        </w:tc>
        <w:tc>
          <w:tcPr>
            <w:tcW w:w="493" w:type="pct"/>
            <w:noWrap w:val="0"/>
            <w:vAlign w:val="center"/>
          </w:tcPr>
          <w:p>
            <w:pPr>
              <w:pStyle w:val="111"/>
              <w:bidi w:val="0"/>
              <w:ind w:firstLine="0" w:firstLineChars="0"/>
              <w:rPr>
                <w:rFonts w:hint="eastAsia"/>
                <w:color w:val="auto"/>
              </w:rPr>
            </w:pPr>
            <w:r>
              <w:rPr>
                <w:rFonts w:hint="eastAsia"/>
                <w:lang w:val="en-US" w:eastAsia="zh-CN"/>
              </w:rPr>
              <w:t>/</w:t>
            </w:r>
          </w:p>
        </w:tc>
        <w:tc>
          <w:tcPr>
            <w:tcW w:w="729" w:type="pct"/>
            <w:noWrap w:val="0"/>
            <w:vAlign w:val="center"/>
          </w:tcPr>
          <w:p>
            <w:pPr>
              <w:pStyle w:val="111"/>
              <w:ind w:firstLine="0" w:firstLineChars="0"/>
              <w:rPr>
                <w:color w:val="auto"/>
              </w:rPr>
            </w:pPr>
            <w:r>
              <w:rPr>
                <w:rFonts w:hint="eastAsia"/>
                <w:color w:val="auto"/>
              </w:rPr>
              <w:t>0.</w:t>
            </w:r>
            <w:r>
              <w:rPr>
                <w:rFonts w:hint="eastAsia"/>
                <w:color w:val="auto"/>
                <w:lang w:val="en-US" w:eastAsia="zh-CN"/>
              </w:rPr>
              <w:t>5</w:t>
            </w:r>
            <w:r>
              <w:rPr>
                <w:rFonts w:hint="eastAsia"/>
                <w:color w:val="auto"/>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434" w:type="pct"/>
            <w:vMerge w:val="continue"/>
            <w:noWrap w:val="0"/>
            <w:vAlign w:val="center"/>
          </w:tcPr>
          <w:p>
            <w:pPr>
              <w:pStyle w:val="111"/>
              <w:rPr>
                <w:color w:val="auto"/>
              </w:rPr>
            </w:pPr>
          </w:p>
        </w:tc>
        <w:tc>
          <w:tcPr>
            <w:tcW w:w="792" w:type="pct"/>
            <w:noWrap w:val="0"/>
            <w:vAlign w:val="center"/>
          </w:tcPr>
          <w:p>
            <w:pPr>
              <w:pStyle w:val="176"/>
              <w:rPr>
                <w:rFonts w:hint="eastAsia"/>
                <w:color w:val="auto"/>
              </w:rPr>
            </w:pPr>
            <w:r>
              <w:rPr>
                <w:rFonts w:hint="eastAsia"/>
                <w:color w:val="auto"/>
              </w:rPr>
              <w:t>宠物毛发</w:t>
            </w:r>
          </w:p>
        </w:tc>
        <w:tc>
          <w:tcPr>
            <w:tcW w:w="695" w:type="pct"/>
            <w:noWrap w:val="0"/>
            <w:vAlign w:val="center"/>
          </w:tcPr>
          <w:p>
            <w:pPr>
              <w:pStyle w:val="111"/>
              <w:bidi w:val="0"/>
              <w:rPr>
                <w:rFonts w:hint="eastAsia"/>
              </w:rPr>
            </w:pPr>
            <w:r>
              <w:rPr>
                <w:rFonts w:hint="eastAsia"/>
                <w:lang w:val="en-US" w:eastAsia="zh-CN"/>
              </w:rPr>
              <w:t>/</w:t>
            </w:r>
          </w:p>
        </w:tc>
        <w:tc>
          <w:tcPr>
            <w:tcW w:w="521" w:type="pct"/>
            <w:noWrap w:val="0"/>
            <w:vAlign w:val="center"/>
          </w:tcPr>
          <w:p>
            <w:pPr>
              <w:pStyle w:val="111"/>
              <w:bidi w:val="0"/>
              <w:rPr>
                <w:rFonts w:hint="eastAsia"/>
              </w:rPr>
            </w:pPr>
            <w:r>
              <w:rPr>
                <w:rFonts w:hint="eastAsia"/>
                <w:lang w:val="en-US" w:eastAsia="zh-CN"/>
              </w:rPr>
              <w:t>/</w:t>
            </w:r>
          </w:p>
        </w:tc>
        <w:tc>
          <w:tcPr>
            <w:tcW w:w="695" w:type="pct"/>
            <w:noWrap w:val="0"/>
            <w:vAlign w:val="center"/>
          </w:tcPr>
          <w:p>
            <w:pPr>
              <w:pStyle w:val="111"/>
              <w:bidi w:val="0"/>
              <w:rPr>
                <w:rFonts w:hint="eastAsia"/>
              </w:rPr>
            </w:pPr>
            <w:r>
              <w:rPr>
                <w:rFonts w:hint="eastAsia"/>
                <w:lang w:val="en-US" w:eastAsia="zh-CN"/>
              </w:rPr>
              <w:t>/</w:t>
            </w:r>
          </w:p>
        </w:tc>
        <w:tc>
          <w:tcPr>
            <w:tcW w:w="637" w:type="pct"/>
            <w:noWrap w:val="0"/>
            <w:vAlign w:val="center"/>
          </w:tcPr>
          <w:p>
            <w:pPr>
              <w:pStyle w:val="111"/>
              <w:rPr>
                <w:color w:val="auto"/>
              </w:rPr>
            </w:pPr>
            <w:r>
              <w:rPr>
                <w:rFonts w:hint="eastAsia"/>
                <w:color w:val="auto"/>
              </w:rPr>
              <w:t>0.0</w:t>
            </w:r>
            <w:r>
              <w:rPr>
                <w:rFonts w:hint="eastAsia"/>
                <w:color w:val="auto"/>
                <w:lang w:val="en-US" w:eastAsia="zh-CN"/>
              </w:rPr>
              <w:t>02</w:t>
            </w:r>
            <w:r>
              <w:rPr>
                <w:rFonts w:hint="eastAsia"/>
                <w:color w:val="auto"/>
              </w:rPr>
              <w:t>t/a</w:t>
            </w:r>
          </w:p>
        </w:tc>
        <w:tc>
          <w:tcPr>
            <w:tcW w:w="493" w:type="pct"/>
            <w:noWrap w:val="0"/>
            <w:vAlign w:val="center"/>
          </w:tcPr>
          <w:p>
            <w:pPr>
              <w:pStyle w:val="111"/>
              <w:bidi w:val="0"/>
              <w:ind w:firstLine="0" w:firstLineChars="0"/>
              <w:rPr>
                <w:rFonts w:hint="eastAsia"/>
                <w:color w:val="auto"/>
              </w:rPr>
            </w:pPr>
            <w:r>
              <w:rPr>
                <w:rFonts w:hint="eastAsia"/>
                <w:lang w:val="en-US" w:eastAsia="zh-CN"/>
              </w:rPr>
              <w:t>/</w:t>
            </w:r>
          </w:p>
        </w:tc>
        <w:tc>
          <w:tcPr>
            <w:tcW w:w="729" w:type="pct"/>
            <w:noWrap w:val="0"/>
            <w:vAlign w:val="center"/>
          </w:tcPr>
          <w:p>
            <w:pPr>
              <w:pStyle w:val="111"/>
              <w:ind w:firstLine="0" w:firstLineChars="0"/>
              <w:rPr>
                <w:rFonts w:hint="eastAsia"/>
                <w:color w:val="auto"/>
              </w:rPr>
            </w:pPr>
            <w:r>
              <w:rPr>
                <w:rFonts w:hint="eastAsia"/>
                <w:color w:val="auto"/>
              </w:rPr>
              <w:t>0.0</w:t>
            </w:r>
            <w:r>
              <w:rPr>
                <w:rFonts w:hint="eastAsia"/>
                <w:color w:val="auto"/>
                <w:lang w:val="en-US" w:eastAsia="zh-CN"/>
              </w:rPr>
              <w:t>02</w:t>
            </w:r>
            <w:r>
              <w:rPr>
                <w:rFonts w:hint="eastAsia"/>
                <w:color w:val="auto"/>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434" w:type="pct"/>
            <w:vMerge w:val="continue"/>
            <w:noWrap w:val="0"/>
            <w:vAlign w:val="center"/>
          </w:tcPr>
          <w:p>
            <w:pPr>
              <w:pStyle w:val="111"/>
              <w:rPr>
                <w:color w:val="auto"/>
              </w:rPr>
            </w:pPr>
          </w:p>
        </w:tc>
        <w:tc>
          <w:tcPr>
            <w:tcW w:w="792" w:type="pct"/>
            <w:noWrap w:val="0"/>
            <w:vAlign w:val="center"/>
          </w:tcPr>
          <w:p>
            <w:pPr>
              <w:pStyle w:val="176"/>
              <w:rPr>
                <w:rFonts w:hint="eastAsia" w:eastAsia="宋体"/>
                <w:color w:val="auto"/>
                <w:lang w:eastAsia="zh-CN"/>
              </w:rPr>
            </w:pPr>
            <w:r>
              <w:rPr>
                <w:rFonts w:hint="eastAsia"/>
                <w:color w:val="auto"/>
                <w:lang w:eastAsia="zh-CN"/>
              </w:rPr>
              <w:t>废外包材</w:t>
            </w:r>
          </w:p>
        </w:tc>
        <w:tc>
          <w:tcPr>
            <w:tcW w:w="695" w:type="pct"/>
            <w:noWrap w:val="0"/>
            <w:vAlign w:val="center"/>
          </w:tcPr>
          <w:p>
            <w:pPr>
              <w:pStyle w:val="111"/>
              <w:bidi w:val="0"/>
              <w:rPr>
                <w:rFonts w:hint="eastAsia"/>
                <w:lang w:val="en-US" w:eastAsia="zh-CN"/>
              </w:rPr>
            </w:pPr>
          </w:p>
        </w:tc>
        <w:tc>
          <w:tcPr>
            <w:tcW w:w="521" w:type="pct"/>
            <w:noWrap w:val="0"/>
            <w:vAlign w:val="center"/>
          </w:tcPr>
          <w:p>
            <w:pPr>
              <w:pStyle w:val="111"/>
              <w:bidi w:val="0"/>
              <w:rPr>
                <w:rFonts w:hint="eastAsia"/>
                <w:lang w:val="en-US" w:eastAsia="zh-CN"/>
              </w:rPr>
            </w:pPr>
          </w:p>
        </w:tc>
        <w:tc>
          <w:tcPr>
            <w:tcW w:w="695" w:type="pct"/>
            <w:noWrap w:val="0"/>
            <w:vAlign w:val="center"/>
          </w:tcPr>
          <w:p>
            <w:pPr>
              <w:pStyle w:val="111"/>
              <w:bidi w:val="0"/>
              <w:rPr>
                <w:rFonts w:hint="default"/>
                <w:lang w:val="en-US" w:eastAsia="zh-CN"/>
              </w:rPr>
            </w:pPr>
            <w:r>
              <w:rPr>
                <w:rFonts w:hint="eastAsia"/>
                <w:lang w:val="en-US" w:eastAsia="zh-CN"/>
              </w:rPr>
              <w:t>/</w:t>
            </w:r>
          </w:p>
        </w:tc>
        <w:tc>
          <w:tcPr>
            <w:tcW w:w="637" w:type="pct"/>
            <w:noWrap w:val="0"/>
            <w:vAlign w:val="center"/>
          </w:tcPr>
          <w:p>
            <w:pPr>
              <w:pStyle w:val="111"/>
              <w:rPr>
                <w:rFonts w:hint="default" w:eastAsia="宋体"/>
                <w:color w:val="auto"/>
                <w:lang w:val="en-US" w:eastAsia="zh-CN"/>
              </w:rPr>
            </w:pPr>
            <w:r>
              <w:rPr>
                <w:rFonts w:hint="eastAsia"/>
                <w:color w:val="auto"/>
                <w:lang w:val="en-US" w:eastAsia="zh-CN"/>
              </w:rPr>
              <w:t>0.2</w:t>
            </w:r>
          </w:p>
        </w:tc>
        <w:tc>
          <w:tcPr>
            <w:tcW w:w="493" w:type="pct"/>
            <w:noWrap w:val="0"/>
            <w:vAlign w:val="center"/>
          </w:tcPr>
          <w:p>
            <w:pPr>
              <w:pStyle w:val="111"/>
              <w:bidi w:val="0"/>
              <w:ind w:firstLine="0" w:firstLineChars="0"/>
              <w:rPr>
                <w:rFonts w:hint="eastAsia"/>
                <w:color w:val="auto"/>
              </w:rPr>
            </w:pPr>
            <w:r>
              <w:rPr>
                <w:rFonts w:hint="eastAsia"/>
                <w:lang w:val="en-US" w:eastAsia="zh-CN"/>
              </w:rPr>
              <w:t>/</w:t>
            </w:r>
          </w:p>
        </w:tc>
        <w:tc>
          <w:tcPr>
            <w:tcW w:w="729" w:type="pct"/>
            <w:noWrap w:val="0"/>
            <w:vAlign w:val="center"/>
          </w:tcPr>
          <w:p>
            <w:pPr>
              <w:pStyle w:val="111"/>
              <w:ind w:firstLine="0" w:firstLineChars="0"/>
              <w:rPr>
                <w:rFonts w:hint="eastAsia"/>
                <w:color w:val="auto"/>
              </w:rPr>
            </w:pPr>
            <w:r>
              <w:rPr>
                <w:rFonts w:hint="eastAsia"/>
                <w:color w:val="auto"/>
                <w:lang w:val="en-US" w:eastAsia="zh-CN"/>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434" w:type="pct"/>
            <w:vMerge w:val="continue"/>
            <w:noWrap w:val="0"/>
            <w:vAlign w:val="center"/>
          </w:tcPr>
          <w:p>
            <w:pPr>
              <w:pStyle w:val="111"/>
              <w:rPr>
                <w:color w:val="auto"/>
              </w:rPr>
            </w:pPr>
          </w:p>
        </w:tc>
        <w:tc>
          <w:tcPr>
            <w:tcW w:w="792" w:type="pct"/>
            <w:noWrap w:val="0"/>
            <w:vAlign w:val="center"/>
          </w:tcPr>
          <w:p>
            <w:pPr>
              <w:pStyle w:val="176"/>
              <w:rPr>
                <w:rFonts w:hint="eastAsia"/>
                <w:color w:val="auto"/>
                <w:lang w:eastAsia="zh-CN"/>
              </w:rPr>
            </w:pPr>
            <w:r>
              <w:rPr>
                <w:rFonts w:hint="eastAsia"/>
                <w:color w:val="auto"/>
                <w:lang w:eastAsia="zh-CN"/>
              </w:rPr>
              <w:t>废活性炭</w:t>
            </w:r>
          </w:p>
        </w:tc>
        <w:tc>
          <w:tcPr>
            <w:tcW w:w="695" w:type="pct"/>
            <w:noWrap w:val="0"/>
            <w:vAlign w:val="center"/>
          </w:tcPr>
          <w:p>
            <w:pPr>
              <w:pStyle w:val="111"/>
              <w:bidi w:val="0"/>
              <w:ind w:firstLine="0" w:firstLineChars="0"/>
              <w:rPr>
                <w:rFonts w:hint="eastAsia"/>
                <w:lang w:val="en-US" w:eastAsia="zh-CN"/>
              </w:rPr>
            </w:pPr>
            <w:r>
              <w:rPr>
                <w:rFonts w:hint="eastAsia"/>
                <w:lang w:val="en-US" w:eastAsia="zh-CN"/>
              </w:rPr>
              <w:t>/</w:t>
            </w:r>
          </w:p>
        </w:tc>
        <w:tc>
          <w:tcPr>
            <w:tcW w:w="521" w:type="pct"/>
            <w:noWrap w:val="0"/>
            <w:vAlign w:val="center"/>
          </w:tcPr>
          <w:p>
            <w:pPr>
              <w:pStyle w:val="111"/>
              <w:bidi w:val="0"/>
              <w:ind w:firstLine="0" w:firstLineChars="0"/>
              <w:rPr>
                <w:rFonts w:hint="eastAsia"/>
                <w:lang w:val="en-US" w:eastAsia="zh-CN"/>
              </w:rPr>
            </w:pPr>
            <w:r>
              <w:rPr>
                <w:rFonts w:hint="eastAsia"/>
                <w:lang w:val="en-US" w:eastAsia="zh-CN"/>
              </w:rPr>
              <w:t>/</w:t>
            </w:r>
          </w:p>
        </w:tc>
        <w:tc>
          <w:tcPr>
            <w:tcW w:w="695" w:type="pct"/>
            <w:noWrap w:val="0"/>
            <w:vAlign w:val="center"/>
          </w:tcPr>
          <w:p>
            <w:pPr>
              <w:pStyle w:val="111"/>
              <w:bidi w:val="0"/>
              <w:ind w:firstLine="0" w:firstLineChars="0"/>
              <w:rPr>
                <w:rFonts w:hint="eastAsia"/>
                <w:lang w:val="en-US" w:eastAsia="zh-CN"/>
              </w:rPr>
            </w:pPr>
            <w:r>
              <w:rPr>
                <w:rFonts w:hint="eastAsia"/>
                <w:lang w:val="en-US" w:eastAsia="zh-CN"/>
              </w:rPr>
              <w:t>/</w:t>
            </w:r>
          </w:p>
        </w:tc>
        <w:tc>
          <w:tcPr>
            <w:tcW w:w="637" w:type="pct"/>
            <w:noWrap w:val="0"/>
            <w:vAlign w:val="center"/>
          </w:tcPr>
          <w:p>
            <w:pPr>
              <w:pStyle w:val="111"/>
              <w:ind w:firstLine="0" w:firstLineChars="0"/>
              <w:rPr>
                <w:rFonts w:hint="eastAsia"/>
                <w:color w:val="auto"/>
                <w:lang w:val="en-US" w:eastAsia="zh-CN"/>
              </w:rPr>
            </w:pPr>
            <w:r>
              <w:rPr>
                <w:rFonts w:hint="eastAsia"/>
                <w:color w:val="auto"/>
                <w:lang w:val="en-US" w:eastAsia="zh-CN"/>
              </w:rPr>
              <w:t>0.04t/a</w:t>
            </w:r>
          </w:p>
        </w:tc>
        <w:tc>
          <w:tcPr>
            <w:tcW w:w="493" w:type="pct"/>
            <w:noWrap w:val="0"/>
            <w:vAlign w:val="center"/>
          </w:tcPr>
          <w:p>
            <w:pPr>
              <w:pStyle w:val="111"/>
              <w:bidi w:val="0"/>
              <w:ind w:firstLine="0" w:firstLineChars="0"/>
              <w:rPr>
                <w:rFonts w:hint="eastAsia"/>
                <w:lang w:val="en-US" w:eastAsia="zh-CN"/>
              </w:rPr>
            </w:pPr>
            <w:r>
              <w:rPr>
                <w:rFonts w:hint="eastAsia"/>
                <w:lang w:val="en-US" w:eastAsia="zh-CN"/>
              </w:rPr>
              <w:t>/</w:t>
            </w:r>
          </w:p>
        </w:tc>
        <w:tc>
          <w:tcPr>
            <w:tcW w:w="729" w:type="pct"/>
            <w:noWrap w:val="0"/>
            <w:vAlign w:val="center"/>
          </w:tcPr>
          <w:p>
            <w:pPr>
              <w:pStyle w:val="111"/>
              <w:ind w:firstLine="0" w:firstLineChars="0"/>
              <w:rPr>
                <w:rFonts w:hint="eastAsia"/>
                <w:color w:val="auto"/>
                <w:lang w:val="en-US" w:eastAsia="zh-CN"/>
              </w:rPr>
            </w:pPr>
            <w:r>
              <w:rPr>
                <w:rFonts w:hint="eastAsia"/>
                <w:color w:val="auto"/>
                <w:lang w:val="en-US" w:eastAsia="zh-CN"/>
              </w:rPr>
              <w:t>0.04t/a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4" w:type="pct"/>
            <w:vMerge w:val="restart"/>
            <w:noWrap w:val="0"/>
            <w:vAlign w:val="center"/>
          </w:tcPr>
          <w:p>
            <w:pPr>
              <w:pStyle w:val="111"/>
              <w:rPr>
                <w:rFonts w:hint="eastAsia"/>
                <w:color w:val="auto"/>
              </w:rPr>
            </w:pPr>
            <w:r>
              <w:rPr>
                <w:rFonts w:hint="eastAsia"/>
                <w:color w:val="auto"/>
              </w:rPr>
              <w:t>危险废物</w:t>
            </w:r>
          </w:p>
        </w:tc>
        <w:tc>
          <w:tcPr>
            <w:tcW w:w="792" w:type="pct"/>
            <w:noWrap w:val="0"/>
            <w:vAlign w:val="center"/>
          </w:tcPr>
          <w:p>
            <w:pPr>
              <w:pStyle w:val="176"/>
              <w:rPr>
                <w:rFonts w:hint="eastAsia"/>
                <w:color w:val="auto"/>
              </w:rPr>
            </w:pPr>
            <w:r>
              <w:rPr>
                <w:rFonts w:hint="eastAsia"/>
                <w:color w:val="auto"/>
              </w:rPr>
              <w:t>宠物尸体</w:t>
            </w:r>
          </w:p>
        </w:tc>
        <w:tc>
          <w:tcPr>
            <w:tcW w:w="695" w:type="pct"/>
            <w:noWrap w:val="0"/>
            <w:vAlign w:val="center"/>
          </w:tcPr>
          <w:p>
            <w:pPr>
              <w:pStyle w:val="111"/>
              <w:bidi w:val="0"/>
              <w:rPr>
                <w:rFonts w:hint="eastAsia"/>
              </w:rPr>
            </w:pPr>
            <w:r>
              <w:rPr>
                <w:rFonts w:hint="eastAsia"/>
                <w:lang w:val="en-US" w:eastAsia="zh-CN"/>
              </w:rPr>
              <w:t>/</w:t>
            </w:r>
          </w:p>
        </w:tc>
        <w:tc>
          <w:tcPr>
            <w:tcW w:w="521" w:type="pct"/>
            <w:noWrap w:val="0"/>
            <w:vAlign w:val="center"/>
          </w:tcPr>
          <w:p>
            <w:pPr>
              <w:pStyle w:val="111"/>
              <w:bidi w:val="0"/>
              <w:rPr>
                <w:rFonts w:hint="eastAsia"/>
              </w:rPr>
            </w:pPr>
            <w:r>
              <w:rPr>
                <w:rFonts w:hint="eastAsia"/>
                <w:lang w:val="en-US" w:eastAsia="zh-CN"/>
              </w:rPr>
              <w:t>/</w:t>
            </w:r>
          </w:p>
        </w:tc>
        <w:tc>
          <w:tcPr>
            <w:tcW w:w="695" w:type="pct"/>
            <w:noWrap w:val="0"/>
            <w:vAlign w:val="center"/>
          </w:tcPr>
          <w:p>
            <w:pPr>
              <w:pStyle w:val="111"/>
              <w:bidi w:val="0"/>
              <w:rPr>
                <w:rFonts w:hint="eastAsia"/>
              </w:rPr>
            </w:pPr>
            <w:r>
              <w:rPr>
                <w:rFonts w:hint="eastAsia"/>
                <w:lang w:val="en-US" w:eastAsia="zh-CN"/>
              </w:rPr>
              <w:t>/</w:t>
            </w:r>
          </w:p>
        </w:tc>
        <w:tc>
          <w:tcPr>
            <w:tcW w:w="637" w:type="pct"/>
            <w:noWrap w:val="0"/>
            <w:vAlign w:val="center"/>
          </w:tcPr>
          <w:p>
            <w:pPr>
              <w:pStyle w:val="111"/>
              <w:rPr>
                <w:color w:val="auto"/>
              </w:rPr>
            </w:pPr>
            <w:r>
              <w:rPr>
                <w:rFonts w:hint="eastAsia"/>
                <w:color w:val="auto"/>
              </w:rPr>
              <w:t>0.</w:t>
            </w:r>
            <w:r>
              <w:rPr>
                <w:rFonts w:hint="eastAsia"/>
                <w:color w:val="auto"/>
                <w:lang w:val="en-US" w:eastAsia="zh-CN"/>
              </w:rPr>
              <w:t>1</w:t>
            </w:r>
            <w:r>
              <w:rPr>
                <w:rFonts w:hint="eastAsia"/>
                <w:color w:val="auto"/>
              </w:rPr>
              <w:t>t/a</w:t>
            </w:r>
          </w:p>
        </w:tc>
        <w:tc>
          <w:tcPr>
            <w:tcW w:w="493" w:type="pct"/>
            <w:noWrap w:val="0"/>
            <w:vAlign w:val="center"/>
          </w:tcPr>
          <w:p>
            <w:pPr>
              <w:pStyle w:val="111"/>
              <w:bidi w:val="0"/>
              <w:ind w:firstLine="0" w:firstLineChars="0"/>
              <w:rPr>
                <w:rFonts w:hint="eastAsia"/>
                <w:color w:val="auto"/>
              </w:rPr>
            </w:pPr>
            <w:r>
              <w:rPr>
                <w:rFonts w:hint="eastAsia"/>
                <w:lang w:val="en-US" w:eastAsia="zh-CN"/>
              </w:rPr>
              <w:t>/</w:t>
            </w:r>
          </w:p>
        </w:tc>
        <w:tc>
          <w:tcPr>
            <w:tcW w:w="729" w:type="pct"/>
            <w:noWrap w:val="0"/>
            <w:vAlign w:val="center"/>
          </w:tcPr>
          <w:p>
            <w:pPr>
              <w:pStyle w:val="111"/>
              <w:ind w:firstLine="0" w:firstLineChars="0"/>
              <w:rPr>
                <w:color w:val="auto"/>
              </w:rPr>
            </w:pPr>
            <w:r>
              <w:rPr>
                <w:rFonts w:hint="eastAsia"/>
                <w:color w:val="auto"/>
              </w:rPr>
              <w:t>0.</w:t>
            </w:r>
            <w:r>
              <w:rPr>
                <w:rFonts w:hint="eastAsia"/>
                <w:color w:val="auto"/>
                <w:lang w:val="en-US" w:eastAsia="zh-CN"/>
              </w:rPr>
              <w:t>1</w:t>
            </w:r>
            <w:r>
              <w:rPr>
                <w:rFonts w:hint="eastAsia"/>
                <w:color w:val="auto"/>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434" w:type="pct"/>
            <w:vMerge w:val="continue"/>
            <w:noWrap w:val="0"/>
            <w:vAlign w:val="center"/>
          </w:tcPr>
          <w:p>
            <w:pPr>
              <w:pStyle w:val="111"/>
              <w:rPr>
                <w:color w:val="auto"/>
              </w:rPr>
            </w:pPr>
          </w:p>
        </w:tc>
        <w:tc>
          <w:tcPr>
            <w:tcW w:w="792" w:type="pct"/>
            <w:noWrap w:val="0"/>
            <w:vAlign w:val="center"/>
          </w:tcPr>
          <w:p>
            <w:pPr>
              <w:pStyle w:val="176"/>
              <w:rPr>
                <w:rFonts w:hint="eastAsia"/>
                <w:color w:val="auto"/>
              </w:rPr>
            </w:pPr>
            <w:r>
              <w:rPr>
                <w:rFonts w:hint="eastAsia"/>
                <w:color w:val="auto"/>
              </w:rPr>
              <w:t>医疗废物</w:t>
            </w:r>
          </w:p>
        </w:tc>
        <w:tc>
          <w:tcPr>
            <w:tcW w:w="695" w:type="pct"/>
            <w:noWrap w:val="0"/>
            <w:vAlign w:val="center"/>
          </w:tcPr>
          <w:p>
            <w:pPr>
              <w:pStyle w:val="111"/>
              <w:bidi w:val="0"/>
              <w:rPr>
                <w:rFonts w:hint="eastAsia"/>
              </w:rPr>
            </w:pPr>
            <w:r>
              <w:rPr>
                <w:rFonts w:hint="eastAsia"/>
                <w:lang w:val="en-US" w:eastAsia="zh-CN"/>
              </w:rPr>
              <w:t>/</w:t>
            </w:r>
          </w:p>
        </w:tc>
        <w:tc>
          <w:tcPr>
            <w:tcW w:w="521" w:type="pct"/>
            <w:noWrap w:val="0"/>
            <w:vAlign w:val="center"/>
          </w:tcPr>
          <w:p>
            <w:pPr>
              <w:pStyle w:val="111"/>
              <w:bidi w:val="0"/>
              <w:rPr>
                <w:rFonts w:hint="eastAsia"/>
              </w:rPr>
            </w:pPr>
            <w:r>
              <w:rPr>
                <w:rFonts w:hint="eastAsia"/>
                <w:lang w:val="en-US" w:eastAsia="zh-CN"/>
              </w:rPr>
              <w:t>/</w:t>
            </w:r>
          </w:p>
        </w:tc>
        <w:tc>
          <w:tcPr>
            <w:tcW w:w="695" w:type="pct"/>
            <w:noWrap w:val="0"/>
            <w:vAlign w:val="center"/>
          </w:tcPr>
          <w:p>
            <w:pPr>
              <w:pStyle w:val="111"/>
              <w:bidi w:val="0"/>
              <w:rPr>
                <w:rFonts w:hint="eastAsia"/>
              </w:rPr>
            </w:pPr>
            <w:r>
              <w:rPr>
                <w:rFonts w:hint="eastAsia"/>
                <w:lang w:val="en-US" w:eastAsia="zh-CN"/>
              </w:rPr>
              <w:t>/</w:t>
            </w:r>
          </w:p>
        </w:tc>
        <w:tc>
          <w:tcPr>
            <w:tcW w:w="637" w:type="pct"/>
            <w:noWrap w:val="0"/>
            <w:vAlign w:val="center"/>
          </w:tcPr>
          <w:p>
            <w:pPr>
              <w:pStyle w:val="111"/>
              <w:rPr>
                <w:color w:val="auto"/>
              </w:rPr>
            </w:pPr>
            <w:r>
              <w:rPr>
                <w:rFonts w:hint="eastAsia"/>
                <w:color w:val="auto"/>
              </w:rPr>
              <w:t>1.</w:t>
            </w:r>
            <w:r>
              <w:rPr>
                <w:rFonts w:hint="eastAsia"/>
                <w:color w:val="auto"/>
                <w:lang w:val="en-US" w:eastAsia="zh-CN"/>
              </w:rPr>
              <w:t>8</w:t>
            </w:r>
            <w:r>
              <w:rPr>
                <w:rFonts w:hint="eastAsia"/>
                <w:color w:val="auto"/>
              </w:rPr>
              <w:t>t/a</w:t>
            </w:r>
          </w:p>
        </w:tc>
        <w:tc>
          <w:tcPr>
            <w:tcW w:w="493" w:type="pct"/>
            <w:noWrap w:val="0"/>
            <w:vAlign w:val="center"/>
          </w:tcPr>
          <w:p>
            <w:pPr>
              <w:pStyle w:val="111"/>
              <w:bidi w:val="0"/>
              <w:ind w:firstLine="0" w:firstLineChars="0"/>
              <w:rPr>
                <w:rFonts w:hint="eastAsia"/>
                <w:color w:val="auto"/>
              </w:rPr>
            </w:pPr>
            <w:r>
              <w:rPr>
                <w:rFonts w:hint="eastAsia"/>
                <w:lang w:val="en-US" w:eastAsia="zh-CN"/>
              </w:rPr>
              <w:t>/</w:t>
            </w:r>
          </w:p>
        </w:tc>
        <w:tc>
          <w:tcPr>
            <w:tcW w:w="729" w:type="pct"/>
            <w:noWrap w:val="0"/>
            <w:vAlign w:val="center"/>
          </w:tcPr>
          <w:p>
            <w:pPr>
              <w:pStyle w:val="111"/>
              <w:ind w:firstLine="0" w:firstLineChars="0"/>
              <w:rPr>
                <w:color w:val="auto"/>
              </w:rPr>
            </w:pPr>
            <w:r>
              <w:rPr>
                <w:rFonts w:hint="eastAsia"/>
                <w:color w:val="auto"/>
              </w:rPr>
              <w:t>1.</w:t>
            </w:r>
            <w:r>
              <w:rPr>
                <w:rFonts w:hint="eastAsia"/>
                <w:color w:val="auto"/>
                <w:lang w:val="en-US" w:eastAsia="zh-CN"/>
              </w:rPr>
              <w:t>8</w:t>
            </w:r>
            <w:r>
              <w:rPr>
                <w:rFonts w:hint="eastAsia"/>
                <w:color w:val="auto"/>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434" w:type="pct"/>
            <w:vMerge w:val="continue"/>
            <w:noWrap w:val="0"/>
            <w:vAlign w:val="center"/>
          </w:tcPr>
          <w:p>
            <w:pPr>
              <w:pStyle w:val="111"/>
              <w:rPr>
                <w:color w:val="auto"/>
              </w:rPr>
            </w:pPr>
          </w:p>
        </w:tc>
        <w:tc>
          <w:tcPr>
            <w:tcW w:w="792" w:type="pct"/>
            <w:noWrap w:val="0"/>
            <w:vAlign w:val="center"/>
          </w:tcPr>
          <w:p>
            <w:pPr>
              <w:pStyle w:val="176"/>
              <w:rPr>
                <w:rFonts w:hint="eastAsia"/>
                <w:color w:val="auto"/>
              </w:rPr>
            </w:pPr>
            <w:r>
              <w:rPr>
                <w:rFonts w:hint="eastAsia"/>
                <w:color w:val="auto"/>
              </w:rPr>
              <w:t>废紫外线灯管</w:t>
            </w:r>
          </w:p>
        </w:tc>
        <w:tc>
          <w:tcPr>
            <w:tcW w:w="695" w:type="pct"/>
            <w:noWrap w:val="0"/>
            <w:vAlign w:val="center"/>
          </w:tcPr>
          <w:p>
            <w:pPr>
              <w:pStyle w:val="111"/>
              <w:bidi w:val="0"/>
              <w:rPr>
                <w:rFonts w:hint="eastAsia"/>
              </w:rPr>
            </w:pPr>
            <w:r>
              <w:rPr>
                <w:rFonts w:hint="eastAsia"/>
                <w:lang w:val="en-US" w:eastAsia="zh-CN"/>
              </w:rPr>
              <w:t>/</w:t>
            </w:r>
          </w:p>
        </w:tc>
        <w:tc>
          <w:tcPr>
            <w:tcW w:w="521" w:type="pct"/>
            <w:noWrap w:val="0"/>
            <w:vAlign w:val="center"/>
          </w:tcPr>
          <w:p>
            <w:pPr>
              <w:pStyle w:val="111"/>
              <w:bidi w:val="0"/>
              <w:rPr>
                <w:rFonts w:hint="eastAsia"/>
              </w:rPr>
            </w:pPr>
            <w:r>
              <w:rPr>
                <w:rFonts w:hint="eastAsia"/>
                <w:lang w:val="en-US" w:eastAsia="zh-CN"/>
              </w:rPr>
              <w:t>/</w:t>
            </w:r>
          </w:p>
        </w:tc>
        <w:tc>
          <w:tcPr>
            <w:tcW w:w="695" w:type="pct"/>
            <w:noWrap w:val="0"/>
            <w:vAlign w:val="center"/>
          </w:tcPr>
          <w:p>
            <w:pPr>
              <w:pStyle w:val="111"/>
              <w:bidi w:val="0"/>
              <w:rPr>
                <w:rFonts w:hint="eastAsia"/>
              </w:rPr>
            </w:pPr>
            <w:r>
              <w:rPr>
                <w:rFonts w:hint="eastAsia"/>
                <w:lang w:val="en-US" w:eastAsia="zh-CN"/>
              </w:rPr>
              <w:t>/</w:t>
            </w:r>
          </w:p>
        </w:tc>
        <w:tc>
          <w:tcPr>
            <w:tcW w:w="637" w:type="pct"/>
            <w:noWrap w:val="0"/>
            <w:vAlign w:val="center"/>
          </w:tcPr>
          <w:p>
            <w:pPr>
              <w:pStyle w:val="111"/>
              <w:rPr>
                <w:color w:val="auto"/>
              </w:rPr>
            </w:pPr>
            <w:r>
              <w:rPr>
                <w:rFonts w:hint="eastAsia"/>
                <w:color w:val="auto"/>
              </w:rPr>
              <w:t>0.0</w:t>
            </w:r>
            <w:r>
              <w:rPr>
                <w:rFonts w:hint="eastAsia"/>
                <w:color w:val="auto"/>
                <w:lang w:val="en-US" w:eastAsia="zh-CN"/>
              </w:rPr>
              <w:t>03</w:t>
            </w:r>
            <w:r>
              <w:rPr>
                <w:rFonts w:hint="eastAsia"/>
                <w:color w:val="auto"/>
              </w:rPr>
              <w:t>t/a</w:t>
            </w:r>
          </w:p>
        </w:tc>
        <w:tc>
          <w:tcPr>
            <w:tcW w:w="493" w:type="pct"/>
            <w:noWrap w:val="0"/>
            <w:vAlign w:val="center"/>
          </w:tcPr>
          <w:p>
            <w:pPr>
              <w:pStyle w:val="111"/>
              <w:bidi w:val="0"/>
              <w:ind w:firstLine="0" w:firstLineChars="0"/>
              <w:rPr>
                <w:rFonts w:hint="eastAsia"/>
                <w:color w:val="auto"/>
              </w:rPr>
            </w:pPr>
            <w:r>
              <w:rPr>
                <w:rFonts w:hint="eastAsia"/>
                <w:lang w:val="en-US" w:eastAsia="zh-CN"/>
              </w:rPr>
              <w:t>/</w:t>
            </w:r>
          </w:p>
        </w:tc>
        <w:tc>
          <w:tcPr>
            <w:tcW w:w="729" w:type="pct"/>
            <w:noWrap w:val="0"/>
            <w:vAlign w:val="center"/>
          </w:tcPr>
          <w:p>
            <w:pPr>
              <w:pStyle w:val="111"/>
              <w:ind w:firstLine="0" w:firstLineChars="0"/>
              <w:rPr>
                <w:rFonts w:hint="eastAsia"/>
                <w:color w:val="auto"/>
              </w:rPr>
            </w:pPr>
            <w:r>
              <w:rPr>
                <w:rFonts w:hint="eastAsia"/>
                <w:color w:val="auto"/>
              </w:rPr>
              <w:t>0.0</w:t>
            </w:r>
            <w:r>
              <w:rPr>
                <w:rFonts w:hint="eastAsia"/>
                <w:color w:val="auto"/>
                <w:lang w:val="en-US" w:eastAsia="zh-CN"/>
              </w:rPr>
              <w:t>03</w:t>
            </w:r>
            <w:r>
              <w:rPr>
                <w:rFonts w:hint="eastAsia"/>
                <w:color w:val="auto"/>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434" w:type="pct"/>
            <w:vMerge w:val="continue"/>
            <w:noWrap w:val="0"/>
            <w:vAlign w:val="center"/>
          </w:tcPr>
          <w:p>
            <w:pPr>
              <w:pStyle w:val="111"/>
              <w:rPr>
                <w:color w:val="auto"/>
              </w:rPr>
            </w:pPr>
          </w:p>
        </w:tc>
        <w:tc>
          <w:tcPr>
            <w:tcW w:w="792" w:type="pct"/>
            <w:noWrap w:val="0"/>
            <w:vAlign w:val="center"/>
          </w:tcPr>
          <w:p>
            <w:pPr>
              <w:pStyle w:val="176"/>
              <w:rPr>
                <w:rFonts w:hint="eastAsia" w:eastAsia="宋体"/>
                <w:color w:val="auto"/>
                <w:lang w:eastAsia="zh-CN"/>
              </w:rPr>
            </w:pPr>
            <w:r>
              <w:rPr>
                <w:rFonts w:hint="eastAsia"/>
                <w:color w:val="auto"/>
                <w:lang w:eastAsia="zh-CN"/>
              </w:rPr>
              <w:t>污水处理器污泥</w:t>
            </w:r>
          </w:p>
        </w:tc>
        <w:tc>
          <w:tcPr>
            <w:tcW w:w="695" w:type="pct"/>
            <w:noWrap w:val="0"/>
            <w:vAlign w:val="center"/>
          </w:tcPr>
          <w:p>
            <w:pPr>
              <w:pStyle w:val="111"/>
              <w:bidi w:val="0"/>
              <w:ind w:firstLine="0" w:firstLineChars="0"/>
              <w:rPr>
                <w:rFonts w:hint="eastAsia"/>
                <w:lang w:val="en-US" w:eastAsia="zh-CN"/>
              </w:rPr>
            </w:pPr>
            <w:r>
              <w:rPr>
                <w:rFonts w:hint="eastAsia"/>
                <w:lang w:val="en-US" w:eastAsia="zh-CN"/>
              </w:rPr>
              <w:t>/</w:t>
            </w:r>
          </w:p>
        </w:tc>
        <w:tc>
          <w:tcPr>
            <w:tcW w:w="521" w:type="pct"/>
            <w:noWrap w:val="0"/>
            <w:vAlign w:val="center"/>
          </w:tcPr>
          <w:p>
            <w:pPr>
              <w:pStyle w:val="111"/>
              <w:bidi w:val="0"/>
              <w:ind w:firstLine="0" w:firstLineChars="0"/>
              <w:rPr>
                <w:rFonts w:hint="eastAsia"/>
                <w:lang w:val="en-US" w:eastAsia="zh-CN"/>
              </w:rPr>
            </w:pPr>
            <w:r>
              <w:rPr>
                <w:rFonts w:hint="eastAsia"/>
                <w:lang w:val="en-US" w:eastAsia="zh-CN"/>
              </w:rPr>
              <w:t>/</w:t>
            </w:r>
          </w:p>
        </w:tc>
        <w:tc>
          <w:tcPr>
            <w:tcW w:w="695" w:type="pct"/>
            <w:noWrap w:val="0"/>
            <w:vAlign w:val="center"/>
          </w:tcPr>
          <w:p>
            <w:pPr>
              <w:pStyle w:val="111"/>
              <w:bidi w:val="0"/>
              <w:ind w:firstLine="0" w:firstLineChars="0"/>
              <w:rPr>
                <w:rFonts w:hint="eastAsia"/>
                <w:lang w:val="en-US" w:eastAsia="zh-CN"/>
              </w:rPr>
            </w:pPr>
            <w:r>
              <w:rPr>
                <w:rFonts w:hint="eastAsia"/>
                <w:lang w:val="en-US" w:eastAsia="zh-CN"/>
              </w:rPr>
              <w:t>/</w:t>
            </w:r>
          </w:p>
        </w:tc>
        <w:tc>
          <w:tcPr>
            <w:tcW w:w="637" w:type="pct"/>
            <w:noWrap w:val="0"/>
            <w:vAlign w:val="center"/>
          </w:tcPr>
          <w:p>
            <w:pPr>
              <w:pStyle w:val="111"/>
              <w:rPr>
                <w:rFonts w:hint="default" w:eastAsia="宋体"/>
                <w:color w:val="auto"/>
                <w:lang w:val="en-US" w:eastAsia="zh-CN"/>
              </w:rPr>
            </w:pPr>
            <w:r>
              <w:rPr>
                <w:rFonts w:hint="eastAsia"/>
                <w:color w:val="auto"/>
                <w:lang w:val="en-US" w:eastAsia="zh-CN"/>
              </w:rPr>
              <w:t>0.01t/a</w:t>
            </w:r>
          </w:p>
        </w:tc>
        <w:tc>
          <w:tcPr>
            <w:tcW w:w="493" w:type="pct"/>
            <w:noWrap w:val="0"/>
            <w:vAlign w:val="center"/>
          </w:tcPr>
          <w:p>
            <w:pPr>
              <w:pStyle w:val="111"/>
              <w:bidi w:val="0"/>
              <w:ind w:firstLine="0" w:firstLineChars="0"/>
              <w:rPr>
                <w:rFonts w:hint="eastAsia"/>
                <w:color w:val="auto"/>
              </w:rPr>
            </w:pPr>
            <w:r>
              <w:rPr>
                <w:rFonts w:hint="eastAsia"/>
                <w:lang w:val="en-US" w:eastAsia="zh-CN"/>
              </w:rPr>
              <w:t>/</w:t>
            </w:r>
          </w:p>
        </w:tc>
        <w:tc>
          <w:tcPr>
            <w:tcW w:w="729" w:type="pct"/>
            <w:noWrap w:val="0"/>
            <w:vAlign w:val="center"/>
          </w:tcPr>
          <w:p>
            <w:pPr>
              <w:pStyle w:val="111"/>
              <w:ind w:firstLine="0" w:firstLineChars="0"/>
              <w:rPr>
                <w:rFonts w:hint="eastAsia"/>
                <w:color w:val="auto"/>
              </w:rPr>
            </w:pPr>
            <w:r>
              <w:rPr>
                <w:rFonts w:hint="eastAsia"/>
                <w:color w:val="auto"/>
                <w:lang w:val="en-US" w:eastAsia="zh-CN"/>
              </w:rPr>
              <w:t>0.01t/a</w:t>
            </w:r>
          </w:p>
        </w:tc>
      </w:tr>
    </w:tbl>
    <w:p>
      <w:pPr>
        <w:pStyle w:val="91"/>
        <w:spacing w:before="192" w:beforeLines="80" w:after="24"/>
        <w:jc w:val="left"/>
        <w:rPr>
          <w:rFonts w:hint="eastAsia" w:hAnsi="宋体"/>
          <w:snapToGrid w:val="0"/>
          <w:color w:val="auto"/>
          <w:spacing w:val="-6"/>
          <w:kern w:val="21"/>
          <w:szCs w:val="21"/>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p>
      <w:pPr>
        <w:ind w:firstLine="0" w:firstLineChars="0"/>
        <w:rPr>
          <w:rFonts w:ascii="宋体" w:hAnsi="宋体" w:eastAsia="黑体"/>
          <w:color w:val="auto"/>
        </w:rPr>
      </w:pPr>
    </w:p>
    <w:p>
      <w:pPr>
        <w:pStyle w:val="6"/>
        <w:rPr>
          <w:rFonts w:hint="eastAsia"/>
        </w:rPr>
      </w:pPr>
      <w:bookmarkStart w:id="10" w:name="_GoBack"/>
      <w:bookmarkEnd w:id="10"/>
    </w:p>
    <w:sectPr>
      <w:footerReference r:id="rId15" w:type="default"/>
      <w:pgSz w:w="16838" w:h="11906" w:orient="landscape"/>
      <w:pgMar w:top="1797" w:right="1440" w:bottom="1797" w:left="1440"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幼圆">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font>
  <w:font w:name="Courier">
    <w:altName w:val="Courier New"/>
    <w:panose1 w:val="02070409020205020404"/>
    <w:charset w:val="00"/>
    <w:family w:val="modern"/>
    <w:pitch w:val="default"/>
    <w:sig w:usb0="00000000" w:usb1="00000000" w:usb2="00000000" w:usb3="00000000" w:csb0="00000001" w:csb1="00000000"/>
  </w:font>
  <w:font w:name="PMingLiU">
    <w:panose1 w:val="02020500000000000000"/>
    <w:charset w:val="88"/>
    <w:family w:val="roman"/>
    <w:pitch w:val="default"/>
    <w:sig w:usb0="A00002FF" w:usb1="28CFFCFA" w:usb2="00000016" w:usb3="00000000" w:csb0="00100001" w:csb1="00000000"/>
  </w:font>
  <w:font w:name="宋?">
    <w:altName w:val="宋体"/>
    <w:panose1 w:val="00000000000000000000"/>
    <w:charset w:val="81"/>
    <w:family w:val="auto"/>
    <w:pitch w:val="default"/>
    <w:sig w:usb0="00000000" w:usb1="00000000" w:usb2="00000010" w:usb3="00000000" w:csb0="00080000" w:csb1="00000000"/>
  </w:font>
  <w:font w:name="MingLiU">
    <w:panose1 w:val="02020509000000000000"/>
    <w:charset w:val="88"/>
    <w:family w:val="modern"/>
    <w:pitch w:val="default"/>
    <w:sig w:usb0="A00002FF" w:usb1="28CFFCFA" w:usb2="00000016" w:usb3="00000000" w:csb0="00100001"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Arial Unicode MS">
    <w:panose1 w:val="020B0604020202020204"/>
    <w:charset w:val="86"/>
    <w:family w:val="swiss"/>
    <w:pitch w:val="default"/>
    <w:sig w:usb0="FFFFFFFF" w:usb1="E9FFFFFF" w:usb2="0000003F" w:usb3="00000000" w:csb0="603F01FF" w:csb1="FFFF0000"/>
  </w:font>
  <w:font w:name="方正小标宋_GBK">
    <w:altName w:val="微软雅黑"/>
    <w:panose1 w:val="02000000000000000000"/>
    <w:charset w:val="86"/>
    <w:family w:val="roman"/>
    <w:pitch w:val="default"/>
    <w:sig w:usb0="00000000" w:usb1="00000000" w:usb2="00082016" w:usb3="00000000" w:csb0="00040001" w:csb1="00000000"/>
  </w:font>
  <w:font w:name="微软雅黑">
    <w:panose1 w:val="020B0503020204020204"/>
    <w:charset w:val="86"/>
    <w:family w:val="auto"/>
    <w:pitch w:val="default"/>
    <w:sig w:usb0="80000287" w:usb1="280F3C52" w:usb2="00000016" w:usb3="00000000" w:csb0="0004001F" w:csb1="00000000"/>
  </w:font>
  <w:font w:name="Wingdings 2">
    <w:panose1 w:val="05020102010507070707"/>
    <w:charset w:val="00"/>
    <w:family w:val="auto"/>
    <w:pitch w:val="default"/>
    <w:sig w:usb0="00000000" w:usb1="00000000" w:usb2="00000000" w:usb3="00000000" w:csb0="80000000" w:csb1="00000000"/>
  </w:font>
  <w:font w:name="System">
    <w:altName w:val="宋体"/>
    <w:panose1 w:val="00000000000000000000"/>
    <w:charset w:val="86"/>
    <w:family w:val="auto"/>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汉仪书宋二S">
    <w:altName w:val="微软雅黑"/>
    <w:panose1 w:val="00020600040101010101"/>
    <w:charset w:val="86"/>
    <w:family w:val="auto"/>
    <w:pitch w:val="default"/>
    <w:sig w:usb0="00000000" w:usb1="00000000"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ind w:firstLine="360"/>
      <w:rPr>
        <w:rStyle w:val="43"/>
      </w:rPr>
    </w:pPr>
    <w:r>
      <w:fldChar w:fldCharType="begin"/>
    </w:r>
    <w:r>
      <w:rPr>
        <w:rStyle w:val="43"/>
      </w:rPr>
      <w:instrText xml:space="preserve">PAGE  </w:instrText>
    </w:r>
    <w:r>
      <w:fldChar w:fldCharType="end"/>
    </w:r>
  </w:p>
  <w:p>
    <w:pPr>
      <w:pStyle w:val="2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ind w:firstLine="360"/>
                          </w:pPr>
                          <w:r>
                            <w:fldChar w:fldCharType="begin"/>
                          </w:r>
                          <w:r>
                            <w:instrText xml:space="preserve"> PAGE  \* MERGEFORMAT </w:instrText>
                          </w:r>
                          <w:r>
                            <w:fldChar w:fldCharType="separate"/>
                          </w:r>
                          <w:r>
                            <w:t>36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path/>
              <v:fill on="f" focussize="0,0"/>
              <v:stroke on="f"/>
              <v:imagedata o:title=""/>
              <o:lock v:ext="edit" aspectratio="f"/>
              <v:textbox inset="0mm,0mm,0mm,0mm" style="mso-fit-shape-to-text:t;">
                <w:txbxContent>
                  <w:p>
                    <w:pPr>
                      <w:pStyle w:val="24"/>
                      <w:ind w:firstLine="360"/>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ind w:firstLine="360"/>
                          </w:pPr>
                          <w:r>
                            <w:fldChar w:fldCharType="begin"/>
                          </w:r>
                          <w:r>
                            <w:instrText xml:space="preserve"> PAGE  \* MERGEFORMAT </w:instrText>
                          </w:r>
                          <w:r>
                            <w:fldChar w:fldCharType="separate"/>
                          </w:r>
                          <w:r>
                            <w:t>51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path/>
              <v:fill on="f" focussize="0,0"/>
              <v:stroke on="f"/>
              <v:imagedata o:title=""/>
              <o:lock v:ext="edit" aspectratio="f"/>
              <v:textbox inset="0mm,0mm,0mm,0mm" style="mso-fit-shape-to-text:t;">
                <w:txbxContent>
                  <w:p>
                    <w:pPr>
                      <w:pStyle w:val="24"/>
                      <w:ind w:firstLine="360"/>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right"/>
    </w:pPr>
    <w:r>
      <w:fldChar w:fldCharType="begin"/>
    </w:r>
    <w:r>
      <w:instrText xml:space="preserve"> PAGE   \* MERGEFORMAT </w:instrText>
    </w:r>
    <w:r>
      <w:fldChar w:fldCharType="separate"/>
    </w:r>
    <w:r>
      <w:rPr>
        <w:lang w:val="zh-CN"/>
      </w:rPr>
      <w:t>51</w:t>
    </w:r>
    <w:r>
      <w:fldChar w:fldCharType="end"/>
    </w:r>
  </w:p>
  <w:p>
    <w:pPr>
      <w:pStyle w:val="24"/>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ind w:firstLine="0" w:firstLineChars="0"/>
      <w:jc w:val="left"/>
      <w:rPr>
        <w:sz w:val="24"/>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4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nThickSmallGap" w:color="auto" w:sz="12" w:space="1"/>
      </w:pBdr>
      <w:tabs>
        <w:tab w:val="center" w:pos="4153"/>
        <w:tab w:val="right" w:pos="8306"/>
      </w:tabs>
      <w:ind w:firstLine="0" w:firstLineChars="0"/>
      <w:jc w:val="left"/>
      <w:rPr>
        <w:sz w:val="24"/>
        <w:szCs w:val="28"/>
      </w:rPr>
    </w:pPr>
    <w:r>
      <w:rPr>
        <w:rFonts w:hint="eastAsia"/>
        <w:sz w:val="24"/>
        <w:szCs w:val="28"/>
        <w:lang w:eastAsia="zh-CN"/>
      </w:rPr>
      <w:t>乐山市市中区乐嘉宠物医院</w:t>
    </w:r>
    <w:r>
      <w:rPr>
        <w:rFonts w:hint="eastAsia"/>
        <w:sz w:val="24"/>
        <w:szCs w:val="28"/>
      </w:rPr>
      <w:t xml:space="preserve">    </w:t>
    </w:r>
    <w:r>
      <w:rPr>
        <w:rFonts w:hint="eastAsia"/>
        <w:sz w:val="24"/>
        <w:szCs w:val="28"/>
        <w:lang w:val="en-US" w:eastAsia="zh-CN"/>
      </w:rPr>
      <w:t xml:space="preserve"> </w:t>
    </w:r>
    <w:r>
      <w:rPr>
        <w:rFonts w:hint="eastAsia"/>
        <w:sz w:val="24"/>
        <w:szCs w:val="28"/>
      </w:rPr>
      <w:t xml:space="preserve">                              环境影响报告表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nThickSmallGap" w:color="auto" w:sz="12" w:space="1"/>
      </w:pBdr>
      <w:tabs>
        <w:tab w:val="center" w:pos="4153"/>
        <w:tab w:val="right" w:pos="8306"/>
      </w:tabs>
      <w:ind w:firstLine="0" w:firstLineChars="0"/>
      <w:jc w:val="left"/>
      <w:rPr>
        <w:sz w:val="24"/>
        <w:szCs w:val="28"/>
      </w:rPr>
    </w:pPr>
    <w:r>
      <w:rPr>
        <w:rFonts w:hint="eastAsia"/>
        <w:sz w:val="24"/>
        <w:szCs w:val="28"/>
        <w:lang w:eastAsia="zh-CN"/>
      </w:rPr>
      <w:t>乐山市市中区乐嘉宠物医院</w:t>
    </w:r>
    <w:r>
      <w:rPr>
        <w:rFonts w:hint="eastAsia"/>
        <w:sz w:val="24"/>
        <w:szCs w:val="28"/>
      </w:rPr>
      <w:t xml:space="preserve">    </w:t>
    </w:r>
    <w:r>
      <w:rPr>
        <w:rFonts w:hint="eastAsia"/>
        <w:sz w:val="24"/>
        <w:szCs w:val="28"/>
        <w:lang w:val="en-US" w:eastAsia="zh-CN"/>
      </w:rPr>
      <w:t xml:space="preserve"> </w:t>
    </w:r>
    <w:r>
      <w:rPr>
        <w:rFonts w:hint="eastAsia"/>
        <w:sz w:val="24"/>
        <w:szCs w:val="28"/>
      </w:rPr>
      <w:t xml:space="preserve">                             </w:t>
    </w:r>
    <w:r>
      <w:rPr>
        <w:rFonts w:hint="eastAsia"/>
        <w:sz w:val="24"/>
        <w:szCs w:val="28"/>
        <w:lang w:val="en-US" w:eastAsia="zh-CN"/>
      </w:rPr>
      <w:t xml:space="preserve">                                      </w:t>
    </w:r>
    <w:r>
      <w:rPr>
        <w:rFonts w:hint="eastAsia"/>
        <w:sz w:val="24"/>
        <w:szCs w:val="28"/>
      </w:rPr>
      <w:t xml:space="preserve"> 环境影响报告表</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nThickSmallGap" w:color="auto" w:sz="12" w:space="1"/>
      </w:pBdr>
      <w:tabs>
        <w:tab w:val="center" w:pos="4153"/>
        <w:tab w:val="right" w:pos="8306"/>
      </w:tabs>
      <w:ind w:firstLine="0" w:firstLineChars="0"/>
      <w:jc w:val="left"/>
      <w:rPr>
        <w:sz w:val="24"/>
        <w:szCs w:val="28"/>
      </w:rPr>
    </w:pPr>
    <w:r>
      <w:rPr>
        <w:rFonts w:hint="eastAsia"/>
        <w:sz w:val="24"/>
        <w:szCs w:val="28"/>
        <w:lang w:eastAsia="zh-CN"/>
      </w:rPr>
      <w:t>乐山市市中区乐嘉宠物医院</w:t>
    </w:r>
    <w:r>
      <w:rPr>
        <w:rFonts w:hint="eastAsia"/>
        <w:sz w:val="24"/>
        <w:szCs w:val="28"/>
      </w:rPr>
      <w:t xml:space="preserve">                        </w:t>
    </w:r>
    <w:r>
      <w:rPr>
        <w:rFonts w:hint="eastAsia"/>
        <w:sz w:val="24"/>
        <w:szCs w:val="28"/>
        <w:lang w:val="en-US" w:eastAsia="zh-CN"/>
      </w:rPr>
      <w:t xml:space="preserve">  </w:t>
    </w:r>
    <w:r>
      <w:rPr>
        <w:rFonts w:hint="eastAsia"/>
        <w:sz w:val="24"/>
        <w:szCs w:val="28"/>
      </w:rPr>
      <w:t xml:space="preserve">         环境影响报告表</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nThickSmallGap" w:color="auto" w:sz="12" w:space="1"/>
      </w:pBdr>
      <w:tabs>
        <w:tab w:val="center" w:pos="4153"/>
        <w:tab w:val="right" w:pos="8306"/>
      </w:tabs>
      <w:ind w:firstLine="0" w:firstLineChars="0"/>
      <w:jc w:val="left"/>
      <w:rPr>
        <w:sz w:val="24"/>
        <w:szCs w:val="28"/>
      </w:rPr>
    </w:pPr>
    <w:r>
      <w:rPr>
        <w:rFonts w:hint="eastAsia"/>
        <w:sz w:val="22"/>
        <w:szCs w:val="24"/>
        <w:lang w:eastAsia="zh-CN"/>
      </w:rPr>
      <w:t>乐山市市中区乐嘉宠物医院</w:t>
    </w:r>
    <w:r>
      <w:rPr>
        <w:rFonts w:hint="eastAsia"/>
        <w:sz w:val="22"/>
        <w:szCs w:val="24"/>
      </w:rPr>
      <w:t xml:space="preserve">   </w:t>
    </w:r>
    <w:r>
      <w:rPr>
        <w:rFonts w:hint="eastAsia"/>
        <w:sz w:val="22"/>
        <w:szCs w:val="24"/>
        <w:lang w:val="en-US" w:eastAsia="zh-CN"/>
      </w:rPr>
      <w:t xml:space="preserve">   </w:t>
    </w:r>
    <w:r>
      <w:rPr>
        <w:rFonts w:hint="eastAsia"/>
        <w:sz w:val="22"/>
        <w:szCs w:val="24"/>
      </w:rPr>
      <w:t xml:space="preserve">                          </w:t>
    </w:r>
    <w:r>
      <w:rPr>
        <w:rFonts w:hint="eastAsia"/>
        <w:sz w:val="22"/>
        <w:szCs w:val="24"/>
        <w:lang w:val="en-US" w:eastAsia="zh-CN"/>
      </w:rPr>
      <w:t xml:space="preserve">       </w:t>
    </w:r>
    <w:r>
      <w:rPr>
        <w:rFonts w:hint="eastAsia"/>
        <w:sz w:val="22"/>
        <w:szCs w:val="24"/>
      </w:rPr>
      <w:t xml:space="preserve">   环境影响报告表 </w:t>
    </w:r>
    <w:r>
      <w:rPr>
        <w:rFonts w:hint="eastAsia"/>
        <w:sz w:val="24"/>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72E627"/>
    <w:multiLevelType w:val="singleLevel"/>
    <w:tmpl w:val="D772E627"/>
    <w:lvl w:ilvl="0" w:tentative="0">
      <w:start w:val="1"/>
      <w:numFmt w:val="decimal"/>
      <w:suff w:val="nothing"/>
      <w:lvlText w:val="%1、"/>
      <w:lvlJc w:val="left"/>
    </w:lvl>
  </w:abstractNum>
  <w:abstractNum w:abstractNumId="1">
    <w:nsid w:val="E090AA8E"/>
    <w:multiLevelType w:val="singleLevel"/>
    <w:tmpl w:val="E090AA8E"/>
    <w:lvl w:ilvl="0" w:tentative="0">
      <w:start w:val="1"/>
      <w:numFmt w:val="decimal"/>
      <w:suff w:val="nothing"/>
      <w:lvlText w:val="%1、"/>
      <w:lvlJc w:val="left"/>
    </w:lvl>
  </w:abstractNum>
  <w:abstractNum w:abstractNumId="2">
    <w:nsid w:val="EB9DC458"/>
    <w:multiLevelType w:val="singleLevel"/>
    <w:tmpl w:val="EB9DC458"/>
    <w:lvl w:ilvl="0" w:tentative="0">
      <w:start w:val="1"/>
      <w:numFmt w:val="decimal"/>
      <w:suff w:val="space"/>
      <w:lvlText w:val="（%1）"/>
      <w:lvlJc w:val="left"/>
    </w:lvl>
  </w:abstractNum>
  <w:abstractNum w:abstractNumId="3">
    <w:nsid w:val="0000000F"/>
    <w:multiLevelType w:val="multilevel"/>
    <w:tmpl w:val="0000000F"/>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pStyle w:val="7"/>
      <w:lvlText w:val="%1.%2.%3.%4"/>
      <w:lvlJc w:val="left"/>
      <w:pPr>
        <w:tabs>
          <w:tab w:val="left" w:pos="864"/>
        </w:tabs>
        <w:ind w:left="864" w:hanging="864"/>
      </w:pPr>
      <w:rPr>
        <w:rFonts w:hint="eastAsia"/>
      </w:rPr>
    </w:lvl>
    <w:lvl w:ilvl="4" w:tentative="0">
      <w:start w:val="1"/>
      <w:numFmt w:val="decimal"/>
      <w:lvlText w:val="%1.%2.%3.%4.%5"/>
      <w:lvlJc w:val="left"/>
      <w:pPr>
        <w:tabs>
          <w:tab w:val="left" w:pos="1800"/>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14E0EC76"/>
    <w:multiLevelType w:val="singleLevel"/>
    <w:tmpl w:val="14E0EC76"/>
    <w:lvl w:ilvl="0" w:tentative="0">
      <w:start w:val="1"/>
      <w:numFmt w:val="decimal"/>
      <w:suff w:val="nothing"/>
      <w:lvlText w:val="%1）"/>
      <w:lvlJc w:val="left"/>
    </w:lvl>
  </w:abstractNum>
  <w:abstractNum w:abstractNumId="5">
    <w:nsid w:val="2AB56E37"/>
    <w:multiLevelType w:val="singleLevel"/>
    <w:tmpl w:val="2AB56E37"/>
    <w:lvl w:ilvl="0" w:tentative="0">
      <w:start w:val="1"/>
      <w:numFmt w:val="bullet"/>
      <w:lvlText w:val=""/>
      <w:lvlJc w:val="left"/>
      <w:pPr>
        <w:tabs>
          <w:tab w:val="left" w:pos="420"/>
        </w:tabs>
        <w:ind w:left="840" w:hanging="420"/>
      </w:pPr>
      <w:rPr>
        <w:rFonts w:hint="default" w:ascii="Wingdings" w:hAnsi="Wingdings"/>
      </w:rPr>
    </w:lvl>
  </w:abstractNum>
  <w:abstractNum w:abstractNumId="6">
    <w:nsid w:val="3150E228"/>
    <w:multiLevelType w:val="singleLevel"/>
    <w:tmpl w:val="3150E228"/>
    <w:lvl w:ilvl="0" w:tentative="0">
      <w:start w:val="1"/>
      <w:numFmt w:val="decimal"/>
      <w:suff w:val="nothing"/>
      <w:lvlText w:val="（%1）"/>
      <w:lvlJc w:val="left"/>
    </w:lvl>
  </w:abstractNum>
  <w:abstractNum w:abstractNumId="7">
    <w:nsid w:val="363E5F7E"/>
    <w:multiLevelType w:val="singleLevel"/>
    <w:tmpl w:val="363E5F7E"/>
    <w:lvl w:ilvl="0" w:tentative="0">
      <w:start w:val="1"/>
      <w:numFmt w:val="decimal"/>
      <w:suff w:val="nothing"/>
      <w:lvlText w:val="（%1）"/>
      <w:lvlJc w:val="left"/>
    </w:lvl>
  </w:abstractNum>
  <w:abstractNum w:abstractNumId="8">
    <w:nsid w:val="3C3D778B"/>
    <w:multiLevelType w:val="singleLevel"/>
    <w:tmpl w:val="3C3D778B"/>
    <w:lvl w:ilvl="0" w:tentative="0">
      <w:start w:val="4"/>
      <w:numFmt w:val="decimal"/>
      <w:suff w:val="nothing"/>
      <w:lvlText w:val="（%1）"/>
      <w:lvlJc w:val="left"/>
    </w:lvl>
  </w:abstractNum>
  <w:abstractNum w:abstractNumId="9">
    <w:nsid w:val="48273669"/>
    <w:multiLevelType w:val="multilevel"/>
    <w:tmpl w:val="48273669"/>
    <w:lvl w:ilvl="0" w:tentative="0">
      <w:start w:val="1"/>
      <w:numFmt w:val="decimal"/>
      <w:pStyle w:val="234"/>
      <w:suff w:val="nothing"/>
      <w:lvlText w:val="%1、"/>
      <w:lvlJc w:val="left"/>
      <w:pPr>
        <w:ind w:left="2121" w:hanging="420"/>
      </w:pPr>
      <w:rPr>
        <w:rFonts w:hint="default"/>
        <w:b/>
        <w:bC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590C3712"/>
    <w:multiLevelType w:val="multilevel"/>
    <w:tmpl w:val="590C3712"/>
    <w:lvl w:ilvl="0" w:tentative="0">
      <w:start w:val="0"/>
      <w:numFmt w:val="none"/>
      <w:pStyle w:val="265"/>
      <w:lvlText w:val=""/>
      <w:lvlJc w:val="left"/>
      <w:pPr>
        <w:tabs>
          <w:tab w:val="left" w:pos="360"/>
        </w:tabs>
      </w:pPr>
    </w:lvl>
    <w:lvl w:ilvl="1" w:tentative="0">
      <w:start w:val="1"/>
      <w:numFmt w:val="lowerLetter"/>
      <w:lvlText w:val="%2)"/>
      <w:lvlJc w:val="left"/>
      <w:pPr>
        <w:ind w:left="840" w:hanging="420"/>
      </w:pPr>
      <w:rPr>
        <w:rFonts w:hint="default" w:ascii="宋体" w:hAnsi="宋体" w:eastAsia="宋体" w:cs="宋体"/>
      </w:rPr>
    </w:lvl>
    <w:lvl w:ilvl="2" w:tentative="0">
      <w:start w:val="1"/>
      <w:numFmt w:val="decimal"/>
      <w:lvlText w:val="%3."/>
      <w:lvlJc w:val="right"/>
      <w:pPr>
        <w:ind w:left="1260" w:hanging="420"/>
      </w:pPr>
      <w:rPr>
        <w:rFonts w:hint="default" w:ascii="宋体" w:hAnsi="宋体" w:eastAsia="宋体" w:cs="宋体"/>
      </w:rPr>
    </w:lvl>
    <w:lvl w:ilvl="3" w:tentative="0">
      <w:start w:val="1"/>
      <w:numFmt w:val="decimal"/>
      <w:lvlText w:val="%4."/>
      <w:lvlJc w:val="left"/>
      <w:pPr>
        <w:ind w:left="1680" w:hanging="420"/>
      </w:pPr>
      <w:rPr>
        <w:rFonts w:hint="default" w:ascii="宋体" w:hAnsi="宋体" w:eastAsia="宋体" w:cs="宋体"/>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
    <w:nsid w:val="7ED14685"/>
    <w:multiLevelType w:val="singleLevel"/>
    <w:tmpl w:val="7ED14685"/>
    <w:lvl w:ilvl="0" w:tentative="0">
      <w:start w:val="1"/>
      <w:numFmt w:val="bullet"/>
      <w:pStyle w:val="21"/>
      <w:lvlText w:val=""/>
      <w:lvlJc w:val="left"/>
      <w:pPr>
        <w:tabs>
          <w:tab w:val="left" w:pos="2040"/>
        </w:tabs>
        <w:ind w:left="2040" w:hanging="360"/>
      </w:pPr>
      <w:rPr>
        <w:rFonts w:hint="default" w:ascii="Wingdings" w:hAnsi="Wingdings"/>
      </w:rPr>
    </w:lvl>
  </w:abstractNum>
  <w:num w:numId="1">
    <w:abstractNumId w:val="3"/>
  </w:num>
  <w:num w:numId="2">
    <w:abstractNumId w:val="11"/>
  </w:num>
  <w:num w:numId="3">
    <w:abstractNumId w:val="9"/>
  </w:num>
  <w:num w:numId="4">
    <w:abstractNumId w:val="10"/>
  </w:num>
  <w:num w:numId="5">
    <w:abstractNumId w:val="0"/>
  </w:num>
  <w:num w:numId="6">
    <w:abstractNumId w:val="1"/>
  </w:num>
  <w:num w:numId="7">
    <w:abstractNumId w:val="5"/>
  </w:num>
  <w:num w:numId="8">
    <w:abstractNumId w:val="2"/>
  </w:num>
  <w:num w:numId="9">
    <w:abstractNumId w:val="8"/>
  </w:num>
  <w:num w:numId="10">
    <w:abstractNumId w:val="6"/>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VjOWU3MGM1YjYyNTZiNDkyOGFhMTZjNTVjZDM0NjgifQ=="/>
  </w:docVars>
  <w:rsids>
    <w:rsidRoot w:val="4CC51681"/>
    <w:rsid w:val="00143723"/>
    <w:rsid w:val="00150902"/>
    <w:rsid w:val="0025035E"/>
    <w:rsid w:val="006A2EAD"/>
    <w:rsid w:val="00854F9C"/>
    <w:rsid w:val="00955394"/>
    <w:rsid w:val="00B4697A"/>
    <w:rsid w:val="00CE1CF4"/>
    <w:rsid w:val="00D34727"/>
    <w:rsid w:val="00EA480F"/>
    <w:rsid w:val="00F53CD5"/>
    <w:rsid w:val="01392CC3"/>
    <w:rsid w:val="01594742"/>
    <w:rsid w:val="015E0AA1"/>
    <w:rsid w:val="01962E2B"/>
    <w:rsid w:val="01C74BCA"/>
    <w:rsid w:val="01D62705"/>
    <w:rsid w:val="021F4145"/>
    <w:rsid w:val="024E3BCD"/>
    <w:rsid w:val="02805672"/>
    <w:rsid w:val="02D87096"/>
    <w:rsid w:val="02E2183C"/>
    <w:rsid w:val="0307687D"/>
    <w:rsid w:val="035D21FD"/>
    <w:rsid w:val="03DF2239"/>
    <w:rsid w:val="045D3736"/>
    <w:rsid w:val="04AE0DC8"/>
    <w:rsid w:val="04B97B11"/>
    <w:rsid w:val="04C55C41"/>
    <w:rsid w:val="04E747C2"/>
    <w:rsid w:val="050A70B6"/>
    <w:rsid w:val="05180283"/>
    <w:rsid w:val="05804E48"/>
    <w:rsid w:val="059C7B24"/>
    <w:rsid w:val="06614682"/>
    <w:rsid w:val="067512AC"/>
    <w:rsid w:val="0779268E"/>
    <w:rsid w:val="08195139"/>
    <w:rsid w:val="082D180C"/>
    <w:rsid w:val="08352131"/>
    <w:rsid w:val="083B1DE4"/>
    <w:rsid w:val="084F0D5C"/>
    <w:rsid w:val="08560496"/>
    <w:rsid w:val="08932046"/>
    <w:rsid w:val="08D07CD7"/>
    <w:rsid w:val="08D609C0"/>
    <w:rsid w:val="093D7238"/>
    <w:rsid w:val="09D23B5C"/>
    <w:rsid w:val="0A300F3E"/>
    <w:rsid w:val="0A690A42"/>
    <w:rsid w:val="0ABA277E"/>
    <w:rsid w:val="0AD304EE"/>
    <w:rsid w:val="0B0D5A73"/>
    <w:rsid w:val="0B100C28"/>
    <w:rsid w:val="0B641641"/>
    <w:rsid w:val="0B737DFC"/>
    <w:rsid w:val="0C1E1312"/>
    <w:rsid w:val="0C266E4F"/>
    <w:rsid w:val="0C7F6F4E"/>
    <w:rsid w:val="0C946F6B"/>
    <w:rsid w:val="0CC777E5"/>
    <w:rsid w:val="0CDB0707"/>
    <w:rsid w:val="0DDD7799"/>
    <w:rsid w:val="0DFD3960"/>
    <w:rsid w:val="0E1657E1"/>
    <w:rsid w:val="0EBF382D"/>
    <w:rsid w:val="0EF0007C"/>
    <w:rsid w:val="0F2A6253"/>
    <w:rsid w:val="10D83537"/>
    <w:rsid w:val="10FB3257"/>
    <w:rsid w:val="1116403C"/>
    <w:rsid w:val="11A744E6"/>
    <w:rsid w:val="11CF60C1"/>
    <w:rsid w:val="1208464E"/>
    <w:rsid w:val="12614BA6"/>
    <w:rsid w:val="128B36DF"/>
    <w:rsid w:val="13707CF2"/>
    <w:rsid w:val="13C51721"/>
    <w:rsid w:val="14521FBF"/>
    <w:rsid w:val="14AE4611"/>
    <w:rsid w:val="150E5154"/>
    <w:rsid w:val="154D01F0"/>
    <w:rsid w:val="159A2B43"/>
    <w:rsid w:val="15AA5CF1"/>
    <w:rsid w:val="16223187"/>
    <w:rsid w:val="170718E6"/>
    <w:rsid w:val="175627CE"/>
    <w:rsid w:val="17A24F79"/>
    <w:rsid w:val="18047AE0"/>
    <w:rsid w:val="18C97015"/>
    <w:rsid w:val="18CA0832"/>
    <w:rsid w:val="192C0E0C"/>
    <w:rsid w:val="194B3136"/>
    <w:rsid w:val="197E6AA6"/>
    <w:rsid w:val="19903300"/>
    <w:rsid w:val="19AB256E"/>
    <w:rsid w:val="19F53607"/>
    <w:rsid w:val="1A1B7E99"/>
    <w:rsid w:val="1A3E41FA"/>
    <w:rsid w:val="1AA1295A"/>
    <w:rsid w:val="1AF12A44"/>
    <w:rsid w:val="1B1A26E2"/>
    <w:rsid w:val="1B306FCF"/>
    <w:rsid w:val="1B3D691D"/>
    <w:rsid w:val="1B4C7724"/>
    <w:rsid w:val="1BED4E39"/>
    <w:rsid w:val="1C1F0578"/>
    <w:rsid w:val="1C28039D"/>
    <w:rsid w:val="1D4650ED"/>
    <w:rsid w:val="1D753DB0"/>
    <w:rsid w:val="1D915310"/>
    <w:rsid w:val="1D962123"/>
    <w:rsid w:val="1DC70DEC"/>
    <w:rsid w:val="1DDF4CD2"/>
    <w:rsid w:val="1E042A1B"/>
    <w:rsid w:val="1E25248A"/>
    <w:rsid w:val="1E3F2025"/>
    <w:rsid w:val="1F9A238D"/>
    <w:rsid w:val="1FDC1987"/>
    <w:rsid w:val="1FDE7D08"/>
    <w:rsid w:val="203F12C3"/>
    <w:rsid w:val="206146C8"/>
    <w:rsid w:val="20645E17"/>
    <w:rsid w:val="20C71CD9"/>
    <w:rsid w:val="21000432"/>
    <w:rsid w:val="211D50C8"/>
    <w:rsid w:val="216A4C05"/>
    <w:rsid w:val="21863D0D"/>
    <w:rsid w:val="2216046A"/>
    <w:rsid w:val="223B4BFE"/>
    <w:rsid w:val="22644AB9"/>
    <w:rsid w:val="22876AFD"/>
    <w:rsid w:val="23163EB2"/>
    <w:rsid w:val="2427107E"/>
    <w:rsid w:val="245A3DCA"/>
    <w:rsid w:val="24B94350"/>
    <w:rsid w:val="253F118A"/>
    <w:rsid w:val="2578310B"/>
    <w:rsid w:val="25D8356A"/>
    <w:rsid w:val="25E71BEC"/>
    <w:rsid w:val="25EC6ED5"/>
    <w:rsid w:val="25F015C5"/>
    <w:rsid w:val="26571D40"/>
    <w:rsid w:val="266F149F"/>
    <w:rsid w:val="27804D47"/>
    <w:rsid w:val="28145128"/>
    <w:rsid w:val="282838DA"/>
    <w:rsid w:val="28571D32"/>
    <w:rsid w:val="294D084D"/>
    <w:rsid w:val="29933722"/>
    <w:rsid w:val="29AA51F0"/>
    <w:rsid w:val="29DA4EBE"/>
    <w:rsid w:val="2A3253DE"/>
    <w:rsid w:val="2A356872"/>
    <w:rsid w:val="2A546059"/>
    <w:rsid w:val="2A5D2D01"/>
    <w:rsid w:val="2AF27BEF"/>
    <w:rsid w:val="2B0077CF"/>
    <w:rsid w:val="2B01741F"/>
    <w:rsid w:val="2B1C040B"/>
    <w:rsid w:val="2B1F6EF2"/>
    <w:rsid w:val="2B71731C"/>
    <w:rsid w:val="2BB0437F"/>
    <w:rsid w:val="2CD261A7"/>
    <w:rsid w:val="2D321CC8"/>
    <w:rsid w:val="2D6477FE"/>
    <w:rsid w:val="2D833FE8"/>
    <w:rsid w:val="2D85397D"/>
    <w:rsid w:val="2DEE303D"/>
    <w:rsid w:val="2DF7769F"/>
    <w:rsid w:val="2DFF55A7"/>
    <w:rsid w:val="2EAE0106"/>
    <w:rsid w:val="2EC652B2"/>
    <w:rsid w:val="2F344423"/>
    <w:rsid w:val="305212CF"/>
    <w:rsid w:val="30CF1B19"/>
    <w:rsid w:val="30FD7924"/>
    <w:rsid w:val="311E24FD"/>
    <w:rsid w:val="315A5151"/>
    <w:rsid w:val="31746F9C"/>
    <w:rsid w:val="31873AFA"/>
    <w:rsid w:val="31E45D99"/>
    <w:rsid w:val="325B6989"/>
    <w:rsid w:val="32B722E3"/>
    <w:rsid w:val="32E55AEF"/>
    <w:rsid w:val="336C325E"/>
    <w:rsid w:val="34C60C67"/>
    <w:rsid w:val="350E0B57"/>
    <w:rsid w:val="353C3345"/>
    <w:rsid w:val="353C3CAC"/>
    <w:rsid w:val="354B7504"/>
    <w:rsid w:val="35A35FAD"/>
    <w:rsid w:val="36106FD5"/>
    <w:rsid w:val="36B01313"/>
    <w:rsid w:val="36B93809"/>
    <w:rsid w:val="36C631E8"/>
    <w:rsid w:val="371F41A4"/>
    <w:rsid w:val="3788036E"/>
    <w:rsid w:val="37A924CB"/>
    <w:rsid w:val="383F1698"/>
    <w:rsid w:val="38534CB7"/>
    <w:rsid w:val="38A56D41"/>
    <w:rsid w:val="38B54033"/>
    <w:rsid w:val="39212C99"/>
    <w:rsid w:val="39740B10"/>
    <w:rsid w:val="398639BF"/>
    <w:rsid w:val="39A26D13"/>
    <w:rsid w:val="39AE25A1"/>
    <w:rsid w:val="39F914CF"/>
    <w:rsid w:val="3A147AAC"/>
    <w:rsid w:val="3AFE72DB"/>
    <w:rsid w:val="3B2565A9"/>
    <w:rsid w:val="3B993EB6"/>
    <w:rsid w:val="3BE15BA1"/>
    <w:rsid w:val="3C1B6DEE"/>
    <w:rsid w:val="3CAD29AD"/>
    <w:rsid w:val="3CCF454A"/>
    <w:rsid w:val="3CE25A6A"/>
    <w:rsid w:val="3D6852CB"/>
    <w:rsid w:val="3D9D1094"/>
    <w:rsid w:val="3E3D6F14"/>
    <w:rsid w:val="3E6A3F16"/>
    <w:rsid w:val="3E7E1783"/>
    <w:rsid w:val="3F0223F3"/>
    <w:rsid w:val="3F281E38"/>
    <w:rsid w:val="3FC6242C"/>
    <w:rsid w:val="3FD35A41"/>
    <w:rsid w:val="3FDC4DBB"/>
    <w:rsid w:val="40061E82"/>
    <w:rsid w:val="405E0770"/>
    <w:rsid w:val="40616FB3"/>
    <w:rsid w:val="40722C94"/>
    <w:rsid w:val="40994365"/>
    <w:rsid w:val="40C8628A"/>
    <w:rsid w:val="40FF6E50"/>
    <w:rsid w:val="41104488"/>
    <w:rsid w:val="4162197F"/>
    <w:rsid w:val="41722AF1"/>
    <w:rsid w:val="41DD508C"/>
    <w:rsid w:val="425303BA"/>
    <w:rsid w:val="428E3330"/>
    <w:rsid w:val="42AB7666"/>
    <w:rsid w:val="42BB005F"/>
    <w:rsid w:val="42BC36B5"/>
    <w:rsid w:val="42C72DDD"/>
    <w:rsid w:val="441F2B8F"/>
    <w:rsid w:val="444B7C62"/>
    <w:rsid w:val="44B5606C"/>
    <w:rsid w:val="456316C1"/>
    <w:rsid w:val="459A4837"/>
    <w:rsid w:val="45F770A4"/>
    <w:rsid w:val="463A687E"/>
    <w:rsid w:val="465E7AF3"/>
    <w:rsid w:val="46756B4D"/>
    <w:rsid w:val="467B7704"/>
    <w:rsid w:val="467E26A2"/>
    <w:rsid w:val="468A57EA"/>
    <w:rsid w:val="46CC0674"/>
    <w:rsid w:val="472C7DB9"/>
    <w:rsid w:val="473B76F4"/>
    <w:rsid w:val="478A6064"/>
    <w:rsid w:val="47DB3EB5"/>
    <w:rsid w:val="47DD5A16"/>
    <w:rsid w:val="47F30BAC"/>
    <w:rsid w:val="489F51E6"/>
    <w:rsid w:val="49033AA7"/>
    <w:rsid w:val="49053025"/>
    <w:rsid w:val="49605F29"/>
    <w:rsid w:val="496A1820"/>
    <w:rsid w:val="49AE2C09"/>
    <w:rsid w:val="49F03E63"/>
    <w:rsid w:val="4A4302F3"/>
    <w:rsid w:val="4A9D7730"/>
    <w:rsid w:val="4A9F4ED2"/>
    <w:rsid w:val="4AEB31A1"/>
    <w:rsid w:val="4B35253D"/>
    <w:rsid w:val="4B3F5B3D"/>
    <w:rsid w:val="4B484E83"/>
    <w:rsid w:val="4BAC2D11"/>
    <w:rsid w:val="4BF55372"/>
    <w:rsid w:val="4C2F4549"/>
    <w:rsid w:val="4C3E3B1C"/>
    <w:rsid w:val="4C4A104E"/>
    <w:rsid w:val="4C756707"/>
    <w:rsid w:val="4CA11C08"/>
    <w:rsid w:val="4CB730C8"/>
    <w:rsid w:val="4CC51681"/>
    <w:rsid w:val="4D886208"/>
    <w:rsid w:val="4DAB0432"/>
    <w:rsid w:val="4DCA4FE5"/>
    <w:rsid w:val="4DCE2983"/>
    <w:rsid w:val="4E0232B1"/>
    <w:rsid w:val="4E9F2A5D"/>
    <w:rsid w:val="4F38594F"/>
    <w:rsid w:val="4F515FE9"/>
    <w:rsid w:val="4F9414B9"/>
    <w:rsid w:val="4FA12AF2"/>
    <w:rsid w:val="4FD16792"/>
    <w:rsid w:val="502425D9"/>
    <w:rsid w:val="50BA4FC9"/>
    <w:rsid w:val="50BC6D86"/>
    <w:rsid w:val="50E02679"/>
    <w:rsid w:val="50FA58BC"/>
    <w:rsid w:val="51382F51"/>
    <w:rsid w:val="51A92E83"/>
    <w:rsid w:val="51C31DA4"/>
    <w:rsid w:val="523650DE"/>
    <w:rsid w:val="52912564"/>
    <w:rsid w:val="52DE77D4"/>
    <w:rsid w:val="52E96F1C"/>
    <w:rsid w:val="52EF4BF8"/>
    <w:rsid w:val="532A43C2"/>
    <w:rsid w:val="533E09D9"/>
    <w:rsid w:val="534A733C"/>
    <w:rsid w:val="53702B43"/>
    <w:rsid w:val="54467018"/>
    <w:rsid w:val="54B92662"/>
    <w:rsid w:val="550D2678"/>
    <w:rsid w:val="5586388A"/>
    <w:rsid w:val="55DA22E2"/>
    <w:rsid w:val="563B3990"/>
    <w:rsid w:val="568360A8"/>
    <w:rsid w:val="568B2EA3"/>
    <w:rsid w:val="56A277AC"/>
    <w:rsid w:val="56C660B4"/>
    <w:rsid w:val="56CB1DE5"/>
    <w:rsid w:val="575D3FBB"/>
    <w:rsid w:val="57C06D11"/>
    <w:rsid w:val="57D263DD"/>
    <w:rsid w:val="58107F8D"/>
    <w:rsid w:val="581C7926"/>
    <w:rsid w:val="584A7F36"/>
    <w:rsid w:val="587A1A63"/>
    <w:rsid w:val="587A54B2"/>
    <w:rsid w:val="59074BA6"/>
    <w:rsid w:val="592D7C8F"/>
    <w:rsid w:val="594D7F0C"/>
    <w:rsid w:val="598835F0"/>
    <w:rsid w:val="59E978B5"/>
    <w:rsid w:val="5AC121E6"/>
    <w:rsid w:val="5AF13DA4"/>
    <w:rsid w:val="5B82786A"/>
    <w:rsid w:val="5B8B5CB2"/>
    <w:rsid w:val="5C3C7AB7"/>
    <w:rsid w:val="5C8F3A65"/>
    <w:rsid w:val="5CF45604"/>
    <w:rsid w:val="5D467400"/>
    <w:rsid w:val="5DDB1CC1"/>
    <w:rsid w:val="5E491B7D"/>
    <w:rsid w:val="5EC1721C"/>
    <w:rsid w:val="5ED04E54"/>
    <w:rsid w:val="5EDF2450"/>
    <w:rsid w:val="5F5373F4"/>
    <w:rsid w:val="5F8B122C"/>
    <w:rsid w:val="5F9D7EB8"/>
    <w:rsid w:val="5FEB54B0"/>
    <w:rsid w:val="60130582"/>
    <w:rsid w:val="60432D29"/>
    <w:rsid w:val="60BA0BE9"/>
    <w:rsid w:val="61157D57"/>
    <w:rsid w:val="616E3CD7"/>
    <w:rsid w:val="61755907"/>
    <w:rsid w:val="61926F26"/>
    <w:rsid w:val="61E20692"/>
    <w:rsid w:val="62995E01"/>
    <w:rsid w:val="62CF0CE3"/>
    <w:rsid w:val="62ED2CC5"/>
    <w:rsid w:val="63334C22"/>
    <w:rsid w:val="636276DD"/>
    <w:rsid w:val="637D16D3"/>
    <w:rsid w:val="639867C6"/>
    <w:rsid w:val="64286496"/>
    <w:rsid w:val="6442109A"/>
    <w:rsid w:val="644F43BE"/>
    <w:rsid w:val="646A5445"/>
    <w:rsid w:val="648C47B0"/>
    <w:rsid w:val="649E470F"/>
    <w:rsid w:val="64A47949"/>
    <w:rsid w:val="64E03700"/>
    <w:rsid w:val="655A2533"/>
    <w:rsid w:val="656761A5"/>
    <w:rsid w:val="65CD7172"/>
    <w:rsid w:val="65D67186"/>
    <w:rsid w:val="66157F1F"/>
    <w:rsid w:val="666A4FEF"/>
    <w:rsid w:val="66A12197"/>
    <w:rsid w:val="671E5E43"/>
    <w:rsid w:val="67AA3780"/>
    <w:rsid w:val="685052AC"/>
    <w:rsid w:val="69BA63AE"/>
    <w:rsid w:val="69F11EE7"/>
    <w:rsid w:val="6A12081F"/>
    <w:rsid w:val="6A1D516C"/>
    <w:rsid w:val="6A4F3A38"/>
    <w:rsid w:val="6A9E1BFD"/>
    <w:rsid w:val="6B8F0760"/>
    <w:rsid w:val="6BD21C54"/>
    <w:rsid w:val="6BEE2099"/>
    <w:rsid w:val="6C25268D"/>
    <w:rsid w:val="6C6A4035"/>
    <w:rsid w:val="6D0C615C"/>
    <w:rsid w:val="6D1E1452"/>
    <w:rsid w:val="6D36105C"/>
    <w:rsid w:val="6E403CB0"/>
    <w:rsid w:val="6E636184"/>
    <w:rsid w:val="6EDB28FB"/>
    <w:rsid w:val="6F186B7B"/>
    <w:rsid w:val="6F5F241C"/>
    <w:rsid w:val="6F931BF6"/>
    <w:rsid w:val="6FBE275D"/>
    <w:rsid w:val="700B3E3B"/>
    <w:rsid w:val="707A0433"/>
    <w:rsid w:val="708E3E12"/>
    <w:rsid w:val="71F73062"/>
    <w:rsid w:val="71FB7042"/>
    <w:rsid w:val="722C4FFE"/>
    <w:rsid w:val="727D3B15"/>
    <w:rsid w:val="728C6699"/>
    <w:rsid w:val="72B2437C"/>
    <w:rsid w:val="73051FF0"/>
    <w:rsid w:val="735A50DF"/>
    <w:rsid w:val="73A05C9A"/>
    <w:rsid w:val="73CB008F"/>
    <w:rsid w:val="748C52D0"/>
    <w:rsid w:val="748D2974"/>
    <w:rsid w:val="74BE4E6C"/>
    <w:rsid w:val="75784937"/>
    <w:rsid w:val="75956B13"/>
    <w:rsid w:val="75F37958"/>
    <w:rsid w:val="76394AFB"/>
    <w:rsid w:val="76A1624D"/>
    <w:rsid w:val="76EF20B0"/>
    <w:rsid w:val="776275E7"/>
    <w:rsid w:val="776F0544"/>
    <w:rsid w:val="7774199C"/>
    <w:rsid w:val="77AF4A80"/>
    <w:rsid w:val="781B2AFE"/>
    <w:rsid w:val="7835040A"/>
    <w:rsid w:val="78692CD8"/>
    <w:rsid w:val="78A2151A"/>
    <w:rsid w:val="790C7AD8"/>
    <w:rsid w:val="79474801"/>
    <w:rsid w:val="79E562A1"/>
    <w:rsid w:val="7AAD61DE"/>
    <w:rsid w:val="7AD711F4"/>
    <w:rsid w:val="7ADA12B7"/>
    <w:rsid w:val="7B603DFE"/>
    <w:rsid w:val="7D397C15"/>
    <w:rsid w:val="7E62389E"/>
    <w:rsid w:val="7E623D4C"/>
    <w:rsid w:val="7E6A5CE2"/>
    <w:rsid w:val="7E942C4C"/>
    <w:rsid w:val="7EAD0578"/>
    <w:rsid w:val="7FF319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4">
    <w:name w:val="heading 1"/>
    <w:basedOn w:val="1"/>
    <w:next w:val="1"/>
    <w:link w:val="85"/>
    <w:qFormat/>
    <w:uiPriority w:val="0"/>
    <w:pPr>
      <w:keepNext/>
      <w:keepLines/>
      <w:adjustRightInd w:val="0"/>
      <w:snapToGrid w:val="0"/>
      <w:spacing w:before="50" w:beforeLines="50" w:after="50" w:afterLines="50" w:line="360" w:lineRule="auto"/>
      <w:jc w:val="center"/>
      <w:outlineLvl w:val="0"/>
    </w:pPr>
    <w:rPr>
      <w:rFonts w:ascii="黑体" w:hAnsi="黑体" w:eastAsia="黑体"/>
      <w:b/>
      <w:snapToGrid w:val="0"/>
      <w:color w:val="000000"/>
      <w:sz w:val="32"/>
    </w:rPr>
  </w:style>
  <w:style w:type="paragraph" w:styleId="5">
    <w:name w:val="heading 2"/>
    <w:basedOn w:val="1"/>
    <w:next w:val="1"/>
    <w:link w:val="181"/>
    <w:qFormat/>
    <w:uiPriority w:val="0"/>
    <w:pPr>
      <w:keepNext/>
      <w:keepLines/>
      <w:adjustRightInd w:val="0"/>
      <w:snapToGrid w:val="0"/>
      <w:spacing w:line="360" w:lineRule="auto"/>
      <w:outlineLvl w:val="1"/>
    </w:pPr>
    <w:rPr>
      <w:rFonts w:ascii="黑体" w:hAnsi="宋体" w:eastAsia="Times New Roman"/>
      <w:b/>
      <w:bCs/>
      <w:snapToGrid w:val="0"/>
      <w:kern w:val="0"/>
      <w:szCs w:val="20"/>
    </w:rPr>
  </w:style>
  <w:style w:type="paragraph" w:styleId="6">
    <w:name w:val="heading 3"/>
    <w:basedOn w:val="1"/>
    <w:next w:val="1"/>
    <w:link w:val="274"/>
    <w:qFormat/>
    <w:uiPriority w:val="0"/>
    <w:pPr>
      <w:keepNext/>
      <w:keepLines/>
      <w:spacing w:line="360" w:lineRule="auto"/>
      <w:outlineLvl w:val="2"/>
    </w:pPr>
    <w:rPr>
      <w:rFonts w:ascii="黑体" w:hAnsi="宋体" w:eastAsia="Times New Roman"/>
      <w:bCs/>
      <w:snapToGrid w:val="0"/>
      <w:kern w:val="0"/>
      <w:szCs w:val="20"/>
    </w:rPr>
  </w:style>
  <w:style w:type="paragraph" w:styleId="7">
    <w:name w:val="heading 4"/>
    <w:basedOn w:val="1"/>
    <w:next w:val="1"/>
    <w:link w:val="254"/>
    <w:qFormat/>
    <w:uiPriority w:val="0"/>
    <w:pPr>
      <w:keepNext/>
      <w:keepLines/>
      <w:numPr>
        <w:ilvl w:val="3"/>
        <w:numId w:val="1"/>
      </w:numPr>
      <w:snapToGrid w:val="0"/>
      <w:spacing w:line="460" w:lineRule="atLeast"/>
      <w:outlineLvl w:val="3"/>
    </w:pPr>
    <w:rPr>
      <w:b/>
      <w:szCs w:val="20"/>
    </w:rPr>
  </w:style>
  <w:style w:type="paragraph" w:styleId="8">
    <w:name w:val="heading 5"/>
    <w:basedOn w:val="1"/>
    <w:next w:val="1"/>
    <w:link w:val="94"/>
    <w:qFormat/>
    <w:uiPriority w:val="0"/>
    <w:pPr>
      <w:ind w:firstLine="482" w:firstLineChars="0"/>
      <w:jc w:val="center"/>
      <w:outlineLvl w:val="4"/>
    </w:pPr>
    <w:rPr>
      <w:b/>
      <w:bCs/>
      <w:sz w:val="21"/>
      <w:szCs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index heading"/>
    <w:basedOn w:val="1"/>
    <w:next w:val="3"/>
    <w:qFormat/>
    <w:uiPriority w:val="0"/>
    <w:rPr>
      <w:szCs w:val="20"/>
    </w:rPr>
  </w:style>
  <w:style w:type="paragraph" w:styleId="3">
    <w:name w:val="index 1"/>
    <w:basedOn w:val="1"/>
    <w:next w:val="1"/>
    <w:qFormat/>
    <w:uiPriority w:val="0"/>
    <w:pPr>
      <w:adjustRightInd w:val="0"/>
      <w:spacing w:before="60"/>
      <w:textAlignment w:val="baseline"/>
    </w:pPr>
    <w:rPr>
      <w:sz w:val="24"/>
      <w:szCs w:val="20"/>
    </w:rPr>
  </w:style>
  <w:style w:type="paragraph" w:styleId="9">
    <w:name w:val="Normal Indent"/>
    <w:basedOn w:val="1"/>
    <w:next w:val="1"/>
    <w:link w:val="71"/>
    <w:qFormat/>
    <w:uiPriority w:val="0"/>
    <w:pPr>
      <w:ind w:firstLine="420"/>
    </w:pPr>
    <w:rPr>
      <w:szCs w:val="20"/>
    </w:rPr>
  </w:style>
  <w:style w:type="paragraph" w:styleId="10">
    <w:name w:val="caption"/>
    <w:basedOn w:val="1"/>
    <w:next w:val="1"/>
    <w:qFormat/>
    <w:uiPriority w:val="0"/>
    <w:pPr>
      <w:adjustRightInd w:val="0"/>
      <w:spacing w:before="152" w:after="160" w:line="240" w:lineRule="exact"/>
      <w:jc w:val="center"/>
      <w:textAlignment w:val="baseline"/>
    </w:pPr>
    <w:rPr>
      <w:kern w:val="0"/>
    </w:rPr>
  </w:style>
  <w:style w:type="paragraph" w:styleId="11">
    <w:name w:val="toa heading"/>
    <w:basedOn w:val="1"/>
    <w:next w:val="1"/>
    <w:qFormat/>
    <w:uiPriority w:val="0"/>
    <w:pPr>
      <w:spacing w:before="120"/>
    </w:pPr>
    <w:rPr>
      <w:rFonts w:ascii="Arial" w:hAnsi="Arial" w:cs="Arial"/>
    </w:rPr>
  </w:style>
  <w:style w:type="paragraph" w:styleId="12">
    <w:name w:val="annotation text"/>
    <w:basedOn w:val="1"/>
    <w:link w:val="80"/>
    <w:qFormat/>
    <w:uiPriority w:val="0"/>
    <w:pPr>
      <w:jc w:val="left"/>
    </w:pPr>
  </w:style>
  <w:style w:type="paragraph" w:styleId="13">
    <w:name w:val="Salutation"/>
    <w:basedOn w:val="1"/>
    <w:next w:val="1"/>
    <w:qFormat/>
    <w:uiPriority w:val="0"/>
    <w:pPr>
      <w:jc w:val="left"/>
    </w:pPr>
    <w:rPr>
      <w:rFonts w:ascii="Times New Roman" w:hAnsi="Times New Roman" w:eastAsia="仿宋_GB2312"/>
      <w:sz w:val="32"/>
    </w:rPr>
  </w:style>
  <w:style w:type="paragraph" w:styleId="14">
    <w:name w:val="Body Text 3"/>
    <w:basedOn w:val="1"/>
    <w:qFormat/>
    <w:uiPriority w:val="0"/>
    <w:pPr>
      <w:spacing w:line="360" w:lineRule="auto"/>
    </w:pPr>
    <w:rPr>
      <w:rFonts w:ascii="仿宋_GB2312" w:eastAsia="仿宋_GB2312"/>
      <w:sz w:val="24"/>
    </w:rPr>
  </w:style>
  <w:style w:type="paragraph" w:styleId="15">
    <w:name w:val="Body Text"/>
    <w:basedOn w:val="1"/>
    <w:next w:val="1"/>
    <w:qFormat/>
    <w:uiPriority w:val="0"/>
    <w:pPr>
      <w:spacing w:after="120"/>
    </w:pPr>
  </w:style>
  <w:style w:type="paragraph" w:styleId="16">
    <w:name w:val="Body Text Indent"/>
    <w:basedOn w:val="1"/>
    <w:next w:val="1"/>
    <w:qFormat/>
    <w:uiPriority w:val="0"/>
    <w:pPr>
      <w:adjustRightInd w:val="0"/>
      <w:snapToGrid w:val="0"/>
      <w:spacing w:line="360" w:lineRule="auto"/>
      <w:ind w:firstLine="480"/>
    </w:pPr>
    <w:rPr>
      <w:bCs/>
      <w:kern w:val="0"/>
    </w:rPr>
  </w:style>
  <w:style w:type="paragraph" w:styleId="17">
    <w:name w:val="Block Text"/>
    <w:basedOn w:val="1"/>
    <w:qFormat/>
    <w:uiPriority w:val="0"/>
    <w:pPr>
      <w:spacing w:after="120"/>
      <w:ind w:left="1440" w:leftChars="700" w:right="700" w:rightChars="700"/>
    </w:pPr>
    <w:rPr>
      <w:rFonts w:ascii="Calibri" w:hAnsi="Calibri"/>
      <w:szCs w:val="20"/>
    </w:rPr>
  </w:style>
  <w:style w:type="paragraph" w:styleId="18">
    <w:name w:val="toc 3"/>
    <w:basedOn w:val="1"/>
    <w:next w:val="1"/>
    <w:qFormat/>
    <w:uiPriority w:val="0"/>
    <w:pPr>
      <w:ind w:left="840" w:leftChars="400"/>
    </w:pPr>
  </w:style>
  <w:style w:type="paragraph" w:styleId="19">
    <w:name w:val="Plain Text"/>
    <w:basedOn w:val="1"/>
    <w:next w:val="20"/>
    <w:qFormat/>
    <w:uiPriority w:val="0"/>
    <w:rPr>
      <w:rFonts w:ascii="宋体" w:hAnsi="Courier New"/>
      <w:szCs w:val="20"/>
    </w:rPr>
  </w:style>
  <w:style w:type="paragraph" w:customStyle="1" w:styleId="20">
    <w:name w:val="正本"/>
    <w:basedOn w:val="1"/>
    <w:qFormat/>
    <w:uiPriority w:val="0"/>
    <w:pPr>
      <w:adjustRightInd w:val="0"/>
      <w:snapToGrid w:val="0"/>
      <w:spacing w:line="360" w:lineRule="auto"/>
      <w:ind w:firstLine="200" w:firstLineChars="200"/>
    </w:pPr>
    <w:rPr>
      <w:kern w:val="2"/>
      <w:sz w:val="24"/>
      <w:szCs w:val="24"/>
      <w:lang w:val="en-US" w:bidi="ar-SA"/>
    </w:rPr>
  </w:style>
  <w:style w:type="paragraph" w:styleId="21">
    <w:name w:val="List Bullet 5"/>
    <w:basedOn w:val="1"/>
    <w:qFormat/>
    <w:uiPriority w:val="0"/>
    <w:pPr>
      <w:numPr>
        <w:ilvl w:val="0"/>
        <w:numId w:val="2"/>
      </w:numPr>
    </w:pPr>
  </w:style>
  <w:style w:type="paragraph" w:styleId="22">
    <w:name w:val="Date"/>
    <w:basedOn w:val="1"/>
    <w:next w:val="1"/>
    <w:qFormat/>
    <w:uiPriority w:val="0"/>
    <w:rPr>
      <w:szCs w:val="20"/>
    </w:rPr>
  </w:style>
  <w:style w:type="paragraph" w:styleId="23">
    <w:name w:val="Body Text Indent 2"/>
    <w:basedOn w:val="1"/>
    <w:next w:val="1"/>
    <w:qFormat/>
    <w:uiPriority w:val="0"/>
    <w:pPr>
      <w:adjustRightInd w:val="0"/>
      <w:snapToGrid w:val="0"/>
      <w:spacing w:line="360" w:lineRule="auto"/>
      <w:ind w:firstLine="480" w:firstLineChars="200"/>
    </w:pPr>
    <w:rPr>
      <w:rFonts w:ascii="宋体" w:hAnsi="宋体"/>
      <w:snapToGrid w:val="0"/>
      <w:color w:val="339966"/>
      <w:kern w:val="0"/>
    </w:rPr>
  </w:style>
  <w:style w:type="paragraph" w:styleId="24">
    <w:name w:val="footer"/>
    <w:basedOn w:val="1"/>
    <w:qFormat/>
    <w:uiPriority w:val="0"/>
    <w:pPr>
      <w:tabs>
        <w:tab w:val="center" w:pos="4153"/>
        <w:tab w:val="right" w:pos="8306"/>
      </w:tabs>
      <w:snapToGrid w:val="0"/>
      <w:jc w:val="left"/>
    </w:pPr>
    <w:rPr>
      <w:sz w:val="18"/>
      <w:szCs w:val="18"/>
    </w:rPr>
  </w:style>
  <w:style w:type="paragraph" w:styleId="25">
    <w:name w:val="header"/>
    <w:basedOn w:val="1"/>
    <w:next w:val="1"/>
    <w:qFormat/>
    <w:uiPriority w:val="0"/>
    <w:pPr>
      <w:pBdr>
        <w:bottom w:val="single" w:color="auto" w:sz="6" w:space="1"/>
      </w:pBdr>
      <w:tabs>
        <w:tab w:val="center" w:pos="4153"/>
        <w:tab w:val="right" w:pos="8306"/>
      </w:tabs>
      <w:snapToGrid w:val="0"/>
      <w:spacing w:line="240" w:lineRule="atLeast"/>
      <w:jc w:val="center"/>
    </w:pPr>
    <w:rPr>
      <w:rFonts w:ascii="幼圆" w:eastAsia="幼圆"/>
      <w:sz w:val="18"/>
      <w:szCs w:val="18"/>
    </w:rPr>
  </w:style>
  <w:style w:type="paragraph" w:styleId="26">
    <w:name w:val="toc 1"/>
    <w:basedOn w:val="1"/>
    <w:next w:val="1"/>
    <w:qFormat/>
    <w:uiPriority w:val="39"/>
    <w:pPr>
      <w:spacing w:before="120" w:after="120"/>
      <w:jc w:val="left"/>
    </w:pPr>
    <w:rPr>
      <w:rFonts w:ascii="Calibri" w:hAnsi="Calibri" w:cs="Calibri"/>
      <w:b/>
      <w:bCs/>
      <w:caps/>
      <w:sz w:val="20"/>
      <w:szCs w:val="20"/>
    </w:rPr>
  </w:style>
  <w:style w:type="paragraph" w:styleId="27">
    <w:name w:val="toc 4"/>
    <w:basedOn w:val="1"/>
    <w:next w:val="1"/>
    <w:qFormat/>
    <w:uiPriority w:val="0"/>
    <w:pPr>
      <w:ind w:left="1260" w:leftChars="600"/>
    </w:pPr>
  </w:style>
  <w:style w:type="paragraph" w:styleId="28">
    <w:name w:val="List"/>
    <w:basedOn w:val="1"/>
    <w:next w:val="1"/>
    <w:qFormat/>
    <w:uiPriority w:val="99"/>
    <w:pPr>
      <w:ind w:left="200" w:hanging="200" w:hangingChars="200"/>
    </w:pPr>
    <w:rPr>
      <w:szCs w:val="20"/>
    </w:rPr>
  </w:style>
  <w:style w:type="paragraph" w:styleId="29">
    <w:name w:val="Body Text Indent 3"/>
    <w:basedOn w:val="1"/>
    <w:qFormat/>
    <w:uiPriority w:val="0"/>
    <w:pPr>
      <w:spacing w:line="360" w:lineRule="auto"/>
      <w:ind w:firstLine="480" w:firstLineChars="200"/>
    </w:pPr>
    <w:rPr>
      <w:rFonts w:ascii="宋体"/>
      <w:sz w:val="24"/>
    </w:rPr>
  </w:style>
  <w:style w:type="paragraph" w:styleId="30">
    <w:name w:val="table of figures"/>
    <w:basedOn w:val="1"/>
    <w:next w:val="1"/>
    <w:semiHidden/>
    <w:qFormat/>
    <w:uiPriority w:val="0"/>
    <w:pPr>
      <w:ind w:left="200" w:leftChars="200" w:hanging="200" w:hangingChars="200"/>
    </w:pPr>
  </w:style>
  <w:style w:type="paragraph" w:styleId="31">
    <w:name w:val="toc 2"/>
    <w:basedOn w:val="1"/>
    <w:next w:val="1"/>
    <w:qFormat/>
    <w:uiPriority w:val="39"/>
    <w:pPr>
      <w:ind w:left="240"/>
      <w:jc w:val="left"/>
    </w:pPr>
    <w:rPr>
      <w:rFonts w:ascii="Calibri" w:hAnsi="Calibri" w:cs="Calibri"/>
      <w:smallCaps/>
      <w:sz w:val="20"/>
      <w:szCs w:val="20"/>
    </w:rPr>
  </w:style>
  <w:style w:type="paragraph" w:styleId="32">
    <w:name w:val="Body Text 2"/>
    <w:basedOn w:val="1"/>
    <w:next w:val="1"/>
    <w:qFormat/>
    <w:uiPriority w:val="0"/>
    <w:pPr>
      <w:spacing w:after="120" w:line="480" w:lineRule="auto"/>
    </w:pPr>
  </w:style>
  <w:style w:type="paragraph" w:styleId="33">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rPr>
  </w:style>
  <w:style w:type="paragraph" w:styleId="34">
    <w:name w:val="Normal (Web)"/>
    <w:basedOn w:val="1"/>
    <w:qFormat/>
    <w:uiPriority w:val="99"/>
  </w:style>
  <w:style w:type="paragraph" w:styleId="35">
    <w:name w:val="Title"/>
    <w:basedOn w:val="1"/>
    <w:next w:val="1"/>
    <w:qFormat/>
    <w:uiPriority w:val="0"/>
    <w:pPr>
      <w:spacing w:before="240" w:after="60"/>
      <w:jc w:val="center"/>
      <w:outlineLvl w:val="0"/>
    </w:pPr>
    <w:rPr>
      <w:rFonts w:ascii="Cambria" w:hAnsi="Cambria"/>
      <w:b/>
      <w:bCs/>
      <w:sz w:val="32"/>
      <w:szCs w:val="32"/>
    </w:rPr>
  </w:style>
  <w:style w:type="paragraph" w:styleId="36">
    <w:name w:val="annotation subject"/>
    <w:basedOn w:val="12"/>
    <w:next w:val="12"/>
    <w:link w:val="81"/>
    <w:qFormat/>
    <w:uiPriority w:val="0"/>
    <w:rPr>
      <w:b/>
      <w:bCs/>
    </w:rPr>
  </w:style>
  <w:style w:type="paragraph" w:styleId="37">
    <w:name w:val="Body Text First Indent"/>
    <w:basedOn w:val="15"/>
    <w:next w:val="1"/>
    <w:qFormat/>
    <w:uiPriority w:val="0"/>
    <w:pPr>
      <w:ind w:firstLine="420" w:firstLineChars="100"/>
    </w:pPr>
    <w:rPr>
      <w:rFonts w:ascii="黑体" w:hAnsi="黑体"/>
      <w:spacing w:val="10"/>
      <w:sz w:val="21"/>
    </w:rPr>
  </w:style>
  <w:style w:type="paragraph" w:styleId="38">
    <w:name w:val="Body Text First Indent 2"/>
    <w:basedOn w:val="16"/>
    <w:next w:val="1"/>
    <w:qFormat/>
    <w:uiPriority w:val="0"/>
    <w:pPr>
      <w:adjustRightInd/>
      <w:snapToGrid/>
      <w:spacing w:after="120" w:line="240" w:lineRule="auto"/>
      <w:ind w:left="420" w:leftChars="200" w:firstLine="420" w:firstLineChars="200"/>
    </w:pPr>
    <w:rPr>
      <w:bCs w:val="0"/>
      <w:kern w:val="2"/>
      <w:sz w:val="21"/>
    </w:rPr>
  </w:style>
  <w:style w:type="table" w:styleId="40">
    <w:name w:val="Table Grid"/>
    <w:basedOn w:val="3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0"/>
    <w:rPr>
      <w:b/>
    </w:rPr>
  </w:style>
  <w:style w:type="character" w:styleId="43">
    <w:name w:val="page number"/>
    <w:basedOn w:val="41"/>
    <w:qFormat/>
    <w:uiPriority w:val="0"/>
    <w:rPr>
      <w:rFonts w:ascii="宋体" w:hAnsi="宋体" w:eastAsia="宋体" w:cs="宋体"/>
      <w:kern w:val="2"/>
      <w:sz w:val="24"/>
      <w:szCs w:val="24"/>
      <w:lang w:val="en-US" w:eastAsia="zh-CN" w:bidi="ar-SA"/>
    </w:rPr>
  </w:style>
  <w:style w:type="character" w:styleId="44">
    <w:name w:val="Emphasis"/>
    <w:basedOn w:val="41"/>
    <w:qFormat/>
    <w:uiPriority w:val="0"/>
    <w:rPr>
      <w:i/>
      <w:iCs/>
    </w:rPr>
  </w:style>
  <w:style w:type="character" w:styleId="45">
    <w:name w:val="Hyperlink"/>
    <w:qFormat/>
    <w:uiPriority w:val="99"/>
    <w:rPr>
      <w:rFonts w:ascii="宋体" w:hAnsi="宋体" w:eastAsia="宋体" w:cs="宋体"/>
      <w:color w:val="0000FF"/>
      <w:kern w:val="2"/>
      <w:sz w:val="24"/>
      <w:szCs w:val="24"/>
      <w:u w:val="single"/>
      <w:lang w:val="en-US" w:eastAsia="zh-CN" w:bidi="ar-SA"/>
    </w:rPr>
  </w:style>
  <w:style w:type="character" w:styleId="46">
    <w:name w:val="annotation reference"/>
    <w:basedOn w:val="41"/>
    <w:qFormat/>
    <w:uiPriority w:val="0"/>
    <w:rPr>
      <w:sz w:val="21"/>
      <w:szCs w:val="21"/>
    </w:rPr>
  </w:style>
  <w:style w:type="paragraph" w:customStyle="1" w:styleId="47">
    <w:name w:val="Char4 Char Char Char Char Char Char1"/>
    <w:basedOn w:val="1"/>
    <w:qFormat/>
    <w:uiPriority w:val="0"/>
    <w:pPr>
      <w:spacing w:line="360" w:lineRule="auto"/>
      <w:ind w:firstLine="200" w:firstLineChars="200"/>
    </w:pPr>
    <w:rPr>
      <w:rFonts w:ascii="宋体" w:cs="宋体"/>
      <w:sz w:val="24"/>
    </w:rPr>
  </w:style>
  <w:style w:type="paragraph" w:customStyle="1" w:styleId="48">
    <w:name w:val="简单回函地址"/>
    <w:basedOn w:val="1"/>
    <w:next w:val="49"/>
    <w:qFormat/>
    <w:uiPriority w:val="0"/>
    <w:rPr>
      <w:szCs w:val="20"/>
    </w:rPr>
  </w:style>
  <w:style w:type="paragraph" w:customStyle="1" w:styleId="49">
    <w:name w:val="正文2"/>
    <w:basedOn w:val="1"/>
    <w:qFormat/>
    <w:uiPriority w:val="0"/>
    <w:pPr>
      <w:ind w:firstLine="200"/>
    </w:pPr>
  </w:style>
  <w:style w:type="paragraph" w:customStyle="1" w:styleId="50">
    <w:name w:val="0正文"/>
    <w:basedOn w:val="16"/>
    <w:unhideWhenUsed/>
    <w:qFormat/>
    <w:uiPriority w:val="0"/>
    <w:pPr>
      <w:ind w:firstLine="720"/>
    </w:pPr>
  </w:style>
  <w:style w:type="paragraph" w:customStyle="1" w:styleId="51">
    <w:name w:val="Default"/>
    <w:basedOn w:val="52"/>
    <w:next w:val="1"/>
    <w:link w:val="21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2">
    <w:name w:val="纯文本1"/>
    <w:basedOn w:val="1"/>
    <w:qFormat/>
    <w:uiPriority w:val="0"/>
    <w:rPr>
      <w:rFonts w:ascii="宋体" w:hAnsi="Courier New"/>
      <w:kern w:val="0"/>
      <w:sz w:val="20"/>
      <w:szCs w:val="20"/>
    </w:rPr>
  </w:style>
  <w:style w:type="paragraph" w:customStyle="1" w:styleId="53">
    <w:name w:val="1 表头"/>
    <w:basedOn w:val="1"/>
    <w:qFormat/>
    <w:uiPriority w:val="0"/>
    <w:pPr>
      <w:adjustRightInd w:val="0"/>
      <w:snapToGrid w:val="0"/>
      <w:spacing w:line="240" w:lineRule="auto"/>
      <w:ind w:firstLine="0" w:firstLineChars="0"/>
      <w:jc w:val="center"/>
    </w:pPr>
    <w:rPr>
      <w:b/>
      <w:color w:val="000000"/>
      <w:sz w:val="21"/>
      <w:szCs w:val="21"/>
    </w:rPr>
  </w:style>
  <w:style w:type="paragraph" w:customStyle="1" w:styleId="54">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55">
    <w:name w:val="表文"/>
    <w:basedOn w:val="1"/>
    <w:next w:val="1"/>
    <w:qFormat/>
    <w:uiPriority w:val="0"/>
    <w:pPr>
      <w:overflowPunct w:val="0"/>
      <w:topLinePunct/>
      <w:spacing w:line="320" w:lineRule="exact"/>
      <w:jc w:val="center"/>
      <w:outlineLvl w:val="6"/>
    </w:pPr>
    <w:rPr>
      <w:kern w:val="0"/>
      <w:sz w:val="18"/>
      <w:szCs w:val="18"/>
    </w:rPr>
  </w:style>
  <w:style w:type="paragraph" w:customStyle="1" w:styleId="56">
    <w:name w:val="报告"/>
    <w:basedOn w:val="1"/>
    <w:qFormat/>
    <w:uiPriority w:val="0"/>
    <w:pPr>
      <w:adjustRightInd w:val="0"/>
      <w:spacing w:line="360" w:lineRule="auto"/>
      <w:ind w:firstLine="505"/>
      <w:textAlignment w:val="baseline"/>
    </w:pPr>
    <w:rPr>
      <w:kern w:val="0"/>
      <w:szCs w:val="20"/>
    </w:rPr>
  </w:style>
  <w:style w:type="paragraph" w:customStyle="1" w:styleId="57">
    <w:name w:val="主体"/>
    <w:qFormat/>
    <w:uiPriority w:val="0"/>
    <w:pPr>
      <w:widowControl w:val="0"/>
      <w:autoSpaceDE w:val="0"/>
      <w:autoSpaceDN w:val="0"/>
      <w:spacing w:line="440" w:lineRule="exact"/>
      <w:ind w:firstLine="480" w:firstLineChars="200"/>
      <w:jc w:val="both"/>
    </w:pPr>
    <w:rPr>
      <w:rFonts w:ascii="Times New Roman" w:hAnsi="Times New Roman" w:eastAsia="仿宋_GB2312" w:cs="Times New Roman"/>
      <w:bCs/>
      <w:kern w:val="2"/>
      <w:sz w:val="24"/>
      <w:szCs w:val="24"/>
      <w:lang w:val="en-US" w:eastAsia="zh-CN" w:bidi="ar-SA"/>
    </w:rPr>
  </w:style>
  <w:style w:type="character" w:customStyle="1" w:styleId="58">
    <w:name w:val="fontstyle11"/>
    <w:qFormat/>
    <w:uiPriority w:val="0"/>
    <w:rPr>
      <w:rFonts w:ascii="TimesNewRomanPSMT" w:hAnsi="TimesNewRomanPSMT" w:eastAsia="TimesNewRomanPSMT" w:cs="TimesNewRomanPSMT"/>
      <w:color w:val="000000"/>
      <w:kern w:val="0"/>
      <w:sz w:val="24"/>
      <w:szCs w:val="24"/>
    </w:rPr>
  </w:style>
  <w:style w:type="table" w:customStyle="1" w:styleId="59">
    <w:name w:val="报告表格式新建"/>
    <w:basedOn w:val="39"/>
    <w:qFormat/>
    <w:uiPriority w:val="99"/>
    <w:pPr>
      <w:jc w:val="center"/>
    </w:pPr>
    <w:rPr>
      <w:sz w:val="18"/>
    </w:rPr>
    <w:tblPr>
      <w:tblBorders>
        <w:top w:val="single" w:color="auto" w:sz="12" w:space="0"/>
        <w:bottom w:val="single" w:color="auto" w:sz="12" w:space="0"/>
        <w:insideH w:val="single" w:color="auto" w:sz="8" w:space="0"/>
        <w:insideV w:val="single" w:color="auto" w:sz="8" w:space="0"/>
      </w:tblBorders>
    </w:tblPr>
    <w:tcPr>
      <w:vAlign w:val="center"/>
    </w:tcPr>
  </w:style>
  <w:style w:type="paragraph" w:customStyle="1" w:styleId="60">
    <w:name w:val="样式 首行缩进:  2 字符"/>
    <w:basedOn w:val="1"/>
    <w:qFormat/>
    <w:uiPriority w:val="0"/>
    <w:pPr>
      <w:ind w:right="11" w:firstLine="480" w:firstLineChars="200"/>
    </w:pPr>
    <w:rPr>
      <w:bCs/>
    </w:rPr>
  </w:style>
  <w:style w:type="paragraph" w:customStyle="1" w:styleId="61">
    <w:name w:val="1文章"/>
    <w:basedOn w:val="1"/>
    <w:qFormat/>
    <w:uiPriority w:val="0"/>
    <w:pPr>
      <w:snapToGrid w:val="0"/>
      <w:spacing w:line="360" w:lineRule="auto"/>
      <w:ind w:firstLine="573"/>
    </w:pPr>
    <w:rPr>
      <w:rFonts w:eastAsia="仿宋_GB2312"/>
      <w:sz w:val="28"/>
    </w:rPr>
  </w:style>
  <w:style w:type="paragraph" w:customStyle="1" w:styleId="62">
    <w:name w:val="报告书"/>
    <w:basedOn w:val="1"/>
    <w:qFormat/>
    <w:uiPriority w:val="0"/>
    <w:pPr>
      <w:autoSpaceDE w:val="0"/>
      <w:autoSpaceDN w:val="0"/>
      <w:adjustRightInd w:val="0"/>
      <w:spacing w:line="360" w:lineRule="auto"/>
      <w:ind w:firstLine="480" w:firstLineChars="200"/>
      <w:textAlignment w:val="bottom"/>
    </w:pPr>
    <w:rPr>
      <w:rFonts w:hAnsi="宋体"/>
      <w:bCs/>
      <w:kern w:val="0"/>
    </w:rPr>
  </w:style>
  <w:style w:type="paragraph" w:customStyle="1" w:styleId="63">
    <w:name w:val="填表内容"/>
    <w:basedOn w:val="1"/>
    <w:qFormat/>
    <w:uiPriority w:val="0"/>
    <w:pPr>
      <w:adjustRightInd w:val="0"/>
      <w:jc w:val="center"/>
    </w:pPr>
    <w:rPr>
      <w:kern w:val="0"/>
      <w:sz w:val="21"/>
      <w:szCs w:val="20"/>
    </w:rPr>
  </w:style>
  <w:style w:type="character" w:customStyle="1" w:styleId="64">
    <w:name w:val="fontstyle01"/>
    <w:basedOn w:val="41"/>
    <w:qFormat/>
    <w:uiPriority w:val="0"/>
    <w:rPr>
      <w:rFonts w:ascii="宋体" w:hAnsi="宋体" w:eastAsia="宋体" w:cs="宋体"/>
      <w:color w:val="000000"/>
      <w:kern w:val="0"/>
      <w:sz w:val="24"/>
      <w:szCs w:val="24"/>
    </w:rPr>
  </w:style>
  <w:style w:type="paragraph" w:customStyle="1" w:styleId="65">
    <w:name w:val="xyb自建正文"/>
    <w:basedOn w:val="1"/>
    <w:qFormat/>
    <w:uiPriority w:val="0"/>
    <w:pPr>
      <w:adjustRightInd w:val="0"/>
      <w:snapToGrid w:val="0"/>
      <w:spacing w:line="360" w:lineRule="auto"/>
      <w:ind w:firstLine="480" w:firstLineChars="200"/>
      <w:textAlignment w:val="baseline"/>
    </w:pPr>
    <w:rPr>
      <w:snapToGrid w:val="0"/>
      <w:kern w:val="0"/>
    </w:rPr>
  </w:style>
  <w:style w:type="paragraph" w:customStyle="1" w:styleId="66">
    <w:name w:val="列表段落1"/>
    <w:basedOn w:val="1"/>
    <w:qFormat/>
    <w:uiPriority w:val="0"/>
    <w:pPr>
      <w:ind w:firstLine="420" w:firstLineChars="200"/>
    </w:pPr>
    <w:rPr>
      <w:rFonts w:ascii="Calibri" w:hAnsi="Calibri"/>
      <w:szCs w:val="22"/>
    </w:rPr>
  </w:style>
  <w:style w:type="paragraph" w:customStyle="1" w:styleId="67">
    <w:name w:val="Zw"/>
    <w:basedOn w:val="1"/>
    <w:next w:val="1"/>
    <w:qFormat/>
    <w:uiPriority w:val="0"/>
    <w:pPr>
      <w:spacing w:line="360" w:lineRule="auto"/>
      <w:ind w:firstLine="200" w:firstLineChars="200"/>
    </w:pPr>
    <w:rPr>
      <w:rFonts w:ascii="宋体" w:hAnsi="宋体" w:cs="宋体"/>
    </w:rPr>
  </w:style>
  <w:style w:type="character" w:customStyle="1" w:styleId="68">
    <w:name w:val="fontstyle21"/>
    <w:basedOn w:val="41"/>
    <w:qFormat/>
    <w:uiPriority w:val="0"/>
    <w:rPr>
      <w:rFonts w:ascii="TimesNewRomanPSMT" w:hAnsi="TimesNewRomanPSMT" w:eastAsia="TimesNewRomanPSMT" w:cs="TimesNewRomanPSMT"/>
      <w:color w:val="000000"/>
      <w:kern w:val="0"/>
      <w:sz w:val="24"/>
      <w:szCs w:val="24"/>
    </w:rPr>
  </w:style>
  <w:style w:type="paragraph" w:customStyle="1" w:styleId="69">
    <w:name w:val="样式2"/>
    <w:basedOn w:val="5"/>
    <w:qFormat/>
    <w:uiPriority w:val="0"/>
    <w:pPr>
      <w:tabs>
        <w:tab w:val="left" w:pos="567"/>
      </w:tabs>
      <w:snapToGrid/>
      <w:spacing w:before="156" w:beforeLines="50" w:line="400" w:lineRule="atLeast"/>
      <w:ind w:left="567" w:hanging="567"/>
      <w:jc w:val="left"/>
      <w:textAlignment w:val="baseline"/>
    </w:pPr>
    <w:rPr>
      <w:rFonts w:ascii="Times New Roman" w:hAnsi="Times New Roman" w:eastAsia="宋体"/>
      <w:b w:val="0"/>
      <w:bCs w:val="0"/>
      <w:snapToGrid/>
      <w:kern w:val="2"/>
      <w:szCs w:val="28"/>
    </w:rPr>
  </w:style>
  <w:style w:type="paragraph" w:customStyle="1" w:styleId="70">
    <w:name w:val="报告表格"/>
    <w:basedOn w:val="1"/>
    <w:qFormat/>
    <w:uiPriority w:val="0"/>
    <w:pPr>
      <w:autoSpaceDE w:val="0"/>
      <w:autoSpaceDN w:val="0"/>
      <w:adjustRightInd w:val="0"/>
      <w:spacing w:before="40" w:after="40"/>
      <w:jc w:val="center"/>
      <w:textAlignment w:val="bottom"/>
    </w:pPr>
    <w:rPr>
      <w:kern w:val="0"/>
      <w:sz w:val="21"/>
      <w:szCs w:val="20"/>
    </w:rPr>
  </w:style>
  <w:style w:type="character" w:customStyle="1" w:styleId="71">
    <w:name w:val="正文缩进 字符"/>
    <w:link w:val="9"/>
    <w:qFormat/>
    <w:uiPriority w:val="0"/>
    <w:rPr>
      <w:szCs w:val="20"/>
    </w:rPr>
  </w:style>
  <w:style w:type="paragraph" w:customStyle="1" w:styleId="72">
    <w:name w:val="表格标题"/>
    <w:basedOn w:val="73"/>
    <w:next w:val="1"/>
    <w:qFormat/>
    <w:uiPriority w:val="0"/>
    <w:pPr>
      <w:spacing w:before="120"/>
    </w:pPr>
    <w:rPr>
      <w:rFonts w:eastAsia="仿宋_GB2312"/>
    </w:rPr>
  </w:style>
  <w:style w:type="paragraph" w:customStyle="1" w:styleId="73">
    <w:name w:val="表格内容"/>
    <w:basedOn w:val="9"/>
    <w:next w:val="9"/>
    <w:link w:val="263"/>
    <w:qFormat/>
    <w:uiPriority w:val="0"/>
    <w:pPr>
      <w:spacing w:line="360" w:lineRule="auto"/>
      <w:jc w:val="center"/>
    </w:pPr>
    <w:rPr>
      <w:color w:val="000000"/>
    </w:rPr>
  </w:style>
  <w:style w:type="paragraph" w:customStyle="1" w:styleId="74">
    <w:name w:val="表格文字2"/>
    <w:basedOn w:val="75"/>
    <w:qFormat/>
    <w:uiPriority w:val="0"/>
    <w:pPr>
      <w:tabs>
        <w:tab w:val="left" w:pos="7590"/>
      </w:tabs>
      <w:spacing w:before="60"/>
    </w:pPr>
  </w:style>
  <w:style w:type="paragraph" w:customStyle="1" w:styleId="75">
    <w:name w:val="表格文字"/>
    <w:basedOn w:val="1"/>
    <w:next w:val="1"/>
    <w:qFormat/>
    <w:uiPriority w:val="99"/>
    <w:pPr>
      <w:tabs>
        <w:tab w:val="left" w:pos="7590"/>
      </w:tabs>
      <w:snapToGrid w:val="0"/>
      <w:jc w:val="center"/>
    </w:pPr>
    <w:rPr>
      <w:sz w:val="21"/>
      <w:lang w:val="zh-CN"/>
    </w:rPr>
  </w:style>
  <w:style w:type="paragraph" w:customStyle="1" w:styleId="76">
    <w:name w:val="标题1"/>
    <w:basedOn w:val="1"/>
    <w:next w:val="1"/>
    <w:qFormat/>
    <w:uiPriority w:val="0"/>
    <w:pPr>
      <w:spacing w:line="500" w:lineRule="exact"/>
    </w:pPr>
    <w:rPr>
      <w:rFonts w:eastAsia="楷体_GB2312"/>
      <w:b/>
      <w:color w:val="000000"/>
      <w:spacing w:val="10"/>
      <w:sz w:val="28"/>
    </w:rPr>
  </w:style>
  <w:style w:type="paragraph" w:customStyle="1" w:styleId="77">
    <w:name w:val="正文-蓝色"/>
    <w:basedOn w:val="78"/>
    <w:qFormat/>
    <w:uiPriority w:val="0"/>
    <w:pPr>
      <w:ind w:firstLine="480"/>
    </w:pPr>
    <w:rPr>
      <w:color w:val="0000FF"/>
    </w:rPr>
  </w:style>
  <w:style w:type="paragraph" w:customStyle="1" w:styleId="78">
    <w:name w:val="正文-欣欣"/>
    <w:basedOn w:val="1"/>
    <w:next w:val="1"/>
    <w:qFormat/>
    <w:uiPriority w:val="0"/>
    <w:pPr>
      <w:ind w:firstLine="200" w:firstLineChars="200"/>
    </w:pPr>
    <w:rPr>
      <w:rFonts w:cs="Courier New"/>
      <w:szCs w:val="21"/>
    </w:rPr>
  </w:style>
  <w:style w:type="paragraph" w:customStyle="1" w:styleId="79">
    <w:name w:val="表格中文字"/>
    <w:basedOn w:val="1"/>
    <w:qFormat/>
    <w:uiPriority w:val="0"/>
    <w:pPr>
      <w:adjustRightInd w:val="0"/>
      <w:snapToGrid w:val="0"/>
      <w:spacing w:line="360" w:lineRule="atLeast"/>
      <w:jc w:val="center"/>
      <w:textAlignment w:val="baseline"/>
    </w:pPr>
    <w:rPr>
      <w:kern w:val="18"/>
      <w:sz w:val="21"/>
    </w:rPr>
  </w:style>
  <w:style w:type="character" w:customStyle="1" w:styleId="80">
    <w:name w:val="批注文字 字符"/>
    <w:basedOn w:val="41"/>
    <w:link w:val="12"/>
    <w:qFormat/>
    <w:uiPriority w:val="0"/>
    <w:rPr>
      <w:kern w:val="2"/>
      <w:sz w:val="24"/>
      <w:szCs w:val="24"/>
    </w:rPr>
  </w:style>
  <w:style w:type="character" w:customStyle="1" w:styleId="81">
    <w:name w:val="批注主题 字符"/>
    <w:basedOn w:val="80"/>
    <w:link w:val="36"/>
    <w:qFormat/>
    <w:uiPriority w:val="0"/>
    <w:rPr>
      <w:b/>
      <w:bCs/>
      <w:kern w:val="2"/>
      <w:sz w:val="24"/>
      <w:szCs w:val="24"/>
    </w:rPr>
  </w:style>
  <w:style w:type="paragraph" w:customStyle="1" w:styleId="82">
    <w:name w:val="WPSOffice手动目录 1"/>
    <w:qFormat/>
    <w:uiPriority w:val="0"/>
    <w:pPr>
      <w:ind w:leftChars="0"/>
    </w:pPr>
    <w:rPr>
      <w:rFonts w:ascii="Times New Roman" w:hAnsi="Times New Roman" w:eastAsia="宋体" w:cs="Times New Roman"/>
      <w:sz w:val="20"/>
      <w:szCs w:val="20"/>
    </w:rPr>
  </w:style>
  <w:style w:type="paragraph" w:customStyle="1" w:styleId="83">
    <w:name w:val="WPSOffice手动目录 2"/>
    <w:qFormat/>
    <w:uiPriority w:val="0"/>
    <w:pPr>
      <w:ind w:leftChars="200"/>
    </w:pPr>
    <w:rPr>
      <w:rFonts w:ascii="Times New Roman" w:hAnsi="Times New Roman" w:eastAsia="宋体" w:cs="Times New Roman"/>
      <w:sz w:val="20"/>
      <w:szCs w:val="20"/>
    </w:rPr>
  </w:style>
  <w:style w:type="paragraph" w:customStyle="1" w:styleId="84">
    <w:name w:val="正文文本缩进1"/>
    <w:basedOn w:val="1"/>
    <w:qFormat/>
    <w:uiPriority w:val="0"/>
    <w:pPr>
      <w:spacing w:after="120"/>
      <w:ind w:left="420" w:leftChars="200"/>
    </w:pPr>
    <w:rPr>
      <w:kern w:val="0"/>
      <w:sz w:val="20"/>
    </w:rPr>
  </w:style>
  <w:style w:type="character" w:customStyle="1" w:styleId="85">
    <w:name w:val="标题 1 Char"/>
    <w:link w:val="4"/>
    <w:qFormat/>
    <w:uiPriority w:val="0"/>
    <w:rPr>
      <w:rFonts w:ascii="黑体" w:hAnsi="黑体" w:eastAsia="黑体"/>
      <w:b/>
      <w:snapToGrid w:val="0"/>
      <w:color w:val="000000"/>
      <w:sz w:val="32"/>
    </w:rPr>
  </w:style>
  <w:style w:type="paragraph" w:customStyle="1" w:styleId="86">
    <w:name w:val="No Spacing1"/>
    <w:qFormat/>
    <w:uiPriority w:val="0"/>
    <w:pPr>
      <w:widowControl w:val="0"/>
      <w:contextualSpacing/>
      <w:jc w:val="center"/>
    </w:pPr>
    <w:rPr>
      <w:rFonts w:ascii="Times New Roman" w:hAnsi="Times New Roman" w:eastAsia="宋体" w:cs="Times New Roman"/>
      <w:sz w:val="21"/>
      <w:szCs w:val="24"/>
      <w:lang w:val="en-US" w:eastAsia="zh-CN" w:bidi="ar-SA"/>
    </w:rPr>
  </w:style>
  <w:style w:type="paragraph" w:styleId="87">
    <w:name w:val="No Spacing"/>
    <w:basedOn w:val="14"/>
    <w:next w:val="19"/>
    <w:qFormat/>
    <w:uiPriority w:val="1"/>
    <w:pPr>
      <w:widowControl w:val="0"/>
      <w:spacing w:line="340" w:lineRule="exact"/>
      <w:jc w:val="center"/>
    </w:pPr>
    <w:rPr>
      <w:rFonts w:ascii="Times New Roman" w:hAnsi="Times New Roman" w:eastAsia="宋体" w:cs="Times New Roman"/>
      <w:kern w:val="2"/>
      <w:sz w:val="21"/>
      <w:szCs w:val="24"/>
      <w:lang w:val="en-US" w:eastAsia="zh-CN" w:bidi="ar-SA"/>
    </w:rPr>
  </w:style>
  <w:style w:type="paragraph" w:customStyle="1" w:styleId="88">
    <w:name w:val="书正文"/>
    <w:basedOn w:val="1"/>
    <w:qFormat/>
    <w:uiPriority w:val="0"/>
    <w:pPr>
      <w:ind w:firstLine="480"/>
      <w:jc w:val="both"/>
    </w:pPr>
    <w:rPr>
      <w:rFonts w:ascii="Times New Roman" w:hAnsi="Times New Roman" w:eastAsia="宋体"/>
      <w:color w:val="000000"/>
      <w:sz w:val="24"/>
      <w:szCs w:val="22"/>
      <w:shd w:val="clear" w:color="auto" w:fill="FFFFFF"/>
    </w:rPr>
  </w:style>
  <w:style w:type="character" w:customStyle="1" w:styleId="89">
    <w:name w:val="font61"/>
    <w:basedOn w:val="41"/>
    <w:qFormat/>
    <w:uiPriority w:val="0"/>
    <w:rPr>
      <w:rFonts w:hint="eastAsia" w:ascii="宋体" w:hAnsi="宋体" w:eastAsia="宋体" w:cs="宋体"/>
      <w:color w:val="000000"/>
      <w:sz w:val="20"/>
      <w:szCs w:val="20"/>
      <w:u w:val="none"/>
    </w:rPr>
  </w:style>
  <w:style w:type="paragraph" w:customStyle="1" w:styleId="90">
    <w:name w:val="表头"/>
    <w:basedOn w:val="91"/>
    <w:next w:val="91"/>
    <w:qFormat/>
    <w:uiPriority w:val="0"/>
    <w:pPr>
      <w:widowControl/>
      <w:ind w:firstLine="0" w:firstLineChars="0"/>
      <w:jc w:val="center"/>
    </w:pPr>
    <w:rPr>
      <w:b/>
      <w:kern w:val="0"/>
      <w:sz w:val="20"/>
      <w:szCs w:val="20"/>
    </w:rPr>
  </w:style>
  <w:style w:type="paragraph" w:customStyle="1" w:styleId="91">
    <w:name w:val="表格"/>
    <w:basedOn w:val="30"/>
    <w:next w:val="1"/>
    <w:qFormat/>
    <w:uiPriority w:val="0"/>
    <w:pPr>
      <w:autoSpaceDE w:val="0"/>
      <w:autoSpaceDN w:val="0"/>
      <w:adjustRightInd w:val="0"/>
      <w:snapToGrid w:val="0"/>
      <w:spacing w:line="280" w:lineRule="exact"/>
      <w:jc w:val="center"/>
    </w:pPr>
    <w:rPr>
      <w:rFonts w:ascii="仿宋_GB2312" w:eastAsia="仿宋_GB2312"/>
      <w:kern w:val="0"/>
      <w:szCs w:val="20"/>
    </w:rPr>
  </w:style>
  <w:style w:type="paragraph" w:customStyle="1" w:styleId="92">
    <w:name w:val="正文d"/>
    <w:basedOn w:val="1"/>
    <w:qFormat/>
    <w:uiPriority w:val="0"/>
    <w:pPr>
      <w:autoSpaceDE w:val="0"/>
      <w:autoSpaceDN w:val="0"/>
      <w:adjustRightInd w:val="0"/>
      <w:snapToGrid w:val="0"/>
      <w:spacing w:line="360" w:lineRule="auto"/>
      <w:ind w:firstLine="200" w:firstLineChars="200"/>
    </w:pPr>
    <w:rPr>
      <w:rFonts w:cs="宋体"/>
      <w:kern w:val="0"/>
      <w:szCs w:val="21"/>
    </w:rPr>
  </w:style>
  <w:style w:type="paragraph" w:customStyle="1" w:styleId="93">
    <w:name w:val="0表格"/>
    <w:basedOn w:val="1"/>
    <w:qFormat/>
    <w:uiPriority w:val="0"/>
    <w:pPr>
      <w:widowControl/>
      <w:jc w:val="center"/>
    </w:pPr>
    <w:rPr>
      <w:kern w:val="0"/>
      <w:szCs w:val="21"/>
    </w:rPr>
  </w:style>
  <w:style w:type="character" w:customStyle="1" w:styleId="94">
    <w:name w:val="标题 5 Char"/>
    <w:link w:val="8"/>
    <w:qFormat/>
    <w:uiPriority w:val="0"/>
    <w:rPr>
      <w:b/>
      <w:bCs/>
      <w:sz w:val="21"/>
      <w:szCs w:val="28"/>
    </w:rPr>
  </w:style>
  <w:style w:type="paragraph" w:customStyle="1" w:styleId="95">
    <w:name w:val="【表头】"/>
    <w:basedOn w:val="1"/>
    <w:qFormat/>
    <w:uiPriority w:val="0"/>
    <w:pPr>
      <w:snapToGrid w:val="0"/>
      <w:jc w:val="center"/>
    </w:pPr>
    <w:rPr>
      <w:rFonts w:ascii="Times New Roman" w:hAnsi="Times New Roman" w:eastAsia="黑体"/>
      <w:b/>
      <w:spacing w:val="4"/>
      <w:kern w:val="0"/>
      <w:sz w:val="24"/>
      <w:szCs w:val="24"/>
      <w:lang w:val="zh-CN"/>
    </w:rPr>
  </w:style>
  <w:style w:type="paragraph" w:customStyle="1" w:styleId="96">
    <w:name w:val="【表中文字】"/>
    <w:basedOn w:val="1"/>
    <w:qFormat/>
    <w:uiPriority w:val="0"/>
    <w:pPr>
      <w:adjustRightInd w:val="0"/>
      <w:snapToGrid w:val="0"/>
      <w:jc w:val="center"/>
    </w:pPr>
    <w:rPr>
      <w:kern w:val="0"/>
      <w:sz w:val="20"/>
      <w:szCs w:val="20"/>
    </w:rPr>
  </w:style>
  <w:style w:type="paragraph" w:customStyle="1" w:styleId="97">
    <w:name w:val="报告表正文"/>
    <w:basedOn w:val="1"/>
    <w:qFormat/>
    <w:uiPriority w:val="0"/>
    <w:pPr>
      <w:adjustRightInd w:val="0"/>
      <w:spacing w:line="312" w:lineRule="auto"/>
      <w:ind w:left="113" w:right="113" w:firstLine="482"/>
      <w:jc w:val="left"/>
      <w:textAlignment w:val="baseline"/>
    </w:pPr>
    <w:rPr>
      <w:kern w:val="0"/>
      <w:szCs w:val="20"/>
    </w:rPr>
  </w:style>
  <w:style w:type="paragraph" w:customStyle="1" w:styleId="98">
    <w:name w:val="p0"/>
    <w:basedOn w:val="1"/>
    <w:qFormat/>
    <w:uiPriority w:val="0"/>
    <w:pPr>
      <w:widowControl/>
      <w:spacing w:before="100" w:beforeAutospacing="1" w:after="100" w:afterAutospacing="1"/>
      <w:jc w:val="left"/>
    </w:pPr>
    <w:rPr>
      <w:rFonts w:ascii="宋体" w:hAnsi="宋体" w:cs="宋体"/>
      <w:kern w:val="0"/>
    </w:rPr>
  </w:style>
  <w:style w:type="paragraph" w:customStyle="1" w:styleId="99">
    <w:name w:val="表头样式"/>
    <w:basedOn w:val="1"/>
    <w:qFormat/>
    <w:uiPriority w:val="0"/>
    <w:pPr>
      <w:spacing w:beforeLines="50" w:afterLines="50"/>
      <w:jc w:val="center"/>
    </w:pPr>
    <w:rPr>
      <w:b/>
      <w:szCs w:val="21"/>
    </w:rPr>
  </w:style>
  <w:style w:type="paragraph" w:customStyle="1" w:styleId="100">
    <w:name w:val="正文01"/>
    <w:basedOn w:val="1"/>
    <w:link w:val="125"/>
    <w:qFormat/>
    <w:uiPriority w:val="0"/>
    <w:pPr>
      <w:ind w:firstLine="482"/>
    </w:pPr>
    <w:rPr>
      <w:szCs w:val="20"/>
    </w:rPr>
  </w:style>
  <w:style w:type="paragraph" w:customStyle="1" w:styleId="101">
    <w:name w:val="【正文】"/>
    <w:basedOn w:val="1"/>
    <w:qFormat/>
    <w:uiPriority w:val="0"/>
    <w:pPr>
      <w:spacing w:line="440" w:lineRule="exact"/>
      <w:ind w:firstLine="544" w:firstLineChars="200"/>
    </w:pPr>
    <w:rPr>
      <w:sz w:val="24"/>
      <w:szCs w:val="20"/>
    </w:rPr>
  </w:style>
  <w:style w:type="paragraph" w:customStyle="1" w:styleId="102">
    <w:name w:val="fcc正文"/>
    <w:basedOn w:val="1"/>
    <w:qFormat/>
    <w:uiPriority w:val="0"/>
    <w:pPr>
      <w:ind w:firstLine="200" w:firstLineChars="200"/>
    </w:pPr>
    <w:rPr>
      <w:rFonts w:ascii="Calibri" w:hAnsi="Calibri" w:cs="Times New Roman"/>
      <w:szCs w:val="20"/>
      <w:lang w:val="zh-CN"/>
    </w:rPr>
  </w:style>
  <w:style w:type="character" w:customStyle="1" w:styleId="103">
    <w:name w:val="页码1"/>
    <w:basedOn w:val="41"/>
    <w:qFormat/>
    <w:uiPriority w:val="0"/>
  </w:style>
  <w:style w:type="paragraph" w:customStyle="1" w:styleId="104">
    <w:name w:val="样式 样式 (西文) 宋体 (中文) 仿宋_GB2312 小四 + 首行缩进:  2 字符 行距: 最小值 12 磅"/>
    <w:basedOn w:val="1"/>
    <w:qFormat/>
    <w:uiPriority w:val="0"/>
    <w:pPr>
      <w:spacing w:line="240" w:lineRule="atLeast"/>
      <w:ind w:firstLine="640" w:firstLineChars="200"/>
      <w:jc w:val="left"/>
    </w:pPr>
    <w:rPr>
      <w:rFonts w:ascii="仿宋_GB2312" w:eastAsia="仿宋_GB2312"/>
      <w:b/>
      <w:color w:val="000000"/>
      <w:sz w:val="30"/>
      <w:szCs w:val="28"/>
    </w:rPr>
  </w:style>
  <w:style w:type="paragraph" w:customStyle="1" w:styleId="105">
    <w:name w:val="Normal (Web)"/>
    <w:basedOn w:val="1"/>
    <w:qFormat/>
    <w:uiPriority w:val="0"/>
    <w:pPr>
      <w:spacing w:before="100" w:beforeAutospacing="1" w:after="100" w:afterAutospacing="1"/>
    </w:pPr>
    <w:rPr>
      <w:rFonts w:ascii="宋体" w:hAnsi="宋体" w:cs="宋体"/>
      <w:sz w:val="24"/>
    </w:rPr>
  </w:style>
  <w:style w:type="paragraph" w:customStyle="1" w:styleId="106">
    <w:name w:val="List Paragraph"/>
    <w:basedOn w:val="1"/>
    <w:next w:val="1"/>
    <w:qFormat/>
    <w:uiPriority w:val="0"/>
    <w:pPr>
      <w:autoSpaceDE w:val="0"/>
      <w:autoSpaceDN w:val="0"/>
      <w:jc w:val="center"/>
    </w:pPr>
    <w:rPr>
      <w:szCs w:val="20"/>
    </w:rPr>
  </w:style>
  <w:style w:type="paragraph" w:customStyle="1" w:styleId="107">
    <w:name w:val="样式3"/>
    <w:basedOn w:val="9"/>
    <w:qFormat/>
    <w:uiPriority w:val="0"/>
    <w:pPr>
      <w:snapToGrid/>
      <w:spacing w:line="520" w:lineRule="atLeast"/>
      <w:ind w:firstLine="560"/>
      <w:jc w:val="left"/>
    </w:pPr>
    <w:rPr>
      <w:kern w:val="0"/>
      <w:sz w:val="28"/>
    </w:rPr>
  </w:style>
  <w:style w:type="paragraph" w:customStyle="1" w:styleId="108">
    <w:name w:val="正文-1"/>
    <w:link w:val="180"/>
    <w:qFormat/>
    <w:uiPriority w:val="0"/>
    <w:pPr>
      <w:spacing w:line="480" w:lineRule="exact"/>
      <w:ind w:firstLine="200" w:firstLineChars="200"/>
      <w:jc w:val="both"/>
    </w:pPr>
    <w:rPr>
      <w:rFonts w:ascii="Times New Roman" w:hAnsi="Times New Roman" w:eastAsia="宋体" w:cs="宋体"/>
      <w:kern w:val="2"/>
      <w:sz w:val="24"/>
      <w:lang w:val="en-US" w:eastAsia="zh-CN" w:bidi="ar-SA"/>
    </w:rPr>
  </w:style>
  <w:style w:type="paragraph" w:customStyle="1" w:styleId="109">
    <w:name w:val="表题"/>
    <w:basedOn w:val="28"/>
    <w:next w:val="110"/>
    <w:link w:val="177"/>
    <w:qFormat/>
    <w:uiPriority w:val="0"/>
    <w:pPr>
      <w:spacing w:line="480" w:lineRule="exact"/>
      <w:jc w:val="center"/>
    </w:pPr>
    <w:rPr>
      <w:rFonts w:ascii="Times New Roman" w:hAnsi="宋体" w:eastAsia="宋体" w:cs="Times New Roman"/>
      <w:b/>
      <w:kern w:val="2"/>
      <w:sz w:val="21"/>
      <w:szCs w:val="24"/>
      <w:lang w:val="en-US" w:eastAsia="zh-CN" w:bidi="ar-SA"/>
    </w:rPr>
  </w:style>
  <w:style w:type="paragraph" w:customStyle="1" w:styleId="110">
    <w:name w:val="-正文"/>
    <w:basedOn w:val="1"/>
    <w:link w:val="178"/>
    <w:qFormat/>
    <w:uiPriority w:val="0"/>
    <w:pPr>
      <w:widowControl w:val="0"/>
      <w:spacing w:line="480" w:lineRule="exact"/>
      <w:ind w:firstLine="200" w:firstLineChars="200"/>
      <w:jc w:val="both"/>
    </w:pPr>
    <w:rPr>
      <w:rFonts w:cs="宋体"/>
      <w:kern w:val="2"/>
      <w:sz w:val="24"/>
    </w:rPr>
  </w:style>
  <w:style w:type="paragraph" w:customStyle="1" w:styleId="111">
    <w:name w:val="-表格"/>
    <w:basedOn w:val="91"/>
    <w:next w:val="1"/>
    <w:qFormat/>
    <w:uiPriority w:val="0"/>
    <w:pPr>
      <w:widowControl/>
      <w:tabs>
        <w:tab w:val="left" w:pos="3696"/>
      </w:tabs>
      <w:jc w:val="center"/>
    </w:pPr>
    <w:rPr>
      <w:rFonts w:ascii="宋体" w:hAnsi="宋体" w:cs="宋体"/>
      <w:snapToGrid w:val="0"/>
      <w:szCs w:val="20"/>
    </w:rPr>
  </w:style>
  <w:style w:type="paragraph" w:customStyle="1" w:styleId="112">
    <w:name w:val="GTR报告书表头"/>
    <w:basedOn w:val="1"/>
    <w:qFormat/>
    <w:uiPriority w:val="0"/>
    <w:pPr>
      <w:spacing w:line="500" w:lineRule="exact"/>
      <w:jc w:val="center"/>
    </w:pPr>
    <w:rPr>
      <w:rFonts w:eastAsia="黑体"/>
    </w:rPr>
  </w:style>
  <w:style w:type="paragraph" w:customStyle="1" w:styleId="113">
    <w:name w:val="GTR表格内容"/>
    <w:basedOn w:val="112"/>
    <w:qFormat/>
    <w:uiPriority w:val="0"/>
    <w:pPr>
      <w:spacing w:line="240" w:lineRule="auto"/>
    </w:pPr>
    <w:rPr>
      <w:rFonts w:eastAsia="宋体"/>
    </w:rPr>
  </w:style>
  <w:style w:type="paragraph" w:customStyle="1" w:styleId="114">
    <w:name w:val="小四正文格式"/>
    <w:basedOn w:val="1"/>
    <w:qFormat/>
    <w:uiPriority w:val="0"/>
    <w:pPr>
      <w:spacing w:line="360" w:lineRule="auto"/>
      <w:ind w:firstLine="200" w:firstLineChars="200"/>
    </w:pPr>
    <w:rPr>
      <w:rFonts w:ascii="宋体" w:hAnsi="宋体"/>
      <w:sz w:val="24"/>
    </w:rPr>
  </w:style>
  <w:style w:type="paragraph" w:customStyle="1" w:styleId="115">
    <w:name w:val="表中正文居中"/>
    <w:semiHidden/>
    <w:qFormat/>
    <w:uiPriority w:val="0"/>
    <w:pPr>
      <w:spacing w:before="120" w:after="156" w:line="240" w:lineRule="exact"/>
      <w:jc w:val="center"/>
    </w:pPr>
    <w:rPr>
      <w:rFonts w:ascii="宋体" w:hAnsi="Times New Roman" w:eastAsia="宋体" w:cs="Times New Roman"/>
      <w:kern w:val="2"/>
      <w:sz w:val="21"/>
      <w:lang w:val="en-US" w:eastAsia="zh-CN" w:bidi="ar-SA"/>
    </w:rPr>
  </w:style>
  <w:style w:type="paragraph" w:customStyle="1" w:styleId="116">
    <w:name w:val="表标题"/>
    <w:basedOn w:val="1"/>
    <w:next w:val="1"/>
    <w:semiHidden/>
    <w:qFormat/>
    <w:uiPriority w:val="0"/>
    <w:pPr>
      <w:adjustRightInd w:val="0"/>
      <w:jc w:val="center"/>
      <w:textAlignment w:val="baseline"/>
    </w:pPr>
    <w:rPr>
      <w:b/>
      <w:bCs/>
      <w:sz w:val="24"/>
      <w:szCs w:val="20"/>
    </w:rPr>
  </w:style>
  <w:style w:type="paragraph" w:customStyle="1" w:styleId="117">
    <w:name w:val="表格式"/>
    <w:qFormat/>
    <w:uiPriority w:val="0"/>
    <w:pPr>
      <w:spacing w:before="156" w:beforeLines="50" w:after="156" w:afterLines="50" w:line="240" w:lineRule="exact"/>
      <w:jc w:val="center"/>
    </w:pPr>
    <w:rPr>
      <w:rFonts w:ascii="Times New Roman" w:hAnsi="Times New Roman" w:eastAsia="宋体" w:cs="Times New Roman"/>
      <w:lang w:val="en-US" w:eastAsia="zh-CN" w:bidi="ar-SA"/>
    </w:rPr>
  </w:style>
  <w:style w:type="paragraph" w:customStyle="1" w:styleId="118">
    <w:name w:val=" Char Char Char Char Char Char Char Char Char1 Char Char Char Char"/>
    <w:basedOn w:val="1"/>
    <w:qFormat/>
    <w:uiPriority w:val="0"/>
    <w:rPr>
      <w:sz w:val="24"/>
    </w:rPr>
  </w:style>
  <w:style w:type="paragraph" w:customStyle="1" w:styleId="119">
    <w:name w:val="报告正文"/>
    <w:basedOn w:val="1"/>
    <w:link w:val="134"/>
    <w:semiHidden/>
    <w:qFormat/>
    <w:uiPriority w:val="0"/>
    <w:pPr>
      <w:adjustRightInd w:val="0"/>
      <w:snapToGrid w:val="0"/>
      <w:spacing w:line="480" w:lineRule="exact"/>
      <w:ind w:firstLine="560" w:firstLineChars="200"/>
    </w:pPr>
    <w:rPr>
      <w:sz w:val="28"/>
    </w:rPr>
  </w:style>
  <w:style w:type="paragraph" w:customStyle="1" w:styleId="120">
    <w:name w:val="常用正文样式"/>
    <w:basedOn w:val="1"/>
    <w:qFormat/>
    <w:uiPriority w:val="0"/>
    <w:pPr>
      <w:spacing w:line="360" w:lineRule="auto"/>
      <w:ind w:firstLine="480" w:firstLineChars="200"/>
    </w:pPr>
    <w:rPr>
      <w:rFonts w:ascii="宋体" w:hAnsi="宋体" w:eastAsia="仿宋_GB2312" w:cs="宋体"/>
      <w:bCs/>
      <w:kern w:val="28"/>
      <w:sz w:val="24"/>
    </w:rPr>
  </w:style>
  <w:style w:type="paragraph" w:customStyle="1" w:styleId="121">
    <w:name w:val="样式4"/>
    <w:basedOn w:val="1"/>
    <w:next w:val="1"/>
    <w:qFormat/>
    <w:uiPriority w:val="0"/>
    <w:pPr>
      <w:spacing w:line="440" w:lineRule="exact"/>
    </w:pPr>
    <w:rPr>
      <w:sz w:val="24"/>
      <w:szCs w:val="20"/>
    </w:rPr>
  </w:style>
  <w:style w:type="paragraph" w:customStyle="1" w:styleId="122">
    <w:name w:val="表格头"/>
    <w:basedOn w:val="1"/>
    <w:qFormat/>
    <w:uiPriority w:val="0"/>
    <w:pPr>
      <w:widowControl w:val="0"/>
      <w:jc w:val="center"/>
    </w:pPr>
    <w:rPr>
      <w:rFonts w:ascii="黑体" w:hAnsi="黑体"/>
      <w:b/>
      <w:sz w:val="21"/>
      <w:szCs w:val="24"/>
    </w:rPr>
  </w:style>
  <w:style w:type="paragraph" w:customStyle="1" w:styleId="123">
    <w:name w:val="-表题"/>
    <w:next w:val="110"/>
    <w:qFormat/>
    <w:uiPriority w:val="0"/>
    <w:pPr>
      <w:spacing w:line="480" w:lineRule="exact"/>
      <w:jc w:val="center"/>
    </w:pPr>
    <w:rPr>
      <w:rFonts w:ascii="Times New Roman" w:hAnsi="Times New Roman" w:eastAsia="宋体" w:cs="Times New Roman"/>
      <w:b/>
      <w:kern w:val="2"/>
      <w:sz w:val="21"/>
      <w:szCs w:val="24"/>
      <w:lang w:val="en-US" w:eastAsia="zh-CN" w:bidi="ar-SA"/>
    </w:rPr>
  </w:style>
  <w:style w:type="paragraph" w:customStyle="1" w:styleId="124">
    <w:name w:val="表中文字"/>
    <w:basedOn w:val="1"/>
    <w:qFormat/>
    <w:uiPriority w:val="0"/>
    <w:pPr>
      <w:widowControl w:val="0"/>
      <w:spacing w:line="300" w:lineRule="exact"/>
      <w:jc w:val="center"/>
    </w:pPr>
    <w:rPr>
      <w:color w:val="000000"/>
      <w:kern w:val="2"/>
      <w:sz w:val="21"/>
      <w:szCs w:val="24"/>
    </w:rPr>
  </w:style>
  <w:style w:type="character" w:customStyle="1" w:styleId="125">
    <w:name w:val="正文01 Char"/>
    <w:link w:val="100"/>
    <w:qFormat/>
    <w:uiPriority w:val="0"/>
    <w:rPr>
      <w:szCs w:val="20"/>
    </w:rPr>
  </w:style>
  <w:style w:type="paragraph" w:customStyle="1" w:styleId="126">
    <w:name w:val="表内容"/>
    <w:basedOn w:val="1"/>
    <w:next w:val="110"/>
    <w:qFormat/>
    <w:uiPriority w:val="0"/>
    <w:pPr>
      <w:jc w:val="center"/>
    </w:pPr>
    <w:rPr>
      <w:sz w:val="21"/>
      <w:szCs w:val="21"/>
    </w:rPr>
  </w:style>
  <w:style w:type="paragraph" w:customStyle="1" w:styleId="127">
    <w:name w:val="表格文字内容"/>
    <w:basedOn w:val="1"/>
    <w:qFormat/>
    <w:uiPriority w:val="0"/>
    <w:pPr>
      <w:spacing w:line="240" w:lineRule="exact"/>
      <w:jc w:val="center"/>
    </w:pPr>
    <w:rPr>
      <w:rFonts w:hAnsi="宋体"/>
      <w:sz w:val="18"/>
    </w:rPr>
  </w:style>
  <w:style w:type="paragraph" w:customStyle="1" w:styleId="128">
    <w:name w:val="报告正文scu"/>
    <w:qFormat/>
    <w:uiPriority w:val="0"/>
    <w:pPr>
      <w:widowControl w:val="0"/>
      <w:adjustRightInd w:val="0"/>
      <w:snapToGrid w:val="0"/>
      <w:spacing w:line="500" w:lineRule="exact"/>
      <w:ind w:firstLine="200" w:firstLineChars="200"/>
      <w:jc w:val="both"/>
    </w:pPr>
    <w:rPr>
      <w:rFonts w:ascii="Times New Roman" w:hAnsi="Times New Roman" w:eastAsia="宋体" w:cs="Times New Roman"/>
      <w:sz w:val="24"/>
      <w:szCs w:val="24"/>
      <w:lang w:val="en-US" w:eastAsia="zh-CN" w:bidi="ar-SA"/>
    </w:rPr>
  </w:style>
  <w:style w:type="paragraph" w:customStyle="1" w:styleId="129">
    <w:name w:val="_Style 1"/>
    <w:qFormat/>
    <w:uiPriority w:val="99"/>
    <w:pPr>
      <w:widowControl w:val="0"/>
      <w:jc w:val="both"/>
    </w:pPr>
    <w:rPr>
      <w:rFonts w:ascii="Times New Roman" w:hAnsi="Times New Roman" w:eastAsia="宋体" w:cs="Times New Roman"/>
      <w:bCs/>
      <w:sz w:val="24"/>
      <w:szCs w:val="24"/>
      <w:lang w:val="en-US" w:eastAsia="zh-CN" w:bidi="ar-SA"/>
    </w:rPr>
  </w:style>
  <w:style w:type="paragraph" w:customStyle="1" w:styleId="130">
    <w:name w:val="CM13"/>
    <w:basedOn w:val="51"/>
    <w:qFormat/>
    <w:uiPriority w:val="0"/>
    <w:rPr>
      <w:color w:val="auto"/>
    </w:rPr>
  </w:style>
  <w:style w:type="paragraph" w:customStyle="1" w:styleId="131">
    <w:name w:val="表格字体"/>
    <w:qFormat/>
    <w:uiPriority w:val="0"/>
    <w:pPr>
      <w:keepNext/>
      <w:keepLines/>
      <w:jc w:val="center"/>
    </w:pPr>
    <w:rPr>
      <w:rFonts w:ascii="Times New Roman" w:hAnsi="Times New Roman" w:eastAsia="宋体" w:cs="Times New Roman"/>
      <w:kern w:val="2"/>
      <w:sz w:val="21"/>
      <w:szCs w:val="24"/>
      <w:lang w:val="en-US" w:eastAsia="zh-CN" w:bidi="ar-SA"/>
    </w:rPr>
  </w:style>
  <w:style w:type="paragraph" w:customStyle="1" w:styleId="132">
    <w:name w:val="4"/>
    <w:basedOn w:val="1"/>
    <w:next w:val="16"/>
    <w:qFormat/>
    <w:uiPriority w:val="0"/>
    <w:pPr>
      <w:ind w:firstLine="540"/>
    </w:pPr>
    <w:rPr>
      <w:rFonts w:ascii="宋体"/>
      <w:sz w:val="28"/>
      <w:szCs w:val="20"/>
    </w:rPr>
  </w:style>
  <w:style w:type="paragraph" w:customStyle="1" w:styleId="133">
    <w:name w:val="CM3"/>
    <w:qFormat/>
    <w:uiPriority w:val="0"/>
    <w:pPr>
      <w:widowControl w:val="0"/>
      <w:autoSpaceDE w:val="0"/>
      <w:autoSpaceDN w:val="0"/>
      <w:adjustRightInd w:val="0"/>
      <w:spacing w:line="500" w:lineRule="atLeast"/>
    </w:pPr>
    <w:rPr>
      <w:rFonts w:hint="eastAsia" w:ascii="宋体" w:hAnsi="Calibri" w:eastAsia="宋体" w:cs="Times New Roman"/>
      <w:sz w:val="24"/>
      <w:szCs w:val="24"/>
      <w:lang w:val="en-US" w:eastAsia="zh-CN" w:bidi="ar-SA"/>
    </w:rPr>
  </w:style>
  <w:style w:type="character" w:customStyle="1" w:styleId="134">
    <w:name w:val="报告正文 Char"/>
    <w:link w:val="119"/>
    <w:qFormat/>
    <w:uiPriority w:val="0"/>
    <w:rPr>
      <w:sz w:val="28"/>
    </w:rPr>
  </w:style>
  <w:style w:type="paragraph" w:customStyle="1" w:styleId="135">
    <w:name w:val="正文文本报告（报告）"/>
    <w:basedOn w:val="1"/>
    <w:qFormat/>
    <w:uiPriority w:val="0"/>
    <w:pPr>
      <w:spacing w:line="440" w:lineRule="exact"/>
      <w:ind w:firstLine="200" w:firstLineChars="200"/>
    </w:pPr>
    <w:rPr>
      <w:sz w:val="24"/>
    </w:rPr>
  </w:style>
  <w:style w:type="character" w:customStyle="1" w:styleId="136">
    <w:name w:val="font21"/>
    <w:basedOn w:val="41"/>
    <w:qFormat/>
    <w:uiPriority w:val="0"/>
    <w:rPr>
      <w:rFonts w:hint="eastAsia" w:ascii="宋体" w:hAnsi="宋体" w:eastAsia="宋体" w:cs="宋体"/>
      <w:color w:val="000000"/>
      <w:sz w:val="22"/>
      <w:szCs w:val="22"/>
      <w:u w:val="none"/>
    </w:rPr>
  </w:style>
  <w:style w:type="paragraph" w:customStyle="1" w:styleId="137">
    <w:name w:val="章节目录"/>
    <w:basedOn w:val="1"/>
    <w:qFormat/>
    <w:uiPriority w:val="0"/>
    <w:pPr>
      <w:spacing w:line="360" w:lineRule="auto"/>
      <w:outlineLvl w:val="0"/>
    </w:pPr>
    <w:rPr>
      <w:b/>
      <w:sz w:val="28"/>
      <w:szCs w:val="28"/>
    </w:rPr>
  </w:style>
  <w:style w:type="paragraph" w:customStyle="1" w:styleId="138">
    <w:name w:val="报告表"/>
    <w:basedOn w:val="1"/>
    <w:qFormat/>
    <w:uiPriority w:val="0"/>
    <w:pPr>
      <w:autoSpaceDE w:val="0"/>
      <w:autoSpaceDN w:val="0"/>
      <w:spacing w:line="360" w:lineRule="auto"/>
      <w:ind w:firstLine="480" w:firstLineChars="200"/>
    </w:pPr>
    <w:rPr>
      <w:kern w:val="0"/>
      <w:sz w:val="24"/>
      <w:lang w:bidi="zh-CN"/>
    </w:rPr>
  </w:style>
  <w:style w:type="paragraph" w:customStyle="1" w:styleId="139">
    <w:name w:val="Default1"/>
    <w:qFormat/>
    <w:uiPriority w:val="0"/>
    <w:pPr>
      <w:widowControl w:val="0"/>
      <w:autoSpaceDE w:val="0"/>
      <w:autoSpaceDN w:val="0"/>
      <w:adjustRightInd w:val="0"/>
      <w:jc w:val="center"/>
    </w:pPr>
    <w:rPr>
      <w:rFonts w:ascii="Times New Roman" w:hAnsi="Times New Roman" w:eastAsia="宋体" w:cs="宋体"/>
      <w:b/>
      <w:color w:val="000000"/>
      <w:sz w:val="21"/>
      <w:szCs w:val="24"/>
      <w:lang w:val="en-US" w:eastAsia="zh-CN" w:bidi="ar-SA"/>
    </w:rPr>
  </w:style>
  <w:style w:type="paragraph" w:customStyle="1" w:styleId="140">
    <w:name w:val="01表格"/>
    <w:basedOn w:val="1"/>
    <w:next w:val="1"/>
    <w:qFormat/>
    <w:uiPriority w:val="0"/>
    <w:pPr>
      <w:overflowPunct w:val="0"/>
      <w:topLinePunct/>
      <w:adjustRightInd w:val="0"/>
      <w:snapToGrid w:val="0"/>
      <w:spacing w:line="240" w:lineRule="auto"/>
      <w:jc w:val="center"/>
    </w:pPr>
    <w:rPr>
      <w:snapToGrid w:val="0"/>
      <w:kern w:val="0"/>
      <w:sz w:val="21"/>
      <w:szCs w:val="21"/>
    </w:rPr>
  </w:style>
  <w:style w:type="paragraph" w:customStyle="1" w:styleId="141">
    <w:name w:val="表字"/>
    <w:basedOn w:val="1"/>
    <w:qFormat/>
    <w:uiPriority w:val="0"/>
    <w:pPr>
      <w:spacing w:line="240" w:lineRule="auto"/>
      <w:jc w:val="center"/>
    </w:pPr>
    <w:rPr>
      <w:sz w:val="21"/>
      <w:szCs w:val="20"/>
    </w:rPr>
  </w:style>
  <w:style w:type="paragraph" w:customStyle="1" w:styleId="142">
    <w:name w:val="正文格式"/>
    <w:next w:val="1"/>
    <w:qFormat/>
    <w:uiPriority w:val="0"/>
    <w:pPr>
      <w:spacing w:before="156" w:beforeLines="50" w:line="440" w:lineRule="exact"/>
      <w:ind w:firstLine="560" w:firstLineChars="200"/>
    </w:pPr>
    <w:rPr>
      <w:rFonts w:ascii="Times New Roman" w:hAnsi="Times New Roman" w:eastAsia="仿宋_GB2312" w:cs="Times New Roman"/>
      <w:kern w:val="2"/>
      <w:sz w:val="28"/>
      <w:szCs w:val="28"/>
      <w:lang w:val="en-US" w:eastAsia="zh-CN" w:bidi="ar-SA"/>
    </w:rPr>
  </w:style>
  <w:style w:type="paragraph" w:customStyle="1" w:styleId="143">
    <w:name w:val="样式 小四 首行缩进:  0.85 厘米 行距: 1.5 倍行距"/>
    <w:basedOn w:val="1"/>
    <w:qFormat/>
    <w:uiPriority w:val="0"/>
    <w:pPr>
      <w:adjustRightInd w:val="0"/>
      <w:spacing w:line="360" w:lineRule="auto"/>
      <w:ind w:firstLine="480"/>
      <w:textAlignment w:val="baseline"/>
    </w:pPr>
    <w:rPr>
      <w:sz w:val="24"/>
    </w:rPr>
  </w:style>
  <w:style w:type="paragraph" w:customStyle="1" w:styleId="144">
    <w:name w:val="3"/>
    <w:basedOn w:val="145"/>
    <w:qFormat/>
    <w:uiPriority w:val="0"/>
    <w:pPr>
      <w:keepNext w:val="0"/>
      <w:keepLines w:val="0"/>
      <w:widowControl w:val="0"/>
      <w:suppressLineNumbers w:val="0"/>
      <w:spacing w:before="0" w:beforeAutospacing="0" w:after="0" w:afterAutospacing="0" w:line="312" w:lineRule="auto"/>
      <w:ind w:left="0" w:right="0" w:firstLine="200" w:firstLineChars="200"/>
      <w:jc w:val="both"/>
    </w:pPr>
    <w:rPr>
      <w:rFonts w:hint="default" w:ascii="Times New Roman" w:hAnsi="Times New Roman" w:eastAsia="黑体" w:cs="Times New Roman"/>
      <w:kern w:val="2"/>
      <w:sz w:val="24"/>
      <w:szCs w:val="24"/>
      <w:lang w:val="en-US" w:eastAsia="zh-CN" w:bidi="ar"/>
    </w:rPr>
  </w:style>
  <w:style w:type="paragraph" w:customStyle="1" w:styleId="145">
    <w:name w:val="正正"/>
    <w:basedOn w:val="1"/>
    <w:qFormat/>
    <w:uiPriority w:val="0"/>
    <w:pPr>
      <w:keepNext w:val="0"/>
      <w:keepLines w:val="0"/>
      <w:widowControl w:val="0"/>
      <w:suppressLineNumbers w:val="0"/>
      <w:spacing w:before="0" w:beforeAutospacing="0" w:after="0" w:afterAutospacing="0" w:line="312" w:lineRule="auto"/>
      <w:ind w:left="0" w:right="0" w:firstLine="200" w:firstLineChars="200"/>
      <w:jc w:val="both"/>
    </w:pPr>
    <w:rPr>
      <w:rFonts w:hint="default" w:ascii="Times New Roman" w:hAnsi="Times New Roman" w:eastAsia="宋体" w:cs="Times New Roman"/>
      <w:kern w:val="2"/>
      <w:sz w:val="24"/>
      <w:szCs w:val="24"/>
      <w:lang w:val="en-US" w:eastAsia="zh-CN" w:bidi="ar"/>
    </w:rPr>
  </w:style>
  <w:style w:type="paragraph" w:customStyle="1" w:styleId="146">
    <w:name w:val="样式 样式 样式 表头 + 段前: 0.5 行 段后: 0.5 行 + 段后: 0.5 行 + 段前: 0.5 行"/>
    <w:basedOn w:val="1"/>
    <w:qFormat/>
    <w:uiPriority w:val="0"/>
    <w:pPr>
      <w:keepNext w:val="0"/>
      <w:keepLines w:val="0"/>
      <w:widowControl w:val="0"/>
      <w:suppressLineNumbers w:val="0"/>
      <w:adjustRightInd w:val="0"/>
      <w:snapToGrid w:val="0"/>
      <w:spacing w:before="120" w:beforeAutospacing="0" w:after="0" w:afterAutospacing="0" w:line="312" w:lineRule="auto"/>
      <w:ind w:left="0" w:right="0" w:firstLine="200" w:firstLineChars="200"/>
      <w:jc w:val="center"/>
    </w:pPr>
    <w:rPr>
      <w:rFonts w:hint="default" w:ascii="Times New Roman" w:hAnsi="Times New Roman" w:eastAsia="宋体" w:cs="宋体"/>
      <w:b/>
      <w:kern w:val="2"/>
      <w:sz w:val="24"/>
      <w:szCs w:val="20"/>
      <w:lang w:val="en-US" w:eastAsia="zh-CN" w:bidi="ar"/>
    </w:rPr>
  </w:style>
  <w:style w:type="paragraph" w:customStyle="1" w:styleId="147">
    <w:name w:val="单晶硅项目正文"/>
    <w:basedOn w:val="1"/>
    <w:qFormat/>
    <w:uiPriority w:val="0"/>
    <w:pPr>
      <w:keepNext w:val="0"/>
      <w:keepLines w:val="0"/>
      <w:widowControl w:val="0"/>
      <w:suppressLineNumbers w:val="0"/>
      <w:spacing w:before="0" w:beforeAutospacing="0" w:after="0" w:afterAutospacing="0" w:line="560" w:lineRule="exact"/>
      <w:ind w:left="0" w:right="0" w:firstLine="480" w:firstLineChars="200"/>
      <w:jc w:val="both"/>
    </w:pPr>
    <w:rPr>
      <w:rFonts w:hint="eastAsia" w:ascii="宋体" w:hAnsi="宋体" w:eastAsia="宋体" w:cs="Times New Roman"/>
      <w:color w:val="000000"/>
      <w:kern w:val="0"/>
      <w:sz w:val="24"/>
      <w:szCs w:val="24"/>
      <w:lang w:val="en-US" w:eastAsia="zh-CN" w:bidi="ar"/>
    </w:rPr>
  </w:style>
  <w:style w:type="paragraph" w:customStyle="1" w:styleId="148">
    <w:name w:val="p"/>
    <w:basedOn w:val="149"/>
    <w:link w:val="224"/>
    <w:qFormat/>
    <w:uiPriority w:val="0"/>
    <w:pPr>
      <w:adjustRightInd w:val="0"/>
      <w:snapToGrid w:val="0"/>
      <w:spacing w:line="360" w:lineRule="auto"/>
      <w:ind w:firstLine="1446" w:firstLineChars="200"/>
      <w:jc w:val="left"/>
    </w:pPr>
    <w:rPr>
      <w:kern w:val="0"/>
      <w:sz w:val="20"/>
      <w:szCs w:val="20"/>
    </w:rPr>
  </w:style>
  <w:style w:type="paragraph" w:customStyle="1" w:styleId="149">
    <w:name w:val="样式1"/>
    <w:basedOn w:val="1"/>
    <w:next w:val="17"/>
    <w:qFormat/>
    <w:uiPriority w:val="0"/>
    <w:pPr>
      <w:ind w:left="90" w:leftChars="32"/>
    </w:pPr>
    <w:rPr>
      <w:rFonts w:ascii="宋体" w:hAnsi="宋体"/>
      <w:sz w:val="23"/>
      <w:szCs w:val="20"/>
    </w:rPr>
  </w:style>
  <w:style w:type="paragraph" w:customStyle="1" w:styleId="150">
    <w:name w:val="样式 行距: 固定值 24 磅 首行缩进:  2 字符"/>
    <w:basedOn w:val="1"/>
    <w:qFormat/>
    <w:uiPriority w:val="0"/>
    <w:pPr>
      <w:spacing w:line="480" w:lineRule="exact"/>
      <w:ind w:firstLine="480" w:firstLineChars="200"/>
    </w:pPr>
    <w:rPr>
      <w:sz w:val="24"/>
      <w:szCs w:val="20"/>
    </w:rPr>
  </w:style>
  <w:style w:type="paragraph" w:customStyle="1" w:styleId="151">
    <w:name w:val="正文样式"/>
    <w:basedOn w:val="1"/>
    <w:qFormat/>
    <w:uiPriority w:val="0"/>
    <w:pPr>
      <w:adjustRightInd w:val="0"/>
      <w:snapToGrid w:val="0"/>
      <w:spacing w:line="360" w:lineRule="auto"/>
      <w:ind w:firstLine="200" w:firstLineChars="200"/>
      <w:jc w:val="left"/>
    </w:pPr>
    <w:rPr>
      <w:rFonts w:cs="宋体"/>
      <w:sz w:val="24"/>
    </w:rPr>
  </w:style>
  <w:style w:type="table" w:customStyle="1" w:styleId="152">
    <w:name w:val="网格型1"/>
    <w:basedOn w:val="39"/>
    <w:unhideWhenUse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3">
    <w:name w:val="p17"/>
    <w:basedOn w:val="1"/>
    <w:qFormat/>
    <w:uiPriority w:val="0"/>
    <w:pPr>
      <w:widowControl/>
      <w:spacing w:line="360" w:lineRule="auto"/>
      <w:ind w:firstLine="420"/>
    </w:pPr>
    <w:rPr>
      <w:rFonts w:ascii="宋体" w:hAnsi="宋体" w:cs="宋体"/>
      <w:color w:val="FF0000"/>
      <w:kern w:val="0"/>
      <w:sz w:val="24"/>
    </w:rPr>
  </w:style>
  <w:style w:type="paragraph" w:customStyle="1" w:styleId="154">
    <w:name w:val="p16"/>
    <w:basedOn w:val="1"/>
    <w:qFormat/>
    <w:uiPriority w:val="0"/>
    <w:pPr>
      <w:widowControl/>
      <w:snapToGrid w:val="0"/>
      <w:spacing w:line="360" w:lineRule="auto"/>
      <w:ind w:firstLine="420"/>
    </w:pPr>
    <w:rPr>
      <w:kern w:val="0"/>
      <w:sz w:val="24"/>
    </w:rPr>
  </w:style>
  <w:style w:type="paragraph" w:customStyle="1" w:styleId="155">
    <w:name w:val="正本文字"/>
    <w:basedOn w:val="1"/>
    <w:qFormat/>
    <w:uiPriority w:val="0"/>
    <w:pPr>
      <w:widowControl/>
      <w:adjustRightInd w:val="0"/>
      <w:snapToGrid w:val="0"/>
      <w:spacing w:line="360" w:lineRule="auto"/>
      <w:ind w:firstLine="480" w:firstLineChars="200"/>
      <w:jc w:val="left"/>
    </w:pPr>
    <w:rPr>
      <w:rFonts w:ascii="Calibri" w:hAnsi="Courier" w:eastAsia="PMingLiU" w:cs="宋体"/>
      <w:kern w:val="18"/>
      <w:sz w:val="24"/>
      <w:szCs w:val="20"/>
      <w:lang w:eastAsia="zh-TW"/>
    </w:rPr>
  </w:style>
  <w:style w:type="paragraph" w:customStyle="1" w:styleId="156">
    <w:name w:val="Table Paragraph"/>
    <w:basedOn w:val="1"/>
    <w:qFormat/>
    <w:uiPriority w:val="1"/>
    <w:pPr>
      <w:widowControl/>
      <w:jc w:val="left"/>
    </w:pPr>
    <w:rPr>
      <w:rFonts w:ascii="Calibri" w:hAnsi="Calibri" w:cs="宋体"/>
      <w:kern w:val="0"/>
      <w:sz w:val="22"/>
      <w:szCs w:val="22"/>
    </w:rPr>
  </w:style>
  <w:style w:type="paragraph" w:customStyle="1" w:styleId="157">
    <w:name w:val="1表格"/>
    <w:basedOn w:val="1"/>
    <w:qFormat/>
    <w:uiPriority w:val="0"/>
    <w:pPr>
      <w:snapToGrid w:val="0"/>
      <w:spacing w:line="160" w:lineRule="atLeast"/>
      <w:jc w:val="center"/>
    </w:pPr>
    <w:rPr>
      <w:rFonts w:eastAsia="仿宋_GB2312"/>
      <w:szCs w:val="20"/>
    </w:rPr>
  </w:style>
  <w:style w:type="paragraph" w:customStyle="1" w:styleId="158">
    <w:name w:val="标题 41"/>
    <w:basedOn w:val="1"/>
    <w:qFormat/>
    <w:uiPriority w:val="99"/>
    <w:pPr>
      <w:autoSpaceDE w:val="0"/>
      <w:autoSpaceDN w:val="0"/>
      <w:spacing w:before="2"/>
      <w:ind w:left="920"/>
      <w:jc w:val="left"/>
      <w:outlineLvl w:val="4"/>
    </w:pPr>
    <w:rPr>
      <w:rFonts w:ascii="宋体" w:hAnsi="宋体" w:cs="宋体"/>
      <w:b/>
      <w:bCs/>
      <w:kern w:val="0"/>
      <w:sz w:val="24"/>
      <w:lang w:val="zh-CN"/>
    </w:rPr>
  </w:style>
  <w:style w:type="paragraph" w:customStyle="1" w:styleId="159">
    <w:name w:val="标题 11"/>
    <w:basedOn w:val="1"/>
    <w:qFormat/>
    <w:uiPriority w:val="99"/>
    <w:pPr>
      <w:autoSpaceDE w:val="0"/>
      <w:autoSpaceDN w:val="0"/>
      <w:spacing w:before="49"/>
      <w:ind w:left="455"/>
      <w:jc w:val="center"/>
      <w:outlineLvl w:val="1"/>
    </w:pPr>
    <w:rPr>
      <w:rFonts w:ascii="宋体" w:hAnsi="宋体" w:cs="宋体"/>
      <w:b/>
      <w:bCs/>
      <w:kern w:val="0"/>
      <w:sz w:val="36"/>
      <w:szCs w:val="36"/>
      <w:lang w:val="zh-CN"/>
    </w:rPr>
  </w:style>
  <w:style w:type="paragraph" w:customStyle="1" w:styleId="160">
    <w:name w:val="正文粗"/>
    <w:basedOn w:val="1"/>
    <w:next w:val="88"/>
    <w:qFormat/>
    <w:uiPriority w:val="0"/>
    <w:pPr>
      <w:ind w:firstLine="482"/>
      <w:jc w:val="both"/>
    </w:pPr>
    <w:rPr>
      <w:rFonts w:ascii="Times New Roman" w:hAnsi="Times New Roman" w:eastAsia="宋体"/>
      <w:b/>
      <w:color w:val="000000"/>
      <w:sz w:val="24"/>
      <w:szCs w:val="20"/>
    </w:rPr>
  </w:style>
  <w:style w:type="paragraph" w:customStyle="1" w:styleId="161">
    <w:name w:val="表格粗"/>
    <w:basedOn w:val="88"/>
    <w:qFormat/>
    <w:uiPriority w:val="0"/>
    <w:pPr>
      <w:adjustRightInd w:val="0"/>
      <w:snapToGrid w:val="0"/>
      <w:spacing w:line="240" w:lineRule="auto"/>
      <w:ind w:firstLine="0" w:firstLineChars="0"/>
      <w:jc w:val="center"/>
    </w:pPr>
    <w:rPr>
      <w:b/>
      <w:sz w:val="21"/>
      <w:shd w:val="clear" w:color="auto" w:fill="auto"/>
    </w:rPr>
  </w:style>
  <w:style w:type="paragraph" w:customStyle="1" w:styleId="162">
    <w:name w:val="_Style 10"/>
    <w:basedOn w:val="1"/>
    <w:qFormat/>
    <w:uiPriority w:val="0"/>
    <w:rPr>
      <w:szCs w:val="20"/>
    </w:rPr>
  </w:style>
  <w:style w:type="paragraph" w:customStyle="1" w:styleId="163">
    <w:name w:val="表格1"/>
    <w:basedOn w:val="1"/>
    <w:qFormat/>
    <w:uiPriority w:val="99"/>
    <w:pPr>
      <w:spacing w:line="360" w:lineRule="exact"/>
    </w:pPr>
    <w:rPr>
      <w:rFonts w:hAnsi="宋?"/>
    </w:rPr>
  </w:style>
  <w:style w:type="paragraph" w:customStyle="1" w:styleId="164">
    <w:name w:val="zly-图表"/>
    <w:basedOn w:val="9"/>
    <w:qFormat/>
    <w:uiPriority w:val="0"/>
    <w:pPr>
      <w:jc w:val="center"/>
    </w:pPr>
    <w:rPr>
      <w:rFonts w:ascii="Calibri" w:hAnsi="Calibri"/>
    </w:rPr>
  </w:style>
  <w:style w:type="paragraph" w:customStyle="1" w:styleId="165">
    <w:name w:val="zly-正文"/>
    <w:basedOn w:val="1"/>
    <w:qFormat/>
    <w:uiPriority w:val="99"/>
    <w:pPr>
      <w:spacing w:line="360" w:lineRule="auto"/>
      <w:ind w:firstLine="200" w:firstLineChars="200"/>
    </w:pPr>
    <w:rPr>
      <w:rFonts w:ascii="Calibri" w:hAnsi="Calibri"/>
      <w:kern w:val="0"/>
      <w:sz w:val="24"/>
    </w:rPr>
  </w:style>
  <w:style w:type="paragraph" w:customStyle="1" w:styleId="166">
    <w:name w:val="正文文本 (2)"/>
    <w:basedOn w:val="1"/>
    <w:qFormat/>
    <w:uiPriority w:val="0"/>
    <w:pPr>
      <w:shd w:val="clear" w:color="auto" w:fill="FFFFFF"/>
      <w:spacing w:line="466" w:lineRule="exact"/>
      <w:ind w:hanging="520"/>
      <w:jc w:val="distribute"/>
    </w:pPr>
    <w:rPr>
      <w:rFonts w:ascii="MingLiU" w:hAnsi="MingLiU" w:eastAsia="MingLiU"/>
      <w:kern w:val="0"/>
      <w:sz w:val="22"/>
      <w:szCs w:val="22"/>
    </w:rPr>
  </w:style>
  <w:style w:type="paragraph" w:customStyle="1" w:styleId="167">
    <w:name w:val="妇幼正文"/>
    <w:basedOn w:val="1"/>
    <w:qFormat/>
    <w:uiPriority w:val="0"/>
    <w:pPr>
      <w:adjustRightInd w:val="0"/>
      <w:spacing w:line="360" w:lineRule="auto"/>
      <w:ind w:firstLine="480" w:firstLineChars="200"/>
    </w:pPr>
    <w:rPr>
      <w:color w:val="000000"/>
      <w:sz w:val="24"/>
    </w:rPr>
  </w:style>
  <w:style w:type="paragraph" w:customStyle="1" w:styleId="168">
    <w:name w:val="样式 小四 首行缩进:  0.95 厘米 行距: 多倍行距 1.25 字行"/>
    <w:basedOn w:val="1"/>
    <w:qFormat/>
    <w:uiPriority w:val="0"/>
    <w:pPr>
      <w:spacing w:line="360" w:lineRule="auto"/>
      <w:ind w:firstLine="539"/>
    </w:pPr>
    <w:rPr>
      <w:rFonts w:ascii="Times New Roman" w:hAnsi="Times New Roman" w:cs="宋体"/>
      <w:sz w:val="24"/>
      <w:szCs w:val="20"/>
      <w:lang w:bidi="ar-SA"/>
    </w:rPr>
  </w:style>
  <w:style w:type="paragraph" w:customStyle="1" w:styleId="169">
    <w:name w:val="文本正文3"/>
    <w:qFormat/>
    <w:uiPriority w:val="0"/>
    <w:pPr>
      <w:spacing w:line="360" w:lineRule="auto"/>
      <w:ind w:firstLine="177" w:firstLineChars="177"/>
    </w:pPr>
    <w:rPr>
      <w:rFonts w:ascii="Calibri" w:hAnsi="Calibri" w:eastAsia="宋体" w:cs="Times New Roman"/>
      <w:kern w:val="2"/>
      <w:sz w:val="24"/>
      <w:szCs w:val="21"/>
      <w:lang w:val="en-US" w:eastAsia="zh-CN" w:bidi="ar-SA"/>
    </w:rPr>
  </w:style>
  <w:style w:type="paragraph" w:customStyle="1" w:styleId="170">
    <w:name w:val="样式7"/>
    <w:basedOn w:val="121"/>
    <w:qFormat/>
    <w:uiPriority w:val="0"/>
    <w:pPr>
      <w:spacing w:before="0" w:beforeLines="0" w:after="0" w:afterLines="0"/>
      <w:ind w:firstLine="420" w:firstLineChars="200"/>
    </w:pPr>
    <w:rPr>
      <w:rFonts w:ascii="Times New Roman" w:eastAsia="华文中宋"/>
      <w:sz w:val="21"/>
      <w:szCs w:val="21"/>
    </w:rPr>
  </w:style>
  <w:style w:type="character" w:customStyle="1" w:styleId="171">
    <w:name w:val="font31"/>
    <w:basedOn w:val="41"/>
    <w:qFormat/>
    <w:uiPriority w:val="0"/>
    <w:rPr>
      <w:rFonts w:hint="default" w:ascii="Times New Roman" w:hAnsi="Times New Roman" w:cs="Times New Roman"/>
      <w:color w:val="000000"/>
      <w:sz w:val="21"/>
      <w:szCs w:val="21"/>
      <w:u w:val="none"/>
    </w:rPr>
  </w:style>
  <w:style w:type="character" w:customStyle="1" w:styleId="172">
    <w:name w:val="font11"/>
    <w:basedOn w:val="41"/>
    <w:qFormat/>
    <w:uiPriority w:val="0"/>
    <w:rPr>
      <w:rFonts w:hint="default" w:ascii="Calibri" w:hAnsi="Calibri" w:cs="Calibri"/>
      <w:color w:val="000000"/>
      <w:sz w:val="21"/>
      <w:szCs w:val="21"/>
      <w:u w:val="none"/>
    </w:rPr>
  </w:style>
  <w:style w:type="paragraph" w:customStyle="1" w:styleId="173">
    <w:name w:val="正文文本1"/>
    <w:basedOn w:val="1"/>
    <w:qFormat/>
    <w:uiPriority w:val="0"/>
    <w:pPr>
      <w:spacing w:line="480" w:lineRule="exact"/>
      <w:ind w:firstLine="200" w:firstLineChars="200"/>
    </w:pPr>
    <w:rPr>
      <w:color w:val="000000"/>
      <w:sz w:val="24"/>
    </w:rPr>
  </w:style>
  <w:style w:type="paragraph" w:customStyle="1" w:styleId="174">
    <w:name w:val="Char4 Char Char Char"/>
    <w:basedOn w:val="1"/>
    <w:qFormat/>
    <w:uiPriority w:val="0"/>
    <w:pPr>
      <w:adjustRightInd w:val="0"/>
      <w:snapToGrid w:val="0"/>
      <w:spacing w:line="360" w:lineRule="auto"/>
      <w:ind w:firstLine="200" w:firstLineChars="200"/>
    </w:pPr>
    <w:rPr>
      <w:sz w:val="24"/>
      <w:szCs w:val="20"/>
    </w:rPr>
  </w:style>
  <w:style w:type="paragraph" w:customStyle="1" w:styleId="175">
    <w:name w:val="大标题"/>
    <w:basedOn w:val="1"/>
    <w:qFormat/>
    <w:uiPriority w:val="0"/>
    <w:pPr>
      <w:spacing w:line="360" w:lineRule="auto"/>
    </w:pPr>
    <w:rPr>
      <w:rFonts w:ascii="宋体" w:hAnsi="宋体"/>
      <w:b/>
      <w:sz w:val="30"/>
      <w:szCs w:val="24"/>
    </w:rPr>
  </w:style>
  <w:style w:type="paragraph" w:customStyle="1" w:styleId="176">
    <w:name w:val="表格01"/>
    <w:qFormat/>
    <w:uiPriority w:val="0"/>
    <w:pPr>
      <w:jc w:val="center"/>
    </w:pPr>
    <w:rPr>
      <w:rFonts w:ascii="Times New Roman" w:hAnsi="Times New Roman" w:eastAsia="宋体" w:cs="宋体"/>
      <w:kern w:val="2"/>
      <w:sz w:val="21"/>
      <w:szCs w:val="21"/>
      <w:lang w:val="en-US" w:eastAsia="zh-CN" w:bidi="ar-SA"/>
    </w:rPr>
  </w:style>
  <w:style w:type="character" w:customStyle="1" w:styleId="177">
    <w:name w:val="表题 Char"/>
    <w:link w:val="109"/>
    <w:qFormat/>
    <w:uiPriority w:val="0"/>
    <w:rPr>
      <w:rFonts w:ascii="Times New Roman" w:hAnsi="宋体" w:eastAsia="宋体" w:cs="Times New Roman"/>
      <w:b/>
      <w:kern w:val="2"/>
      <w:sz w:val="21"/>
      <w:szCs w:val="24"/>
      <w:lang w:val="en-US" w:eastAsia="zh-CN" w:bidi="ar-SA"/>
    </w:rPr>
  </w:style>
  <w:style w:type="character" w:customStyle="1" w:styleId="178">
    <w:name w:val="-正文 Char"/>
    <w:link w:val="110"/>
    <w:qFormat/>
    <w:uiPriority w:val="0"/>
    <w:rPr>
      <w:rFonts w:cs="宋体"/>
      <w:kern w:val="2"/>
      <w:sz w:val="24"/>
    </w:rPr>
  </w:style>
  <w:style w:type="paragraph" w:customStyle="1" w:styleId="179">
    <w:name w:val="标题-3"/>
    <w:basedOn w:val="1"/>
    <w:qFormat/>
    <w:uiPriority w:val="0"/>
    <w:pPr>
      <w:spacing w:line="480" w:lineRule="exact"/>
      <w:ind w:firstLine="482" w:firstLineChars="200"/>
    </w:pPr>
    <w:rPr>
      <w:rFonts w:cs="宋体"/>
      <w:b/>
      <w:bCs/>
      <w:sz w:val="24"/>
      <w:szCs w:val="20"/>
    </w:rPr>
  </w:style>
  <w:style w:type="character" w:customStyle="1" w:styleId="180">
    <w:name w:val="正文-1 Char"/>
    <w:link w:val="108"/>
    <w:qFormat/>
    <w:uiPriority w:val="0"/>
    <w:rPr>
      <w:rFonts w:ascii="Times New Roman" w:hAnsi="Times New Roman" w:eastAsia="宋体" w:cs="宋体"/>
      <w:kern w:val="2"/>
      <w:sz w:val="24"/>
      <w:lang w:val="en-US" w:eastAsia="zh-CN" w:bidi="ar-SA"/>
    </w:rPr>
  </w:style>
  <w:style w:type="character" w:customStyle="1" w:styleId="181">
    <w:name w:val="标题 2 Char"/>
    <w:link w:val="5"/>
    <w:qFormat/>
    <w:uiPriority w:val="0"/>
    <w:rPr>
      <w:rFonts w:ascii="黑体" w:hAnsi="宋体" w:eastAsia="Times New Roman"/>
      <w:b/>
      <w:bCs/>
      <w:snapToGrid w:val="0"/>
      <w:kern w:val="0"/>
      <w:szCs w:val="20"/>
    </w:rPr>
  </w:style>
  <w:style w:type="paragraph" w:customStyle="1" w:styleId="182">
    <w:name w:val="13"/>
    <w:basedOn w:val="1"/>
    <w:qFormat/>
    <w:uiPriority w:val="0"/>
    <w:pPr>
      <w:wordWrap w:val="0"/>
      <w:autoSpaceDE w:val="0"/>
      <w:autoSpaceDN w:val="0"/>
      <w:adjustRightInd w:val="0"/>
      <w:jc w:val="center"/>
    </w:pPr>
    <w:rPr>
      <w:rFonts w:ascii="Calibri" w:hAnsi="Calibri" w:eastAsia="宋体" w:cs="Times New Roman"/>
      <w:kern w:val="0"/>
      <w:szCs w:val="21"/>
    </w:rPr>
  </w:style>
  <w:style w:type="paragraph" w:customStyle="1" w:styleId="183">
    <w:name w:val="12"/>
    <w:basedOn w:val="1"/>
    <w:link w:val="186"/>
    <w:qFormat/>
    <w:uiPriority w:val="0"/>
    <w:pPr>
      <w:wordWrap w:val="0"/>
      <w:topLinePunct/>
      <w:adjustRightInd w:val="0"/>
      <w:snapToGrid w:val="0"/>
      <w:spacing w:line="360" w:lineRule="auto"/>
      <w:ind w:firstLine="200" w:firstLineChars="200"/>
      <w:jc w:val="left"/>
    </w:pPr>
    <w:rPr>
      <w:sz w:val="24"/>
    </w:rPr>
  </w:style>
  <w:style w:type="paragraph" w:customStyle="1" w:styleId="184">
    <w:name w:val="14"/>
    <w:basedOn w:val="1"/>
    <w:qFormat/>
    <w:uiPriority w:val="0"/>
    <w:pPr>
      <w:tabs>
        <w:tab w:val="right" w:pos="8306"/>
      </w:tabs>
      <w:spacing w:line="360" w:lineRule="auto"/>
      <w:jc w:val="center"/>
    </w:pPr>
    <w:rPr>
      <w:b/>
      <w:bCs/>
      <w:color w:val="000000"/>
      <w:szCs w:val="21"/>
    </w:rPr>
  </w:style>
  <w:style w:type="paragraph" w:customStyle="1" w:styleId="185">
    <w:name w:val="表格内容-龙池"/>
    <w:basedOn w:val="1"/>
    <w:qFormat/>
    <w:uiPriority w:val="0"/>
    <w:pPr>
      <w:autoSpaceDE w:val="0"/>
      <w:autoSpaceDN w:val="0"/>
      <w:adjustRightInd w:val="0"/>
      <w:contextualSpacing/>
      <w:jc w:val="center"/>
    </w:pPr>
    <w:rPr>
      <w:kern w:val="0"/>
      <w:szCs w:val="21"/>
    </w:rPr>
  </w:style>
  <w:style w:type="character" w:customStyle="1" w:styleId="186">
    <w:name w:val="12 Char"/>
    <w:basedOn w:val="41"/>
    <w:link w:val="183"/>
    <w:qFormat/>
    <w:uiPriority w:val="0"/>
    <w:rPr>
      <w:sz w:val="24"/>
    </w:rPr>
  </w:style>
  <w:style w:type="paragraph" w:customStyle="1" w:styleId="187">
    <w:name w:val="正文-龙池"/>
    <w:basedOn w:val="1"/>
    <w:qFormat/>
    <w:uiPriority w:val="0"/>
    <w:pPr>
      <w:autoSpaceDE w:val="0"/>
      <w:autoSpaceDN w:val="0"/>
      <w:adjustRightInd w:val="0"/>
      <w:spacing w:line="360" w:lineRule="auto"/>
      <w:ind w:firstLine="480" w:firstLineChars="200"/>
      <w:contextualSpacing/>
    </w:pPr>
    <w:rPr>
      <w:kern w:val="0"/>
      <w:sz w:val="24"/>
    </w:rPr>
  </w:style>
  <w:style w:type="paragraph" w:customStyle="1" w:styleId="188">
    <w:name w:val="标题-龙池"/>
    <w:basedOn w:val="1"/>
    <w:qFormat/>
    <w:uiPriority w:val="0"/>
    <w:pPr>
      <w:tabs>
        <w:tab w:val="left" w:pos="841"/>
      </w:tabs>
      <w:kinsoku w:val="0"/>
      <w:overflowPunct w:val="0"/>
      <w:autoSpaceDE w:val="0"/>
      <w:autoSpaceDN w:val="0"/>
      <w:adjustRightInd w:val="0"/>
      <w:spacing w:line="360" w:lineRule="auto"/>
      <w:contextualSpacing/>
      <w:jc w:val="center"/>
    </w:pPr>
    <w:rPr>
      <w:b/>
      <w:kern w:val="0"/>
      <w:szCs w:val="21"/>
    </w:rPr>
  </w:style>
  <w:style w:type="paragraph" w:customStyle="1" w:styleId="189">
    <w:name w:val="Body Text Indent"/>
    <w:basedOn w:val="1"/>
    <w:qFormat/>
    <w:uiPriority w:val="0"/>
    <w:pPr>
      <w:spacing w:line="360" w:lineRule="auto"/>
      <w:ind w:firstLine="480"/>
    </w:pPr>
    <w:rPr>
      <w:rFonts w:ascii="宋体"/>
      <w:sz w:val="24"/>
    </w:rPr>
  </w:style>
  <w:style w:type="paragraph" w:customStyle="1" w:styleId="190">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character" w:customStyle="1" w:styleId="191">
    <w:name w:val="font01"/>
    <w:basedOn w:val="41"/>
    <w:qFormat/>
    <w:uiPriority w:val="0"/>
    <w:rPr>
      <w:rFonts w:hint="eastAsia" w:ascii="宋体" w:hAnsi="宋体" w:eastAsia="宋体" w:cs="宋体"/>
      <w:color w:val="000000"/>
      <w:sz w:val="24"/>
      <w:szCs w:val="24"/>
      <w:u w:val="none"/>
      <w:vertAlign w:val="superscript"/>
    </w:rPr>
  </w:style>
  <w:style w:type="paragraph" w:customStyle="1" w:styleId="192">
    <w:name w:val="表格题目"/>
    <w:basedOn w:val="10"/>
    <w:next w:val="193"/>
    <w:qFormat/>
    <w:uiPriority w:val="0"/>
    <w:pPr>
      <w:keepNext/>
    </w:pPr>
    <w:rPr>
      <w:rFonts w:ascii="黑体" w:hAnsi="黑体" w:eastAsia="黑体"/>
      <w:szCs w:val="24"/>
    </w:rPr>
  </w:style>
  <w:style w:type="paragraph" w:customStyle="1" w:styleId="193">
    <w:name w:val="表名、图名"/>
    <w:basedOn w:val="1"/>
    <w:next w:val="1"/>
    <w:qFormat/>
    <w:uiPriority w:val="0"/>
    <w:pPr>
      <w:ind w:firstLine="0" w:firstLineChars="0"/>
      <w:jc w:val="center"/>
    </w:pPr>
    <w:rPr>
      <w:rFonts w:eastAsia="黑体"/>
    </w:rPr>
  </w:style>
  <w:style w:type="character" w:customStyle="1" w:styleId="194">
    <w:name w:val="font51"/>
    <w:basedOn w:val="41"/>
    <w:qFormat/>
    <w:uiPriority w:val="0"/>
    <w:rPr>
      <w:rFonts w:hint="default" w:ascii="Times New Roman" w:hAnsi="Times New Roman" w:cs="Times New Roman"/>
      <w:color w:val="000000"/>
      <w:sz w:val="21"/>
      <w:szCs w:val="21"/>
      <w:u w:val="none"/>
      <w:vertAlign w:val="superscript"/>
    </w:rPr>
  </w:style>
  <w:style w:type="character" w:customStyle="1" w:styleId="195">
    <w:name w:val="font71"/>
    <w:qFormat/>
    <w:uiPriority w:val="0"/>
    <w:rPr>
      <w:rFonts w:hint="eastAsia" w:ascii="宋体" w:hAnsi="宋体" w:eastAsia="宋体" w:cs="宋体"/>
      <w:b/>
      <w:color w:val="000000"/>
      <w:sz w:val="21"/>
      <w:szCs w:val="21"/>
      <w:u w:val="none"/>
    </w:rPr>
  </w:style>
  <w:style w:type="character" w:customStyle="1" w:styleId="196">
    <w:name w:val="font41"/>
    <w:qFormat/>
    <w:uiPriority w:val="0"/>
    <w:rPr>
      <w:rFonts w:hint="eastAsia" w:ascii="宋体" w:hAnsi="宋体" w:eastAsia="宋体" w:cs="宋体"/>
      <w:color w:val="000000"/>
      <w:sz w:val="21"/>
      <w:szCs w:val="21"/>
      <w:u w:val="none"/>
    </w:rPr>
  </w:style>
  <w:style w:type="character" w:customStyle="1" w:styleId="197">
    <w:name w:val="font81"/>
    <w:basedOn w:val="41"/>
    <w:qFormat/>
    <w:uiPriority w:val="0"/>
    <w:rPr>
      <w:rFonts w:hint="eastAsia" w:ascii="宋体" w:hAnsi="宋体" w:eastAsia="宋体" w:cs="宋体"/>
      <w:color w:val="000000"/>
      <w:sz w:val="24"/>
      <w:szCs w:val="24"/>
      <w:u w:val="none"/>
    </w:rPr>
  </w:style>
  <w:style w:type="character" w:customStyle="1" w:styleId="198">
    <w:name w:val="font101"/>
    <w:basedOn w:val="41"/>
    <w:qFormat/>
    <w:uiPriority w:val="0"/>
    <w:rPr>
      <w:rFonts w:hint="default" w:ascii="Times New Roman" w:hAnsi="Times New Roman" w:cs="Times New Roman"/>
      <w:color w:val="000000"/>
      <w:sz w:val="21"/>
      <w:szCs w:val="21"/>
      <w:u w:val="none"/>
      <w:vertAlign w:val="superscript"/>
    </w:rPr>
  </w:style>
  <w:style w:type="paragraph" w:customStyle="1" w:styleId="199">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bidi="ar-SA"/>
    </w:rPr>
  </w:style>
  <w:style w:type="table" w:customStyle="1" w:styleId="200">
    <w:name w:val="Table Grid_0"/>
    <w:basedOn w:val="39"/>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1">
    <w:name w:val="正文(首行缩进)宋旭峰"/>
    <w:basedOn w:val="9"/>
    <w:qFormat/>
    <w:uiPriority w:val="0"/>
    <w:pPr>
      <w:spacing w:line="360" w:lineRule="auto"/>
      <w:ind w:firstLine="480" w:firstLineChars="200"/>
    </w:pPr>
    <w:rPr>
      <w:snapToGrid w:val="0"/>
      <w:color w:val="0000FF"/>
      <w:kern w:val="0"/>
      <w:sz w:val="24"/>
      <w:szCs w:val="24"/>
    </w:rPr>
  </w:style>
  <w:style w:type="paragraph" w:customStyle="1" w:styleId="202">
    <w:name w:val="content"/>
    <w:basedOn w:val="1"/>
    <w:qFormat/>
    <w:uiPriority w:val="0"/>
    <w:pPr>
      <w:widowControl/>
      <w:spacing w:before="100" w:beforeAutospacing="1" w:after="100" w:afterAutospacing="1" w:line="360" w:lineRule="auto"/>
    </w:pPr>
    <w:rPr>
      <w:rFonts w:ascii="宋体" w:hAnsi="宋体"/>
      <w:kern w:val="0"/>
      <w:sz w:val="18"/>
      <w:szCs w:val="18"/>
    </w:rPr>
  </w:style>
  <w:style w:type="paragraph" w:customStyle="1" w:styleId="203">
    <w:name w:val="a正文"/>
    <w:basedOn w:val="1"/>
    <w:qFormat/>
    <w:uiPriority w:val="0"/>
    <w:pPr>
      <w:spacing w:line="360" w:lineRule="auto"/>
      <w:ind w:firstLine="200" w:firstLineChars="200"/>
    </w:pPr>
    <w:rPr>
      <w:rFonts w:ascii="Times New Roman" w:hAnsi="Times New Roman"/>
      <w:sz w:val="24"/>
      <w:szCs w:val="28"/>
    </w:rPr>
  </w:style>
  <w:style w:type="character" w:customStyle="1" w:styleId="204">
    <w:name w:val="nr1"/>
    <w:qFormat/>
    <w:uiPriority w:val="0"/>
    <w:rPr>
      <w:rFonts w:hint="default" w:ascii="ˎ̥" w:hAnsi="ˎ̥"/>
      <w:color w:val="000000"/>
      <w:sz w:val="21"/>
      <w:szCs w:val="21"/>
      <w:u w:val="none"/>
    </w:rPr>
  </w:style>
  <w:style w:type="paragraph" w:customStyle="1" w:styleId="205">
    <w:name w:val="1表内字"/>
    <w:next w:val="1"/>
    <w:qFormat/>
    <w:uiPriority w:val="0"/>
    <w:pPr>
      <w:shd w:val="clear" w:color="auto" w:fill="FFFFFF"/>
      <w:jc w:val="center"/>
    </w:pPr>
    <w:rPr>
      <w:rFonts w:ascii="Times New Roman" w:hAnsi="Times New Roman" w:eastAsia="宋体" w:cs="Times New Roman"/>
      <w:bCs/>
      <w:color w:val="000000"/>
      <w:kern w:val="2"/>
      <w:sz w:val="21"/>
      <w:szCs w:val="21"/>
      <w:lang w:val="en-US" w:eastAsia="zh-CN" w:bidi="ar-SA"/>
    </w:rPr>
  </w:style>
  <w:style w:type="paragraph" w:customStyle="1" w:styleId="206">
    <w:name w:val="TOC Heading"/>
    <w:basedOn w:val="4"/>
    <w:next w:val="1"/>
    <w:semiHidden/>
    <w:unhideWhenUsed/>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207">
    <w:name w:val="真·正文"/>
    <w:basedOn w:val="1"/>
    <w:next w:val="1"/>
    <w:qFormat/>
    <w:uiPriority w:val="0"/>
    <w:pPr>
      <w:ind w:firstLine="200"/>
    </w:pPr>
    <w:rPr>
      <w:rFonts w:ascii="Calibri"/>
      <w:sz w:val="24"/>
    </w:rPr>
  </w:style>
  <w:style w:type="paragraph" w:customStyle="1" w:styleId="208">
    <w:name w:val="正文A"/>
    <w:basedOn w:val="1"/>
    <w:qFormat/>
    <w:uiPriority w:val="0"/>
    <w:pPr>
      <w:spacing w:line="500" w:lineRule="exact"/>
      <w:ind w:firstLine="480" w:firstLineChars="200"/>
    </w:pPr>
    <w:rPr>
      <w:rFonts w:eastAsia="华文仿宋" w:cs="华文仿宋"/>
      <w:kern w:val="0"/>
      <w:sz w:val="24"/>
    </w:rPr>
  </w:style>
  <w:style w:type="paragraph" w:customStyle="1" w:styleId="209">
    <w:name w:val="表格正文(康健城)"/>
    <w:basedOn w:val="1"/>
    <w:qFormat/>
    <w:uiPriority w:val="0"/>
    <w:pPr>
      <w:adjustRightInd w:val="0"/>
      <w:snapToGrid w:val="0"/>
      <w:jc w:val="center"/>
    </w:pPr>
    <w:rPr>
      <w:szCs w:val="21"/>
    </w:rPr>
  </w:style>
  <w:style w:type="paragraph" w:customStyle="1" w:styleId="210">
    <w:name w:val="图件标题"/>
    <w:basedOn w:val="1"/>
    <w:qFormat/>
    <w:uiPriority w:val="0"/>
    <w:pPr>
      <w:ind w:firstLine="0" w:firstLineChars="0"/>
      <w:jc w:val="center"/>
    </w:pPr>
    <w:rPr>
      <w:rFonts w:ascii="Times New Roman" w:hAnsi="Times New Roman" w:eastAsia="宋体"/>
      <w:b/>
    </w:rPr>
  </w:style>
  <w:style w:type="character" w:customStyle="1" w:styleId="211">
    <w:name w:val="Default 字符"/>
    <w:link w:val="51"/>
    <w:qFormat/>
    <w:uiPriority w:val="0"/>
    <w:rPr>
      <w:rFonts w:ascii="宋体" w:hAnsi="Times New Roman" w:eastAsia="宋体" w:cs="宋体"/>
      <w:color w:val="000000"/>
      <w:sz w:val="24"/>
      <w:szCs w:val="24"/>
      <w:lang w:val="en-US" w:eastAsia="zh-CN" w:bidi="ar-SA"/>
    </w:rPr>
  </w:style>
  <w:style w:type="paragraph" w:customStyle="1" w:styleId="212">
    <w:name w:val="图表标题"/>
    <w:basedOn w:val="1"/>
    <w:qFormat/>
    <w:uiPriority w:val="0"/>
    <w:pPr>
      <w:jc w:val="center"/>
    </w:pPr>
    <w:rPr>
      <w:b/>
      <w:color w:val="000000"/>
      <w:szCs w:val="21"/>
    </w:rPr>
  </w:style>
  <w:style w:type="paragraph" w:customStyle="1" w:styleId="213">
    <w:name w:val="W正文"/>
    <w:basedOn w:val="1"/>
    <w:qFormat/>
    <w:uiPriority w:val="0"/>
    <w:pPr>
      <w:adjustRightInd w:val="0"/>
      <w:snapToGrid w:val="0"/>
      <w:spacing w:line="360" w:lineRule="auto"/>
      <w:ind w:firstLine="200" w:firstLineChars="200"/>
    </w:pPr>
    <w:rPr>
      <w:kern w:val="0"/>
      <w:sz w:val="24"/>
      <w:szCs w:val="20"/>
    </w:rPr>
  </w:style>
  <w:style w:type="paragraph" w:customStyle="1" w:styleId="214">
    <w:name w:val="标题3"/>
    <w:basedOn w:val="6"/>
    <w:qFormat/>
    <w:uiPriority w:val="0"/>
    <w:pPr>
      <w:keepLines w:val="0"/>
      <w:widowControl/>
      <w:ind w:firstLine="200" w:firstLineChars="200"/>
      <w:jc w:val="center"/>
    </w:pPr>
    <w:rPr>
      <w:bCs w:val="0"/>
      <w:color w:val="000000"/>
      <w:szCs w:val="28"/>
    </w:rPr>
  </w:style>
  <w:style w:type="paragraph" w:customStyle="1" w:styleId="215">
    <w:name w:val="！表格中"/>
    <w:basedOn w:val="1"/>
    <w:next w:val="1"/>
    <w:qFormat/>
    <w:uiPriority w:val="0"/>
    <w:pPr>
      <w:spacing w:line="240" w:lineRule="auto"/>
      <w:ind w:firstLine="0" w:firstLineChars="0"/>
      <w:jc w:val="center"/>
    </w:pPr>
    <w:rPr>
      <w:sz w:val="18"/>
    </w:rPr>
  </w:style>
  <w:style w:type="character" w:customStyle="1" w:styleId="216">
    <w:name w:val="font91"/>
    <w:qFormat/>
    <w:uiPriority w:val="0"/>
    <w:rPr>
      <w:rFonts w:hint="eastAsia" w:ascii="宋体" w:hAnsi="宋体" w:eastAsia="宋体" w:cs="宋体"/>
      <w:b/>
      <w:color w:val="000000"/>
      <w:sz w:val="21"/>
      <w:szCs w:val="21"/>
      <w:u w:val="none"/>
    </w:rPr>
  </w:style>
  <w:style w:type="character" w:customStyle="1" w:styleId="217">
    <w:name w:val="font12"/>
    <w:qFormat/>
    <w:uiPriority w:val="0"/>
    <w:rPr>
      <w:rFonts w:hint="default" w:ascii="Times New Roman" w:hAnsi="Times New Roman" w:cs="Times New Roman"/>
      <w:b/>
      <w:color w:val="000000"/>
      <w:sz w:val="21"/>
      <w:szCs w:val="21"/>
      <w:u w:val="none"/>
    </w:rPr>
  </w:style>
  <w:style w:type="character" w:customStyle="1" w:styleId="218">
    <w:name w:val="font111"/>
    <w:qFormat/>
    <w:uiPriority w:val="0"/>
    <w:rPr>
      <w:rFonts w:hint="default" w:ascii="Times New Roman" w:hAnsi="Times New Roman" w:cs="Times New Roman"/>
      <w:color w:val="000000"/>
      <w:sz w:val="21"/>
      <w:szCs w:val="21"/>
      <w:u w:val="none"/>
    </w:rPr>
  </w:style>
  <w:style w:type="paragraph" w:customStyle="1" w:styleId="219">
    <w:name w:val="样式 正文"/>
    <w:basedOn w:val="1"/>
    <w:next w:val="1"/>
    <w:qFormat/>
    <w:uiPriority w:val="0"/>
    <w:pPr>
      <w:spacing w:line="360" w:lineRule="auto"/>
      <w:ind w:firstLine="200" w:firstLineChars="200"/>
    </w:pPr>
    <w:rPr>
      <w:rFonts w:eastAsia="宋体"/>
      <w:kern w:val="2"/>
      <w:sz w:val="24"/>
      <w:szCs w:val="32"/>
      <w:lang w:val="en-US" w:eastAsia="zh-CN" w:bidi="ar-SA"/>
    </w:rPr>
  </w:style>
  <w:style w:type="paragraph" w:customStyle="1" w:styleId="220">
    <w:name w:val="正文样式-yu"/>
    <w:basedOn w:val="1"/>
    <w:qFormat/>
    <w:uiPriority w:val="0"/>
    <w:pPr>
      <w:spacing w:line="360" w:lineRule="auto"/>
    </w:pPr>
    <w:rPr>
      <w:rFonts w:ascii="宋体" w:hAnsi="宋体"/>
      <w:kern w:val="0"/>
      <w:sz w:val="28"/>
      <w:szCs w:val="20"/>
      <w:lang w:val="zh-CN"/>
    </w:rPr>
  </w:style>
  <w:style w:type="paragraph" w:customStyle="1" w:styleId="221">
    <w:name w:val="缩进"/>
    <w:basedOn w:val="1"/>
    <w:qFormat/>
    <w:uiPriority w:val="99"/>
    <w:pPr>
      <w:widowControl/>
      <w:autoSpaceDE w:val="0"/>
      <w:autoSpaceDN w:val="0"/>
      <w:adjustRightInd w:val="0"/>
      <w:spacing w:line="400" w:lineRule="atLeast"/>
      <w:ind w:firstLine="425"/>
      <w:jc w:val="left"/>
    </w:pPr>
    <w:rPr>
      <w:kern w:val="0"/>
      <w:sz w:val="24"/>
      <w:szCs w:val="20"/>
    </w:rPr>
  </w:style>
  <w:style w:type="paragraph" w:customStyle="1" w:styleId="222">
    <w:name w:val="xz标题4"/>
    <w:basedOn w:val="7"/>
    <w:qFormat/>
    <w:uiPriority w:val="0"/>
    <w:pPr>
      <w:numPr>
        <w:ilvl w:val="0"/>
        <w:numId w:val="0"/>
      </w:numPr>
      <w:tabs>
        <w:tab w:val="left" w:pos="360"/>
      </w:tabs>
      <w:adjustRightInd/>
      <w:spacing w:before="0" w:after="0" w:line="360" w:lineRule="auto"/>
      <w:textAlignment w:val="auto"/>
    </w:pPr>
    <w:rPr>
      <w:rFonts w:eastAsia="宋体"/>
      <w:bCs/>
      <w:kern w:val="2"/>
      <w:sz w:val="28"/>
      <w:szCs w:val="28"/>
    </w:rPr>
  </w:style>
  <w:style w:type="paragraph" w:customStyle="1" w:styleId="223">
    <w:name w:val="样式5"/>
    <w:basedOn w:val="1"/>
    <w:link w:val="268"/>
    <w:qFormat/>
    <w:uiPriority w:val="0"/>
    <w:pPr>
      <w:spacing w:line="360" w:lineRule="auto"/>
      <w:ind w:firstLine="1446" w:firstLineChars="200"/>
      <w:jc w:val="both"/>
    </w:pPr>
    <w:rPr>
      <w:sz w:val="24"/>
    </w:rPr>
  </w:style>
  <w:style w:type="character" w:customStyle="1" w:styleId="224">
    <w:name w:val="p Char"/>
    <w:link w:val="148"/>
    <w:qFormat/>
    <w:uiPriority w:val="0"/>
    <w:rPr>
      <w:kern w:val="0"/>
      <w:sz w:val="20"/>
      <w:szCs w:val="20"/>
    </w:rPr>
  </w:style>
  <w:style w:type="paragraph" w:customStyle="1" w:styleId="225">
    <w:name w:val="大表格正文"/>
    <w:basedOn w:val="1"/>
    <w:qFormat/>
    <w:uiPriority w:val="0"/>
    <w:pPr>
      <w:spacing w:line="240" w:lineRule="auto"/>
      <w:ind w:firstLine="0" w:firstLineChars="0"/>
      <w:jc w:val="center"/>
    </w:pPr>
  </w:style>
  <w:style w:type="paragraph" w:customStyle="1" w:styleId="226">
    <w:name w:val="标准正文"/>
    <w:basedOn w:val="1"/>
    <w:qFormat/>
    <w:uiPriority w:val="0"/>
    <w:pPr>
      <w:spacing w:line="360" w:lineRule="auto"/>
      <w:ind w:firstLine="200" w:firstLineChars="200"/>
      <w:jc w:val="both"/>
    </w:pPr>
    <w:rPr>
      <w:sz w:val="24"/>
      <w:szCs w:val="22"/>
    </w:rPr>
  </w:style>
  <w:style w:type="paragraph" w:customStyle="1" w:styleId="227">
    <w:name w:val="样式 正文缩进 + 宋体 行距: 固定值 22 磅"/>
    <w:basedOn w:val="9"/>
    <w:qFormat/>
    <w:uiPriority w:val="0"/>
    <w:pPr>
      <w:ind w:firstLine="0" w:firstLineChars="0"/>
    </w:pPr>
    <w:rPr>
      <w:rFonts w:ascii="Arial Unicode MS" w:hAnsi="Arial Unicode MS" w:cs="宋体"/>
      <w:szCs w:val="20"/>
    </w:rPr>
  </w:style>
  <w:style w:type="paragraph" w:customStyle="1" w:styleId="228">
    <w:name w:val="样式 样式 样式 样式 小四 左 首行缩进:  2 字符 + 首行缩进:  2 字符 Char + 右  0 字符1 + 首行缩...3"/>
    <w:basedOn w:val="1"/>
    <w:qFormat/>
    <w:uiPriority w:val="0"/>
    <w:pPr>
      <w:adjustRightInd w:val="0"/>
      <w:spacing w:line="360" w:lineRule="auto"/>
      <w:ind w:firstLine="480" w:firstLineChars="200"/>
      <w:jc w:val="left"/>
      <w:textAlignment w:val="baseline"/>
    </w:pPr>
    <w:rPr>
      <w:rFonts w:cs="宋体"/>
      <w:sz w:val="24"/>
      <w:szCs w:val="20"/>
    </w:rPr>
  </w:style>
  <w:style w:type="paragraph" w:customStyle="1" w:styleId="229">
    <w:name w:val="正文-环评"/>
    <w:basedOn w:val="9"/>
    <w:qFormat/>
    <w:uiPriority w:val="0"/>
    <w:pPr>
      <w:spacing w:line="480" w:lineRule="exact"/>
      <w:ind w:firstLineChars="0"/>
    </w:pPr>
    <w:rPr>
      <w:rFonts w:eastAsia="仿宋"/>
      <w:bCs/>
      <w:sz w:val="28"/>
      <w:szCs w:val="28"/>
    </w:rPr>
  </w:style>
  <w:style w:type="paragraph" w:customStyle="1" w:styleId="230">
    <w:name w:val="环评正文"/>
    <w:basedOn w:val="1"/>
    <w:qFormat/>
    <w:uiPriority w:val="0"/>
    <w:pPr>
      <w:spacing w:line="500" w:lineRule="exact"/>
      <w:ind w:firstLine="200" w:firstLineChars="200"/>
      <w:jc w:val="left"/>
    </w:pPr>
    <w:rPr>
      <w:kern w:val="0"/>
      <w:sz w:val="24"/>
      <w:szCs w:val="20"/>
    </w:rPr>
  </w:style>
  <w:style w:type="paragraph" w:customStyle="1" w:styleId="231">
    <w:name w:val="_正文格式"/>
    <w:basedOn w:val="1"/>
    <w:qFormat/>
    <w:uiPriority w:val="0"/>
    <w:pPr>
      <w:spacing w:line="500" w:lineRule="exact"/>
      <w:ind w:firstLine="567"/>
      <w:jc w:val="left"/>
    </w:pPr>
    <w:rPr>
      <w:sz w:val="24"/>
    </w:rPr>
  </w:style>
  <w:style w:type="paragraph" w:customStyle="1" w:styleId="232">
    <w:name w:val="表格内"/>
    <w:basedOn w:val="1"/>
    <w:qFormat/>
    <w:uiPriority w:val="0"/>
    <w:pPr>
      <w:spacing w:line="360" w:lineRule="exact"/>
      <w:jc w:val="center"/>
    </w:pPr>
    <w:rPr>
      <w:rFonts w:ascii="Times New Roman" w:hAnsi="Times New Roman" w:cs="Times New Roman"/>
      <w:snapToGrid w:val="0"/>
      <w:szCs w:val="21"/>
    </w:rPr>
  </w:style>
  <w:style w:type="paragraph" w:customStyle="1" w:styleId="233">
    <w:name w:val="报告书正文"/>
    <w:basedOn w:val="1"/>
    <w:qFormat/>
    <w:uiPriority w:val="0"/>
    <w:pPr>
      <w:spacing w:line="360" w:lineRule="auto"/>
      <w:ind w:firstLine="480" w:firstLineChars="200"/>
    </w:pPr>
    <w:rPr>
      <w:rFonts w:ascii="Calibri" w:hAnsi="Calibri"/>
      <w:sz w:val="24"/>
    </w:rPr>
  </w:style>
  <w:style w:type="paragraph" w:customStyle="1" w:styleId="234">
    <w:name w:val="小标题"/>
    <w:basedOn w:val="92"/>
    <w:qFormat/>
    <w:uiPriority w:val="0"/>
    <w:pPr>
      <w:numPr>
        <w:ilvl w:val="0"/>
        <w:numId w:val="3"/>
      </w:numPr>
      <w:ind w:left="0" w:firstLine="200"/>
    </w:pPr>
    <w:rPr>
      <w:rFonts w:cs="Times New Roman"/>
      <w:b/>
    </w:rPr>
  </w:style>
  <w:style w:type="paragraph" w:customStyle="1" w:styleId="235">
    <w:name w:val="文本"/>
    <w:basedOn w:val="1"/>
    <w:qFormat/>
    <w:uiPriority w:val="0"/>
    <w:pPr>
      <w:adjustRightInd w:val="0"/>
      <w:snapToGrid w:val="0"/>
      <w:spacing w:line="360" w:lineRule="auto"/>
      <w:ind w:firstLine="480" w:firstLineChars="200"/>
      <w:jc w:val="left"/>
    </w:pPr>
    <w:rPr>
      <w:sz w:val="24"/>
      <w:szCs w:val="24"/>
    </w:rPr>
  </w:style>
  <w:style w:type="paragraph" w:customStyle="1" w:styleId="236">
    <w:name w:val="正文(首行缩进)"/>
    <w:basedOn w:val="1"/>
    <w:next w:val="1"/>
    <w:qFormat/>
    <w:uiPriority w:val="0"/>
    <w:pPr>
      <w:adjustRightInd w:val="0"/>
      <w:spacing w:line="360" w:lineRule="auto"/>
      <w:ind w:firstLine="540" w:firstLineChars="225"/>
      <w:textAlignment w:val="baseline"/>
    </w:pPr>
    <w:rPr>
      <w:color w:val="000000"/>
      <w:sz w:val="24"/>
    </w:rPr>
  </w:style>
  <w:style w:type="paragraph" w:customStyle="1" w:styleId="237">
    <w:name w:val="我"/>
    <w:basedOn w:val="1"/>
    <w:qFormat/>
    <w:uiPriority w:val="0"/>
    <w:pPr>
      <w:spacing w:line="360" w:lineRule="auto"/>
      <w:ind w:firstLine="640" w:firstLineChars="200"/>
    </w:pPr>
    <w:rPr>
      <w:kern w:val="0"/>
      <w:sz w:val="24"/>
      <w:szCs w:val="20"/>
    </w:rPr>
  </w:style>
  <w:style w:type="paragraph" w:customStyle="1" w:styleId="238">
    <w:name w:val="！正文"/>
    <w:basedOn w:val="1"/>
    <w:qFormat/>
    <w:uiPriority w:val="0"/>
    <w:pPr>
      <w:spacing w:line="460" w:lineRule="exact"/>
      <w:ind w:firstLine="200" w:firstLineChars="200"/>
    </w:pPr>
    <w:rPr>
      <w:spacing w:val="-2"/>
      <w:kern w:val="0"/>
      <w:sz w:val="24"/>
      <w:szCs w:val="20"/>
    </w:rPr>
  </w:style>
  <w:style w:type="paragraph" w:customStyle="1" w:styleId="239">
    <w:name w:val="rpt_表项"/>
    <w:basedOn w:val="1"/>
    <w:qFormat/>
    <w:uiPriority w:val="0"/>
    <w:pPr>
      <w:spacing w:before="60" w:after="60"/>
      <w:jc w:val="center"/>
    </w:pPr>
    <w:rPr>
      <w:rFonts w:cs="宋体"/>
      <w:sz w:val="22"/>
      <w:szCs w:val="20"/>
    </w:rPr>
  </w:style>
  <w:style w:type="paragraph" w:customStyle="1" w:styleId="240">
    <w:name w:val="表题注"/>
    <w:basedOn w:val="10"/>
    <w:qFormat/>
    <w:uiPriority w:val="0"/>
    <w:pPr>
      <w:jc w:val="center"/>
    </w:pPr>
    <w:rPr>
      <w:rFonts w:ascii="宋体" w:hAnsi="宋体" w:eastAsia="宋体" w:cs="宋体"/>
      <w:bCs/>
      <w:sz w:val="24"/>
    </w:rPr>
  </w:style>
  <w:style w:type="paragraph" w:customStyle="1" w:styleId="241">
    <w:name w:val="样式 样式 表格内文字 + 宋体 + Times New Roman"/>
    <w:basedOn w:val="1"/>
    <w:qFormat/>
    <w:uiPriority w:val="0"/>
    <w:pPr>
      <w:adjustRightInd w:val="0"/>
      <w:snapToGrid w:val="0"/>
      <w:spacing w:line="320" w:lineRule="exact"/>
      <w:jc w:val="center"/>
    </w:pPr>
    <w:rPr>
      <w:b/>
    </w:rPr>
  </w:style>
  <w:style w:type="paragraph" w:customStyle="1" w:styleId="242">
    <w:name w:val="表头标题格式"/>
    <w:basedOn w:val="1"/>
    <w:qFormat/>
    <w:uiPriority w:val="0"/>
    <w:pPr>
      <w:tabs>
        <w:tab w:val="left" w:pos="360"/>
        <w:tab w:val="left" w:pos="1620"/>
      </w:tabs>
      <w:ind w:firstLine="0" w:firstLineChars="0"/>
      <w:jc w:val="center"/>
    </w:pPr>
    <w:rPr>
      <w:rFonts w:ascii="黑体" w:hAnsi="黑体" w:eastAsia="黑体"/>
      <w:b/>
      <w:bCs/>
      <w:sz w:val="21"/>
      <w:szCs w:val="24"/>
    </w:rPr>
  </w:style>
  <w:style w:type="paragraph" w:customStyle="1" w:styleId="243">
    <w:name w:val="无间隔1"/>
    <w:next w:val="1"/>
    <w:qFormat/>
    <w:uiPriority w:val="1"/>
    <w:pPr>
      <w:widowControl w:val="0"/>
      <w:spacing w:line="240" w:lineRule="exact"/>
      <w:jc w:val="center"/>
    </w:pPr>
    <w:rPr>
      <w:rFonts w:ascii="Arial Unicode MS" w:hAnsi="Arial Unicode MS" w:eastAsia="宋体" w:cs="Times New Roman"/>
      <w:kern w:val="2"/>
      <w:sz w:val="21"/>
      <w:szCs w:val="24"/>
      <w:lang w:val="en-US" w:eastAsia="zh-CN" w:bidi="ar-SA"/>
    </w:rPr>
  </w:style>
  <w:style w:type="paragraph" w:customStyle="1" w:styleId="244">
    <w:name w:val="样式 正文 行距: 固定值 25 磅"/>
    <w:qFormat/>
    <w:uiPriority w:val="0"/>
    <w:pPr>
      <w:widowControl w:val="0"/>
      <w:adjustRightInd w:val="0"/>
      <w:spacing w:line="500" w:lineRule="exact"/>
      <w:ind w:firstLine="200" w:firstLineChars="200"/>
      <w:jc w:val="both"/>
    </w:pPr>
    <w:rPr>
      <w:rFonts w:ascii="Times New Roman" w:hAnsi="Times New Roman" w:eastAsia="宋体" w:cs="宋体"/>
      <w:kern w:val="2"/>
      <w:sz w:val="24"/>
      <w:szCs w:val="24"/>
      <w:lang w:val="en-US" w:eastAsia="zh-CN" w:bidi="ar-SA"/>
    </w:rPr>
  </w:style>
  <w:style w:type="paragraph" w:customStyle="1" w:styleId="245">
    <w:name w:val="三级"/>
    <w:basedOn w:val="1"/>
    <w:qFormat/>
    <w:uiPriority w:val="0"/>
    <w:pPr>
      <w:adjustRightInd w:val="0"/>
      <w:snapToGrid w:val="0"/>
      <w:spacing w:line="360" w:lineRule="auto"/>
      <w:jc w:val="left"/>
      <w:outlineLvl w:val="2"/>
    </w:pPr>
    <w:rPr>
      <w:b/>
      <w:kern w:val="0"/>
      <w:szCs w:val="24"/>
    </w:rPr>
  </w:style>
  <w:style w:type="paragraph" w:customStyle="1" w:styleId="246">
    <w:name w:val="王 表格文字"/>
    <w:basedOn w:val="1"/>
    <w:qFormat/>
    <w:uiPriority w:val="0"/>
    <w:pPr>
      <w:jc w:val="center"/>
    </w:pPr>
    <w:rPr>
      <w:rFonts w:eastAsia="仿宋_GB2312"/>
      <w:snapToGrid w:val="0"/>
    </w:rPr>
  </w:style>
  <w:style w:type="paragraph" w:customStyle="1" w:styleId="247">
    <w:name w:val="Char Char Char Char Char Char Char Char Char Char Char Char Char Char Char Char Char Char1 Char Char Char Char Char Char Char"/>
    <w:basedOn w:val="1"/>
    <w:qFormat/>
    <w:uiPriority w:val="0"/>
  </w:style>
  <w:style w:type="paragraph" w:customStyle="1" w:styleId="248">
    <w:name w:val="表格5号字"/>
    <w:qFormat/>
    <w:uiPriority w:val="0"/>
    <w:pPr>
      <w:widowControl w:val="0"/>
      <w:jc w:val="center"/>
    </w:pPr>
    <w:rPr>
      <w:rFonts w:ascii="Times New Roman" w:hAnsi="Times New Roman" w:eastAsia="宋体" w:cs="Times New Roman"/>
      <w:kern w:val="2"/>
      <w:sz w:val="21"/>
      <w:szCs w:val="21"/>
      <w:lang w:val="en-US" w:eastAsia="zh-CN" w:bidi="ar-SA"/>
    </w:rPr>
  </w:style>
  <w:style w:type="paragraph" w:customStyle="1" w:styleId="249">
    <w:name w:val="表"/>
    <w:basedOn w:val="1"/>
    <w:qFormat/>
    <w:uiPriority w:val="0"/>
    <w:pPr>
      <w:widowControl/>
      <w:jc w:val="center"/>
    </w:pPr>
    <w:rPr>
      <w:bCs/>
      <w:kern w:val="0"/>
      <w:sz w:val="21"/>
      <w:szCs w:val="21"/>
    </w:rPr>
  </w:style>
  <w:style w:type="paragraph" w:customStyle="1" w:styleId="250">
    <w:name w:val="x正文"/>
    <w:basedOn w:val="1"/>
    <w:qFormat/>
    <w:uiPriority w:val="0"/>
    <w:pPr>
      <w:adjustRightInd/>
      <w:spacing w:line="360" w:lineRule="auto"/>
      <w:ind w:firstLine="480" w:firstLineChars="200"/>
      <w:jc w:val="both"/>
      <w:textAlignment w:val="auto"/>
    </w:pPr>
    <w:rPr>
      <w:kern w:val="2"/>
      <w:sz w:val="24"/>
      <w:szCs w:val="24"/>
    </w:rPr>
  </w:style>
  <w:style w:type="table" w:customStyle="1" w:styleId="251">
    <w:name w:val="Table Normal"/>
    <w:basedOn w:val="39"/>
    <w:unhideWhenUsed/>
    <w:qFormat/>
    <w:uiPriority w:val="0"/>
    <w:tblPr>
      <w:tblCellMar>
        <w:top w:w="0" w:type="dxa"/>
        <w:left w:w="0" w:type="dxa"/>
        <w:bottom w:w="0" w:type="dxa"/>
        <w:right w:w="0" w:type="dxa"/>
      </w:tblCellMar>
    </w:tblPr>
  </w:style>
  <w:style w:type="character" w:customStyle="1" w:styleId="252">
    <w:name w:val="10"/>
    <w:basedOn w:val="41"/>
    <w:qFormat/>
    <w:uiPriority w:val="0"/>
    <w:rPr>
      <w:rFonts w:hint="default" w:ascii="Calibri" w:hAnsi="Calibri" w:cs="Calibri"/>
    </w:rPr>
  </w:style>
  <w:style w:type="character" w:customStyle="1" w:styleId="253">
    <w:name w:val="15"/>
    <w:basedOn w:val="41"/>
    <w:qFormat/>
    <w:uiPriority w:val="0"/>
    <w:rPr>
      <w:rFonts w:hint="default" w:ascii="Calibri" w:hAnsi="Calibri" w:cs="Calibri"/>
    </w:rPr>
  </w:style>
  <w:style w:type="character" w:customStyle="1" w:styleId="254">
    <w:name w:val=" Char Char26"/>
    <w:link w:val="7"/>
    <w:qFormat/>
    <w:uiPriority w:val="0"/>
    <w:rPr>
      <w:b/>
      <w:szCs w:val="20"/>
    </w:rPr>
  </w:style>
  <w:style w:type="paragraph" w:customStyle="1" w:styleId="255">
    <w:name w:val="表名2"/>
    <w:basedOn w:val="9"/>
    <w:qFormat/>
    <w:uiPriority w:val="0"/>
    <w:pPr>
      <w:tabs>
        <w:tab w:val="left" w:pos="4144"/>
      </w:tabs>
      <w:autoSpaceDE/>
      <w:autoSpaceDN/>
      <w:snapToGrid w:val="0"/>
      <w:ind w:firstLine="0" w:firstLineChars="0"/>
      <w:jc w:val="center"/>
      <w:textAlignment w:val="auto"/>
    </w:pPr>
    <w:rPr>
      <w:rFonts w:eastAsia="黑体"/>
      <w:kern w:val="10"/>
      <w:sz w:val="21"/>
      <w:szCs w:val="24"/>
    </w:rPr>
  </w:style>
  <w:style w:type="paragraph" w:customStyle="1" w:styleId="256">
    <w:name w:val="小表文居中"/>
    <w:basedOn w:val="257"/>
    <w:qFormat/>
    <w:uiPriority w:val="0"/>
    <w:pPr>
      <w:jc w:val="center"/>
    </w:pPr>
  </w:style>
  <w:style w:type="paragraph" w:customStyle="1" w:styleId="257">
    <w:name w:val="小表文"/>
    <w:basedOn w:val="1"/>
    <w:qFormat/>
    <w:uiPriority w:val="0"/>
    <w:pPr>
      <w:spacing w:before="20" w:line="240" w:lineRule="auto"/>
      <w:ind w:firstLine="0"/>
    </w:pPr>
    <w:rPr>
      <w:sz w:val="18"/>
    </w:rPr>
  </w:style>
  <w:style w:type="paragraph" w:customStyle="1" w:styleId="258">
    <w:name w:val="表格文字（内）"/>
    <w:basedOn w:val="1"/>
    <w:qFormat/>
    <w:uiPriority w:val="0"/>
    <w:pPr>
      <w:adjustRightInd w:val="0"/>
      <w:snapToGrid w:val="0"/>
      <w:jc w:val="center"/>
    </w:pPr>
    <w:rPr>
      <w:snapToGrid w:val="0"/>
      <w:szCs w:val="21"/>
    </w:rPr>
  </w:style>
  <w:style w:type="paragraph" w:customStyle="1" w:styleId="259">
    <w:name w:val="文本111"/>
    <w:basedOn w:val="1"/>
    <w:qFormat/>
    <w:uiPriority w:val="0"/>
    <w:pPr>
      <w:wordWrap w:val="0"/>
      <w:adjustRightInd w:val="0"/>
      <w:snapToGrid w:val="0"/>
      <w:spacing w:line="360" w:lineRule="auto"/>
      <w:ind w:firstLine="480" w:firstLineChars="200"/>
      <w:jc w:val="left"/>
    </w:pPr>
    <w:rPr>
      <w:color w:val="000000"/>
      <w:sz w:val="24"/>
    </w:rPr>
  </w:style>
  <w:style w:type="paragraph" w:customStyle="1" w:styleId="260">
    <w:name w:val="图标标题"/>
    <w:basedOn w:val="1"/>
    <w:qFormat/>
    <w:uiPriority w:val="0"/>
    <w:pPr>
      <w:jc w:val="center"/>
    </w:pPr>
    <w:rPr>
      <w:b/>
      <w:szCs w:val="21"/>
    </w:rPr>
  </w:style>
  <w:style w:type="paragraph" w:customStyle="1" w:styleId="261">
    <w:name w:val="表头-s"/>
    <w:basedOn w:val="1"/>
    <w:qFormat/>
    <w:uiPriority w:val="0"/>
    <w:pPr>
      <w:spacing w:beforeLines="50"/>
      <w:jc w:val="center"/>
    </w:pPr>
    <w:rPr>
      <w:rFonts w:ascii="宋体" w:hAnsi="宋体"/>
      <w:b/>
      <w:sz w:val="24"/>
    </w:rPr>
  </w:style>
  <w:style w:type="paragraph" w:customStyle="1" w:styleId="262">
    <w:name w:val="6表格内容"/>
    <w:basedOn w:val="1"/>
    <w:next w:val="1"/>
    <w:qFormat/>
    <w:uiPriority w:val="0"/>
    <w:pPr>
      <w:jc w:val="center"/>
    </w:pPr>
    <w:rPr>
      <w:rFonts w:eastAsia="宋体"/>
      <w:szCs w:val="24"/>
    </w:rPr>
  </w:style>
  <w:style w:type="character" w:customStyle="1" w:styleId="263">
    <w:name w:val="表格内容 字符"/>
    <w:link w:val="73"/>
    <w:qFormat/>
    <w:uiPriority w:val="0"/>
    <w:rPr>
      <w:color w:val="000000"/>
    </w:rPr>
  </w:style>
  <w:style w:type="paragraph" w:customStyle="1" w:styleId="264">
    <w:name w:val="0报告正文"/>
    <w:basedOn w:val="1"/>
    <w:qFormat/>
    <w:uiPriority w:val="0"/>
    <w:pPr>
      <w:spacing w:line="360" w:lineRule="auto"/>
      <w:ind w:firstLine="200" w:firstLineChars="200"/>
    </w:pPr>
    <w:rPr>
      <w:rFonts w:ascii="Times New Roman" w:hAnsi="Times New Roman"/>
      <w:sz w:val="24"/>
      <w:szCs w:val="22"/>
    </w:rPr>
  </w:style>
  <w:style w:type="paragraph" w:customStyle="1" w:styleId="265">
    <w:name w:val="表2.3-1"/>
    <w:basedOn w:val="1"/>
    <w:qFormat/>
    <w:uiPriority w:val="0"/>
    <w:pPr>
      <w:numPr>
        <w:ilvl w:val="0"/>
        <w:numId w:val="4"/>
      </w:numPr>
      <w:adjustRightInd w:val="0"/>
      <w:snapToGrid w:val="0"/>
      <w:spacing w:line="320" w:lineRule="exact"/>
      <w:ind w:firstLine="420" w:firstLineChars="200"/>
      <w:jc w:val="center"/>
      <w:outlineLvl w:val="4"/>
    </w:pPr>
    <w:rPr>
      <w:rFonts w:ascii="Arial" w:hAnsi="Arial"/>
      <w:sz w:val="24"/>
      <w:szCs w:val="21"/>
    </w:rPr>
  </w:style>
  <w:style w:type="paragraph" w:customStyle="1" w:styleId="266">
    <w:name w:val="表名"/>
    <w:basedOn w:val="267"/>
    <w:next w:val="1"/>
    <w:qFormat/>
    <w:uiPriority w:val="0"/>
    <w:pPr>
      <w:numPr>
        <w:ilvl w:val="0"/>
        <w:numId w:val="0"/>
      </w:numPr>
      <w:tabs>
        <w:tab w:val="left" w:pos="0"/>
        <w:tab w:val="left" w:pos="420"/>
      </w:tabs>
      <w:spacing w:before="20" w:beforeLines="20"/>
      <w:ind w:firstLine="567"/>
      <w:jc w:val="left"/>
      <w:outlineLvl w:val="6"/>
    </w:pPr>
    <w:rPr>
      <w:rFonts w:ascii="Times New Roman" w:hAnsi="Times New Roman"/>
    </w:rPr>
  </w:style>
  <w:style w:type="paragraph" w:customStyle="1" w:styleId="267">
    <w:name w:val="图名"/>
    <w:basedOn w:val="1"/>
    <w:next w:val="1"/>
    <w:qFormat/>
    <w:uiPriority w:val="0"/>
    <w:pPr>
      <w:tabs>
        <w:tab w:val="left" w:pos="0"/>
      </w:tabs>
      <w:adjustRightInd w:val="0"/>
      <w:snapToGrid w:val="0"/>
      <w:spacing w:after="20" w:afterLines="20"/>
      <w:jc w:val="center"/>
      <w:outlineLvl w:val="7"/>
    </w:pPr>
    <w:rPr>
      <w:rFonts w:ascii="黑体" w:hAnsi="黑体"/>
      <w:b/>
      <w:sz w:val="24"/>
    </w:rPr>
  </w:style>
  <w:style w:type="character" w:customStyle="1" w:styleId="268">
    <w:name w:val="样式5 Char"/>
    <w:link w:val="223"/>
    <w:uiPriority w:val="0"/>
    <w:rPr>
      <w:sz w:val="24"/>
    </w:rPr>
  </w:style>
  <w:style w:type="paragraph" w:customStyle="1" w:styleId="269">
    <w:name w:val="表格内容1"/>
    <w:basedOn w:val="1"/>
    <w:qFormat/>
    <w:uiPriority w:val="0"/>
    <w:pPr>
      <w:jc w:val="center"/>
    </w:pPr>
    <w:rPr>
      <w:rFonts w:ascii="Times New Roman" w:hAnsi="Times New Roman" w:eastAsia="宋体"/>
      <w:color w:val="000000"/>
      <w:kern w:val="0"/>
      <w:szCs w:val="21"/>
    </w:rPr>
  </w:style>
  <w:style w:type="paragraph" w:customStyle="1" w:styleId="270">
    <w:name w:val="表格标题1"/>
    <w:basedOn w:val="1"/>
    <w:qFormat/>
    <w:uiPriority w:val="0"/>
    <w:pPr>
      <w:autoSpaceDE w:val="0"/>
      <w:autoSpaceDN w:val="0"/>
      <w:adjustRightInd w:val="0"/>
      <w:jc w:val="center"/>
    </w:pPr>
    <w:rPr>
      <w:rFonts w:cs="宋体"/>
      <w:b/>
      <w:color w:val="000000"/>
    </w:rPr>
  </w:style>
  <w:style w:type="paragraph" w:customStyle="1" w:styleId="271">
    <w:name w:val="样式6"/>
    <w:next w:val="223"/>
    <w:qFormat/>
    <w:uiPriority w:val="0"/>
    <w:pPr>
      <w:adjustRightInd w:val="0"/>
      <w:snapToGrid w:val="0"/>
      <w:spacing w:line="240" w:lineRule="auto"/>
      <w:ind w:left="0" w:leftChars="0" w:firstLine="0" w:firstLineChars="0"/>
      <w:jc w:val="center"/>
    </w:pPr>
    <w:rPr>
      <w:rFonts w:ascii="宋体" w:hAnsi="宋体" w:eastAsia="宋体" w:cs="Times New Roman"/>
      <w:kern w:val="0"/>
      <w:sz w:val="21"/>
      <w:szCs w:val="20"/>
    </w:rPr>
  </w:style>
  <w:style w:type="paragraph" w:customStyle="1" w:styleId="272">
    <w:name w:val="表格样式"/>
    <w:basedOn w:val="1"/>
    <w:qFormat/>
    <w:uiPriority w:val="0"/>
    <w:pPr>
      <w:adjustRightInd w:val="0"/>
      <w:snapToGrid w:val="0"/>
      <w:jc w:val="center"/>
      <w:textAlignment w:val="center"/>
    </w:pPr>
    <w:rPr>
      <w:sz w:val="28"/>
    </w:rPr>
  </w:style>
  <w:style w:type="paragraph" w:customStyle="1" w:styleId="273">
    <w:name w:val="正文文字1"/>
    <w:basedOn w:val="1"/>
    <w:qFormat/>
    <w:uiPriority w:val="0"/>
    <w:pPr>
      <w:adjustRightInd w:val="0"/>
      <w:snapToGrid w:val="0"/>
      <w:spacing w:line="360" w:lineRule="auto"/>
      <w:ind w:firstLine="472" w:firstLineChars="200"/>
      <w:jc w:val="left"/>
    </w:pPr>
    <w:rPr>
      <w:spacing w:val="-2"/>
      <w:szCs w:val="20"/>
    </w:rPr>
  </w:style>
  <w:style w:type="character" w:customStyle="1" w:styleId="274">
    <w:name w:val="标题 3 Char"/>
    <w:link w:val="6"/>
    <w:uiPriority w:val="0"/>
    <w:rPr>
      <w:rFonts w:ascii="黑体" w:hAnsi="宋体" w:eastAsia="Times New Roman"/>
      <w:bCs/>
      <w:snapToGrid w:val="0"/>
      <w:kern w:val="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7.wmf"/><Relationship Id="rId26" Type="http://schemas.openxmlformats.org/officeDocument/2006/relationships/oleObject" Target="embeddings/oleObject4.bin"/><Relationship Id="rId25" Type="http://schemas.openxmlformats.org/officeDocument/2006/relationships/image" Target="media/image6.png"/><Relationship Id="rId24" Type="http://schemas.openxmlformats.org/officeDocument/2006/relationships/image" Target="media/image5.emf"/><Relationship Id="rId23" Type="http://schemas.openxmlformats.org/officeDocument/2006/relationships/oleObject" Target="embeddings/oleObject3.bin"/><Relationship Id="rId22" Type="http://schemas.openxmlformats.org/officeDocument/2006/relationships/image" Target="media/image4.png"/><Relationship Id="rId21" Type="http://schemas.openxmlformats.org/officeDocument/2006/relationships/image" Target="media/image3.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2.emf"/><Relationship Id="rId18" Type="http://schemas.openxmlformats.org/officeDocument/2006/relationships/oleObject" Target="embeddings/oleObject1.bin"/><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205</Pages>
  <Words>122170</Words>
  <Characters>136281</Characters>
  <Lines>1009</Lines>
  <Paragraphs>284</Paragraphs>
  <TotalTime>0</TotalTime>
  <ScaleCrop>false</ScaleCrop>
  <LinksUpToDate>false</LinksUpToDate>
  <CharactersWithSpaces>137668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2010-12-31T19:18:00Z</dcterms:created>
  <dc:creator>黑桃A</dc:creator>
  <cp:lastModifiedBy>Administrator</cp:lastModifiedBy>
  <dcterms:modified xsi:type="dcterms:W3CDTF">2023-02-17T08:18:12Z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B576C2D9AB664531991FDE20E0830230</vt:lpwstr>
  </property>
</Properties>
</file>